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pPr>
        <w:spacing w:line="500" w:lineRule="atLeast"/>
        <w:jc w:val="left"/>
        <w:rPr>
          <w:rFonts w:hint="eastAsia" w:ascii="仿宋_GB2312" w:hAnsi="仿宋_GB2312" w:eastAsia="仿宋_GB2312" w:cs="仿宋_GB2312"/>
          <w:sz w:val="36"/>
          <w:szCs w:val="36"/>
          <w:lang w:val="en"/>
        </w:rPr>
      </w:pPr>
      <w:bookmarkStart w:id="22" w:name="_GoBack"/>
      <w:bookmarkEnd w:id="22"/>
    </w:p>
    <w:p>
      <w:pPr>
        <w:spacing w:line="360" w:lineRule="auto"/>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2025年度行政事业性国有资产报告编制说明</w:t>
      </w:r>
    </w:p>
    <w:p>
      <w:pPr>
        <w:pStyle w:val="2"/>
        <w:rPr>
          <w:rFonts w:hint="eastAsia"/>
          <w:color w:val="auto"/>
        </w:rPr>
      </w:pPr>
      <w:r>
        <w:rPr>
          <w:rFonts w:hint="eastAsia"/>
          <w:color w:val="auto"/>
        </w:rPr>
        <w:t>第一部分：总体要求</w:t>
      </w:r>
    </w:p>
    <w:p>
      <w:pPr>
        <w:pStyle w:val="2"/>
        <w:tabs>
          <w:tab w:val="right" w:pos="8171"/>
        </w:tabs>
        <w:rPr>
          <w:rFonts w:hint="eastAsia"/>
          <w:b/>
          <w:color w:val="auto"/>
        </w:rPr>
      </w:pPr>
      <w:r>
        <w:rPr>
          <w:rFonts w:hint="eastAsia"/>
          <w:color w:val="auto"/>
        </w:rPr>
        <w:t>一、编报范围</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本套报表编报范围包括：2025年12月31日以前经机构编制管理部门批准成立的，执行政府会计准则制度、军工科研事业单位会计制度的各级各类行政事业单位、社会团体；依法直接支配国有资产的，执行民间非营利组织会计制度的社会团体等单位（以下简称行政事业单位）。</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执行企业类会计准则制度的事业单位</w:t>
      </w:r>
      <w:r>
        <w:rPr>
          <w:rFonts w:ascii="仿宋_GB2312" w:hAnsi="仿宋" w:eastAsia="仿宋_GB2312"/>
          <w:sz w:val="30"/>
          <w:szCs w:val="30"/>
        </w:rPr>
        <w:t>,</w:t>
      </w:r>
      <w:r>
        <w:rPr>
          <w:rFonts w:hint="eastAsia" w:ascii="仿宋_GB2312" w:hAnsi="仿宋" w:eastAsia="仿宋_GB2312"/>
          <w:sz w:val="30"/>
          <w:szCs w:val="30"/>
        </w:rPr>
        <w:t>行政单位附属的执行企业类会计准则制度的未脱钩经济实体，事业单位兴办、具有法人资格的企业，2025年已完成脱钩的培训疗养机构、行业商会协会</w:t>
      </w:r>
      <w:r>
        <w:rPr>
          <w:rFonts w:ascii="仿宋_GB2312" w:hAnsi="仿宋" w:eastAsia="仿宋_GB2312"/>
          <w:sz w:val="30"/>
          <w:szCs w:val="30"/>
        </w:rPr>
        <w:t>，</w:t>
      </w:r>
      <w:r>
        <w:rPr>
          <w:rFonts w:hint="eastAsia" w:ascii="仿宋_GB2312" w:hAnsi="仿宋" w:eastAsia="仿宋_GB2312"/>
          <w:sz w:val="30"/>
          <w:szCs w:val="30"/>
        </w:rPr>
        <w:t>社区居委会，内设机构不列入此次填报范围。</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解放军、武警部队不纳入本套报表填报范围。</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涉密单位按照有关保密规定，报送汇总表有关数据。</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各驻外机构占有使用的国有资产，各级总工会凡由国家拨付或国家拨付资金形成的资产，应纳入本表填报范围；各级人防部门管理的人防工程、指挥、通信、警报设备设施等国有资产已划转地方管理，应纳入地方报表填报范围。</w:t>
      </w:r>
    </w:p>
    <w:p>
      <w:pPr>
        <w:spacing w:line="360" w:lineRule="auto"/>
        <w:ind w:firstLine="540"/>
        <w:rPr>
          <w:rFonts w:hint="eastAsia" w:ascii="仿宋_GB2312" w:hAnsi="仿宋" w:eastAsia="仿宋_GB2312"/>
          <w:sz w:val="30"/>
          <w:szCs w:val="30"/>
        </w:rPr>
      </w:pPr>
      <w:r>
        <w:rPr>
          <w:rFonts w:hint="eastAsia" w:ascii="仿宋_GB2312" w:hAnsi="仿宋" w:eastAsia="仿宋_GB2312"/>
          <w:sz w:val="30"/>
          <w:szCs w:val="30"/>
        </w:rPr>
        <w:t>执行事业单位财务规则的参照公务员法管理事业单位、执行民间非营利组织会计制度的社会团体等单位汇总表汇总至事业单位项下反映。</w:t>
      </w:r>
    </w:p>
    <w:p>
      <w:pPr>
        <w:pStyle w:val="2"/>
        <w:rPr>
          <w:rFonts w:hint="eastAsia"/>
          <w:b/>
          <w:color w:val="auto"/>
        </w:rPr>
      </w:pPr>
      <w:r>
        <w:rPr>
          <w:rFonts w:hint="eastAsia"/>
          <w:color w:val="auto"/>
        </w:rPr>
        <w:t>二、报表构成</w:t>
      </w:r>
    </w:p>
    <w:p>
      <w:pPr>
        <w:spacing w:line="360" w:lineRule="auto"/>
        <w:ind w:firstLine="612"/>
        <w:rPr>
          <w:rFonts w:hint="eastAsia" w:ascii="仿宋_GB2312" w:hAnsi="仿宋" w:eastAsia="仿宋_GB2312"/>
          <w:bCs/>
          <w:sz w:val="30"/>
          <w:szCs w:val="30"/>
        </w:rPr>
      </w:pPr>
      <w:r>
        <w:rPr>
          <w:rFonts w:hint="eastAsia" w:ascii="仿宋_GB2312" w:hAnsi="仿宋" w:eastAsia="仿宋_GB2312"/>
          <w:bCs/>
          <w:sz w:val="30"/>
          <w:szCs w:val="30"/>
        </w:rPr>
        <w:t>本套《2025年度行政事业性国有资产报表》包括单户表、汇总表两部分，其中：</w:t>
      </w:r>
    </w:p>
    <w:p>
      <w:pPr>
        <w:spacing w:line="360" w:lineRule="auto"/>
        <w:ind w:firstLine="612"/>
        <w:rPr>
          <w:rFonts w:hint="eastAsia" w:ascii="仿宋_GB2312" w:hAnsi="仿宋" w:eastAsia="仿宋_GB2312"/>
          <w:bCs/>
          <w:sz w:val="30"/>
          <w:szCs w:val="30"/>
        </w:rPr>
      </w:pPr>
      <w:r>
        <w:rPr>
          <w:rFonts w:hint="eastAsia" w:ascii="仿宋_GB2312" w:hAnsi="仿宋" w:eastAsia="仿宋_GB2312"/>
          <w:bCs/>
          <w:sz w:val="30"/>
          <w:szCs w:val="30"/>
        </w:rPr>
        <w:t>（一）单户表由各行政事业单位编报，包括封面、18张主表、4张附表，分别为：财资01资产负债表、财资02机构人员情况表、财资03固定和无形资产存量情况表、财资04土地情况表、财资05房屋情况表、财资06车辆情况表、财资07在建工程情况表、财资08固定和无形资产配置情况表、财资09出租出借情况表、财资10资产处置情况表、财资11对外投资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-1公共基础设施-交通基础设施情况表、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-2公共基础设施-水利基础设施情况表、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-3公共基础设施-市政基础设施情况表、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-4公共基础设施-其他基础设施情况表、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3</w:t>
      </w:r>
      <w:r>
        <w:rPr>
          <w:rFonts w:hint="eastAsia" w:ascii="仿宋_GB2312" w:hAnsi="仿宋" w:eastAsia="仿宋_GB2312"/>
          <w:bCs/>
          <w:sz w:val="30"/>
          <w:szCs w:val="30"/>
        </w:rPr>
        <w:t>政府储备物资情况表、</w:t>
      </w:r>
      <w:r>
        <w:rPr>
          <w:rFonts w:ascii="仿宋_GB2312" w:hAnsi="仿宋" w:eastAsia="仿宋_GB2312"/>
          <w:bCs/>
          <w:sz w:val="30"/>
          <w:szCs w:val="30"/>
        </w:rPr>
        <w:t>财资</w:t>
      </w:r>
      <w:r>
        <w:rPr>
          <w:rFonts w:hint="eastAsia" w:ascii="仿宋_GB2312" w:hAnsi="仿宋" w:eastAsia="仿宋_GB2312"/>
          <w:bCs/>
          <w:sz w:val="30"/>
          <w:szCs w:val="30"/>
        </w:rPr>
        <w:t>14文物资源情况表、</w:t>
      </w:r>
      <w:r>
        <w:rPr>
          <w:rFonts w:ascii="仿宋_GB2312" w:hAnsi="仿宋" w:eastAsia="仿宋_GB2312"/>
          <w:bCs/>
          <w:sz w:val="30"/>
          <w:szCs w:val="30"/>
        </w:rPr>
        <w:t>财资</w:t>
      </w:r>
      <w:r>
        <w:rPr>
          <w:rFonts w:hint="eastAsia" w:ascii="仿宋_GB2312" w:hAnsi="仿宋" w:eastAsia="仿宋_GB2312"/>
          <w:bCs/>
          <w:sz w:val="30"/>
          <w:szCs w:val="30"/>
        </w:rPr>
        <w:t>15保障性住房情况表、财资附012025年度资产盘活情况表、财资附02-1执法执勤用车情况备案表（中央部门）、财资附02-2执法执勤用车情况备案表（地方财政部门）、财资附03卫生健康行业资产情况表。</w:t>
      </w:r>
    </w:p>
    <w:p>
      <w:pPr>
        <w:spacing w:line="360" w:lineRule="auto"/>
        <w:ind w:firstLine="612"/>
        <w:rPr>
          <w:rFonts w:hint="eastAsia" w:ascii="仿宋_GB2312" w:hAnsi="仿宋" w:eastAsia="仿宋_GB2312"/>
          <w:bCs/>
          <w:sz w:val="30"/>
          <w:szCs w:val="30"/>
        </w:rPr>
      </w:pPr>
      <w:r>
        <w:rPr>
          <w:rFonts w:hint="eastAsia" w:ascii="仿宋_GB2312" w:hAnsi="仿宋" w:eastAsia="仿宋_GB2312"/>
          <w:bCs/>
          <w:sz w:val="30"/>
          <w:szCs w:val="30"/>
        </w:rPr>
        <w:t>（二）汇总表由单户表汇总</w:t>
      </w:r>
      <w:r>
        <w:rPr>
          <w:rFonts w:ascii="仿宋_GB2312" w:hAnsi="仿宋" w:eastAsia="仿宋_GB2312"/>
          <w:bCs/>
          <w:sz w:val="30"/>
          <w:szCs w:val="30"/>
        </w:rPr>
        <w:t>生成</w:t>
      </w:r>
      <w:r>
        <w:rPr>
          <w:rFonts w:hint="eastAsia" w:ascii="仿宋_GB2312" w:hAnsi="仿宋" w:eastAsia="仿宋_GB2312"/>
          <w:bCs/>
          <w:sz w:val="30"/>
          <w:szCs w:val="30"/>
        </w:rPr>
        <w:t>，由</w:t>
      </w:r>
      <w:r>
        <w:rPr>
          <w:rFonts w:ascii="仿宋_GB2312" w:hAnsi="仿宋" w:eastAsia="仿宋_GB2312"/>
          <w:bCs/>
          <w:sz w:val="30"/>
          <w:szCs w:val="30"/>
        </w:rPr>
        <w:t>各行政事业单位</w:t>
      </w:r>
      <w:r>
        <w:rPr>
          <w:rFonts w:hint="eastAsia" w:ascii="仿宋_GB2312" w:hAnsi="仿宋" w:eastAsia="仿宋_GB2312"/>
          <w:bCs/>
          <w:sz w:val="30"/>
          <w:szCs w:val="30"/>
        </w:rPr>
        <w:t>、各级主管部门、财政部门按照</w:t>
      </w:r>
      <w:r>
        <w:rPr>
          <w:rFonts w:ascii="仿宋_GB2312" w:hAnsi="仿宋" w:eastAsia="仿宋_GB2312"/>
          <w:bCs/>
          <w:sz w:val="30"/>
          <w:szCs w:val="30"/>
        </w:rPr>
        <w:t>财务隶属关系逐级</w:t>
      </w:r>
      <w:r>
        <w:rPr>
          <w:rFonts w:hint="eastAsia" w:ascii="仿宋_GB2312" w:hAnsi="仿宋" w:eastAsia="仿宋_GB2312"/>
          <w:bCs/>
          <w:sz w:val="30"/>
          <w:szCs w:val="30"/>
        </w:rPr>
        <w:t>汇总编报，包括封面、11张主表、4张附表，分别为：财资综01资产负债汇总表、财资综02机构人员情况汇总表、财资综03-1资产情况汇总表（一）、财资综03-2资产情况汇总表（二）、财资综03-3资产情况汇总表（三）、财资综03-4资产情况汇总表（四）、财资综03-5资产情况汇总表（五）、财资综04资产配置情况汇总表、财资综05资产使用情况汇总表、财资综06资产处置情况汇总表、财资综07资产收益情况汇总表、财资综附012025年度资产盘活情况汇总表、财资综附02-1执法执勤用车编制等情况汇总表（中央部门）、财资综附02-2执法执勤用车编制等情况汇总表（地方财政部门）、财资综附03卫生健康行业资产情况汇总表。</w:t>
      </w:r>
    </w:p>
    <w:p>
      <w:pPr>
        <w:pStyle w:val="2"/>
        <w:rPr>
          <w:rFonts w:hint="eastAsia"/>
          <w:b/>
          <w:color w:val="auto"/>
        </w:rPr>
      </w:pPr>
      <w:r>
        <w:rPr>
          <w:rFonts w:hint="eastAsia"/>
          <w:color w:val="auto"/>
        </w:rPr>
        <w:t>三、编报要求</w:t>
      </w:r>
    </w:p>
    <w:p>
      <w:pPr>
        <w:widowControl/>
        <w:spacing w:line="360" w:lineRule="auto"/>
        <w:ind w:firstLine="708" w:firstLineChars="236"/>
        <w:rPr>
          <w:rFonts w:hint="eastAsia" w:ascii="仿宋_GB2312" w:hAnsi="仿宋" w:eastAsia="仿宋_GB2312"/>
          <w:bCs/>
          <w:sz w:val="30"/>
          <w:szCs w:val="30"/>
        </w:rPr>
      </w:pPr>
      <w:r>
        <w:rPr>
          <w:rFonts w:hint="eastAsia" w:ascii="仿宋_GB2312" w:hAnsi="仿宋" w:eastAsia="仿宋_GB2312"/>
          <w:bCs/>
          <w:sz w:val="30"/>
          <w:szCs w:val="30"/>
        </w:rPr>
        <w:t>（一）按照财务隶属关系或预算级次，逐级汇总上报。</w:t>
      </w:r>
      <w:r>
        <w:rPr>
          <w:rFonts w:hint="eastAsia" w:ascii="仿宋_GB2312" w:hAnsi="仿宋" w:eastAsia="仿宋_GB2312"/>
          <w:bCs/>
          <w:sz w:val="30"/>
          <w:szCs w:val="30"/>
          <w:lang w:bidi="ar"/>
        </w:rPr>
        <w:t>实行经费自理的事业单位编报级次问题，按照《事业单位法人证书》所列举办单位确认所属关系。涉及两个或两个以上举办单位的，按排序第一的举办单位确认，纳入该举办单位资产报告编制范围；如举办单位之间有协议、章程或管理办法约定的，按约定执行，不得重复编报。</w:t>
      </w:r>
    </w:p>
    <w:p>
      <w:pPr>
        <w:spacing w:line="360" w:lineRule="auto"/>
        <w:ind w:firstLine="708" w:firstLineChars="236"/>
        <w:rPr>
          <w:rFonts w:hint="eastAsia" w:ascii="仿宋_GB2312" w:hAnsi="仿宋" w:eastAsia="仿宋_GB2312"/>
          <w:bCs/>
          <w:sz w:val="30"/>
          <w:szCs w:val="30"/>
        </w:rPr>
      </w:pPr>
      <w:r>
        <w:rPr>
          <w:rFonts w:hint="eastAsia" w:ascii="仿宋_GB2312" w:hAnsi="仿宋" w:eastAsia="仿宋_GB2312"/>
          <w:bCs/>
          <w:sz w:val="30"/>
          <w:szCs w:val="30"/>
        </w:rPr>
        <w:t>（二）各行政事业单位应在各项资产全面盘点的基础上，真实、准确的填报和编制本套报表，并按要求编写填报说明、分析报告和盘活情况报告。</w:t>
      </w:r>
    </w:p>
    <w:p>
      <w:pPr>
        <w:spacing w:line="360" w:lineRule="auto"/>
        <w:ind w:firstLine="708" w:firstLineChars="236"/>
        <w:rPr>
          <w:rFonts w:hint="eastAsia" w:ascii="仿宋_GB2312" w:hAnsi="仿宋" w:eastAsia="仿宋_GB2312"/>
          <w:bCs/>
          <w:sz w:val="30"/>
          <w:szCs w:val="30"/>
        </w:rPr>
      </w:pPr>
      <w:r>
        <w:rPr>
          <w:rFonts w:hint="eastAsia" w:ascii="仿宋_GB2312" w:hAnsi="仿宋" w:eastAsia="仿宋_GB2312"/>
          <w:bCs/>
          <w:sz w:val="30"/>
          <w:szCs w:val="30"/>
        </w:rPr>
        <w:t>（三）行政事业性国有资产报告相关数据与部门决算、政府部门财务报告、国有企业财务会计决算报告同口径数据保持衔接一致。</w:t>
      </w:r>
    </w:p>
    <w:p>
      <w:pPr>
        <w:spacing w:line="360" w:lineRule="auto"/>
        <w:ind w:firstLine="708" w:firstLineChars="236"/>
        <w:rPr>
          <w:rFonts w:hint="eastAsia" w:ascii="仿宋_GB2312" w:hAnsi="仿宋" w:eastAsia="仿宋_GB2312"/>
          <w:sz w:val="30"/>
          <w:szCs w:val="30"/>
        </w:rPr>
      </w:pPr>
      <w:r>
        <w:rPr>
          <w:rFonts w:hint="eastAsia" w:ascii="仿宋_GB2312" w:hAnsi="仿宋" w:eastAsia="仿宋_GB2312"/>
          <w:bCs/>
          <w:sz w:val="30"/>
          <w:szCs w:val="30"/>
        </w:rPr>
        <w:t>（四）</w:t>
      </w:r>
      <w:r>
        <w:rPr>
          <w:rFonts w:hint="eastAsia" w:ascii="仿宋_GB2312" w:hAnsi="仿宋" w:eastAsia="仿宋_GB2312"/>
          <w:sz w:val="30"/>
          <w:szCs w:val="30"/>
        </w:rPr>
        <w:t>本套报表的单户表录入金额单位为“元”（保留两位小数），汇总打印报表金额单位为“万元”（保留两位小数）。</w:t>
      </w:r>
    </w:p>
    <w:p>
      <w:pPr>
        <w:pStyle w:val="2"/>
        <w:rPr>
          <w:rFonts w:hint="eastAsia"/>
          <w:color w:val="auto"/>
        </w:rPr>
      </w:pPr>
      <w:bookmarkStart w:id="0" w:name="OLE_LINK11"/>
      <w:r>
        <w:rPr>
          <w:rFonts w:hint="eastAsia"/>
          <w:color w:val="auto"/>
        </w:rPr>
        <w:t>第二部分：20</w:t>
      </w:r>
      <w:r>
        <w:rPr>
          <w:color w:val="auto"/>
        </w:rPr>
        <w:t>2</w:t>
      </w:r>
      <w:r>
        <w:rPr>
          <w:rFonts w:hint="eastAsia"/>
          <w:color w:val="auto"/>
        </w:rPr>
        <w:t>5年度行政事业性国有资产报表编制说明</w:t>
      </w:r>
    </w:p>
    <w:p>
      <w:pPr>
        <w:pStyle w:val="2"/>
        <w:rPr>
          <w:rFonts w:hint="eastAsia"/>
          <w:color w:val="auto"/>
        </w:rPr>
      </w:pPr>
      <w:r>
        <w:rPr>
          <w:rFonts w:hint="eastAsia"/>
          <w:color w:val="auto"/>
        </w:rPr>
        <w:t>一、单户表编制说明</w:t>
      </w:r>
    </w:p>
    <w:p>
      <w:pPr>
        <w:pStyle w:val="2"/>
        <w:rPr>
          <w:rFonts w:hint="eastAsia"/>
          <w:color w:val="auto"/>
        </w:rPr>
      </w:pPr>
      <w:r>
        <w:rPr>
          <w:rFonts w:hint="eastAsia"/>
          <w:color w:val="auto"/>
        </w:rPr>
        <w:t>（一）单户封面</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本表反映单位的基本信息情况，本表中单位名称、单位性质、隶属关系、部门标识码等信息，从资产模块单位基本信息中自动提取。若有变动需在资产模块单位基本信息中进行修改后，重新提取。</w:t>
      </w:r>
    </w:p>
    <w:bookmarkEnd w:id="0"/>
    <w:p>
      <w:pPr>
        <w:pStyle w:val="5"/>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1.单位名称：填写单位全称，并在上报纸质文件时加盖单位公章。行政事业单位主管部门填报本级报表时，应在单位名称后加注“（本级）”。</w:t>
      </w:r>
    </w:p>
    <w:p>
      <w:pPr>
        <w:pStyle w:val="6"/>
        <w:tabs>
          <w:tab w:val="left" w:pos="180"/>
        </w:tabs>
        <w:spacing w:line="360" w:lineRule="auto"/>
        <w:ind w:left="-2" w:leftChars="-1" w:firstLine="542"/>
        <w:rPr>
          <w:rFonts w:hint="eastAsia" w:ascii="仿宋_GB2312" w:hAnsi="仿宋" w:eastAsia="仿宋_GB2312"/>
          <w:sz w:val="30"/>
          <w:szCs w:val="30"/>
        </w:rPr>
      </w:pPr>
      <w:r>
        <w:rPr>
          <w:rFonts w:hint="eastAsia" w:ascii="仿宋_GB2312" w:hAnsi="仿宋" w:eastAsia="仿宋_GB2312"/>
          <w:sz w:val="30"/>
          <w:szCs w:val="30"/>
        </w:rPr>
        <w:t>2.单位负责人、资产管理负责人、填表人、座机号码、手机号码、单位地址，均按单位实际情况如实、完整填报，其中资产管理负责人是指承担资产管理职责部门的负责人；单位地址应按照省、市（地）、县（区）逐级填写详细</w:t>
      </w:r>
      <w:r>
        <w:rPr>
          <w:rFonts w:ascii="仿宋_GB2312" w:hAnsi="仿宋" w:eastAsia="仿宋_GB2312"/>
          <w:sz w:val="30"/>
          <w:szCs w:val="30"/>
        </w:rPr>
        <w:t>地址</w:t>
      </w:r>
      <w:r>
        <w:rPr>
          <w:rFonts w:hint="eastAsia" w:ascii="仿宋_GB2312" w:hAnsi="仿宋" w:eastAsia="仿宋_GB2312"/>
          <w:sz w:val="30"/>
          <w:szCs w:val="30"/>
        </w:rPr>
        <w:t>；手机号码填写填表人11位手机号码。</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3.报送日期：填列单位实际报送报表的日期。</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w:t>
      </w:r>
      <w:r>
        <w:rPr>
          <w:rFonts w:hint="eastAsia" w:ascii="仿宋_GB2312" w:hAnsi="仿宋" w:eastAsia="仿宋_GB2312"/>
          <w:sz w:val="30"/>
        </w:rPr>
        <w:t>统一社会信用代码：依据登记管理部门发放的18位代码填写。尚未领取统一社会信用代码的单位，应主动与当地相关登记管理部门联系办理核发手续，并编报临时代码</w:t>
      </w:r>
      <w:r>
        <w:rPr>
          <w:rFonts w:hint="eastAsia" w:ascii="仿宋_GB2312" w:hAnsi="仿宋" w:eastAsia="仿宋_GB2312"/>
          <w:sz w:val="30"/>
          <w:szCs w:val="30"/>
        </w:rPr>
        <w:t>。</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财政预算代码：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单位性质：依据政府编制管理部门确定的单位性质，根据共产党机关、政府机关、人大机关、政协机关、群众团体、民主党派、政法机关、参照公务员法管理事业单位、财政补助事业单位、经费自理事业单位、社会</w:t>
      </w:r>
      <w:r>
        <w:rPr>
          <w:rFonts w:ascii="仿宋_GB2312" w:hAnsi="仿宋" w:eastAsia="仿宋_GB2312"/>
          <w:sz w:val="30"/>
          <w:szCs w:val="30"/>
        </w:rPr>
        <w:t>团体</w:t>
      </w:r>
      <w:r>
        <w:rPr>
          <w:rFonts w:hint="eastAsia" w:ascii="仿宋_GB2312" w:hAnsi="仿宋" w:eastAsia="仿宋_GB2312"/>
          <w:sz w:val="30"/>
          <w:szCs w:val="30"/>
        </w:rPr>
        <w:t>及其他填列。主管部门、各级财政部门编报汇总报表时不填列本项。</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7.单位所在地区：反映单位实际所在地，依据国家标准《中华人民共和国行政区划代码》填列，行政区划只能选择末级叶子节点填列。</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8.单位类型：依据单位实际类型行政单位、事业单位（行政类事业单位、公益一类事业单位、公益二类事业单位、生产经营类事业单位、暂未分类事业单位）、其他单位，单位类型应当结合“单位性质”情况，进行选择填列。</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9.隶属关系（国家标准：隶属关系-部门标识代码）：本代码</w:t>
      </w:r>
      <w:r>
        <w:rPr>
          <w:rFonts w:ascii="仿宋_GB2312" w:hAnsi="仿宋" w:eastAsia="仿宋_GB2312"/>
          <w:sz w:val="30"/>
          <w:szCs w:val="30"/>
        </w:rPr>
        <w:t>由“</w:t>
      </w:r>
      <w:r>
        <w:rPr>
          <w:rFonts w:hint="eastAsia" w:ascii="仿宋_GB2312" w:hAnsi="仿宋" w:eastAsia="仿宋_GB2312"/>
          <w:sz w:val="30"/>
          <w:szCs w:val="30"/>
        </w:rPr>
        <w:t>行政</w:t>
      </w:r>
      <w:r>
        <w:rPr>
          <w:rFonts w:ascii="仿宋_GB2312" w:hAnsi="仿宋" w:eastAsia="仿宋_GB2312"/>
          <w:sz w:val="30"/>
          <w:szCs w:val="30"/>
        </w:rPr>
        <w:t>隶属关系代码”</w:t>
      </w:r>
      <w:r>
        <w:rPr>
          <w:rFonts w:hint="eastAsia" w:ascii="仿宋_GB2312" w:hAnsi="仿宋" w:eastAsia="仿宋_GB2312"/>
          <w:sz w:val="30"/>
          <w:szCs w:val="30"/>
        </w:rPr>
        <w:t>和</w:t>
      </w:r>
      <w:r>
        <w:rPr>
          <w:rFonts w:ascii="仿宋_GB2312" w:hAnsi="仿宋" w:eastAsia="仿宋_GB2312"/>
          <w:sz w:val="30"/>
          <w:szCs w:val="30"/>
        </w:rPr>
        <w:t>“</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两部分</w:t>
      </w:r>
      <w:r>
        <w:rPr>
          <w:rFonts w:ascii="仿宋_GB2312" w:hAnsi="仿宋" w:eastAsia="仿宋_GB2312"/>
          <w:sz w:val="30"/>
          <w:szCs w:val="30"/>
        </w:rPr>
        <w:t>组成</w:t>
      </w:r>
      <w:r>
        <w:rPr>
          <w:rFonts w:hint="eastAsia" w:ascii="仿宋_GB2312" w:hAnsi="仿宋" w:eastAsia="仿宋_GB2312"/>
          <w:sz w:val="30"/>
          <w:szCs w:val="30"/>
        </w:rPr>
        <w:t>。具体</w:t>
      </w:r>
      <w:r>
        <w:rPr>
          <w:rFonts w:ascii="仿宋_GB2312" w:hAnsi="仿宋" w:eastAsia="仿宋_GB2312"/>
          <w:sz w:val="30"/>
          <w:szCs w:val="30"/>
        </w:rPr>
        <w:t>填报方法如下：</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（1）中央</w:t>
      </w:r>
      <w:r>
        <w:rPr>
          <w:rFonts w:ascii="仿宋_GB2312" w:hAnsi="仿宋" w:eastAsia="仿宋_GB2312"/>
          <w:sz w:val="30"/>
          <w:szCs w:val="30"/>
        </w:rPr>
        <w:t>单位</w:t>
      </w:r>
      <w:r>
        <w:rPr>
          <w:rFonts w:hint="eastAsia" w:ascii="仿宋_GB2312" w:hAnsi="仿宋" w:eastAsia="仿宋_GB2312"/>
          <w:sz w:val="30"/>
          <w:szCs w:val="30"/>
        </w:rPr>
        <w:t>（不论级次</w:t>
      </w:r>
      <w:r>
        <w:rPr>
          <w:rFonts w:ascii="仿宋_GB2312" w:hAnsi="仿宋" w:eastAsia="仿宋_GB2312"/>
          <w:sz w:val="30"/>
          <w:szCs w:val="30"/>
        </w:rPr>
        <w:t>和所在地区</w:t>
      </w:r>
      <w:r>
        <w:rPr>
          <w:rFonts w:hint="eastAsia" w:ascii="仿宋_GB2312" w:hAnsi="仿宋" w:eastAsia="仿宋_GB2312"/>
          <w:sz w:val="30"/>
          <w:szCs w:val="30"/>
        </w:rPr>
        <w:t>）</w:t>
      </w:r>
      <w:r>
        <w:rPr>
          <w:rFonts w:ascii="仿宋_GB2312" w:hAnsi="仿宋" w:eastAsia="仿宋_GB2312"/>
          <w:sz w:val="30"/>
          <w:szCs w:val="30"/>
        </w:rPr>
        <w:t>：</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代码”均</w:t>
      </w:r>
      <w:r>
        <w:rPr>
          <w:rFonts w:ascii="仿宋_GB2312" w:hAnsi="仿宋" w:eastAsia="仿宋_GB2312"/>
          <w:sz w:val="30"/>
          <w:szCs w:val="30"/>
        </w:rPr>
        <w:t>填零，</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w:t>
      </w:r>
      <w:r>
        <w:rPr>
          <w:rFonts w:ascii="仿宋_GB2312" w:hAnsi="仿宋" w:eastAsia="仿宋_GB2312"/>
          <w:sz w:val="30"/>
          <w:szCs w:val="30"/>
        </w:rPr>
        <w:t>根据国家标准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》编制</w:t>
      </w:r>
      <w:r>
        <w:rPr>
          <w:rFonts w:ascii="仿宋_GB2312" w:hAnsi="仿宋" w:eastAsia="仿宋_GB2312"/>
          <w:sz w:val="30"/>
          <w:szCs w:val="30"/>
        </w:rPr>
        <w:t>。</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（2）地方</w:t>
      </w:r>
      <w:r>
        <w:rPr>
          <w:rFonts w:ascii="仿宋_GB2312" w:hAnsi="仿宋" w:eastAsia="仿宋_GB2312"/>
          <w:sz w:val="30"/>
          <w:szCs w:val="30"/>
        </w:rPr>
        <w:t>单位：</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w:t>
      </w:r>
      <w:r>
        <w:rPr>
          <w:rFonts w:ascii="仿宋_GB2312" w:hAnsi="仿宋" w:eastAsia="仿宋_GB2312"/>
          <w:sz w:val="30"/>
          <w:szCs w:val="30"/>
        </w:rPr>
        <w:t>根据国家标准《</w:t>
      </w:r>
      <w:r>
        <w:rPr>
          <w:rFonts w:hint="eastAsia" w:ascii="仿宋_GB2312" w:hAnsi="仿宋" w:eastAsia="仿宋_GB2312"/>
          <w:sz w:val="30"/>
          <w:szCs w:val="30"/>
        </w:rPr>
        <w:t>中华</w:t>
      </w:r>
      <w:r>
        <w:rPr>
          <w:rFonts w:ascii="仿宋_GB2312" w:hAnsi="仿宋" w:eastAsia="仿宋_GB2312"/>
          <w:sz w:val="30"/>
          <w:szCs w:val="30"/>
        </w:rPr>
        <w:t>人民共和国行政区划代码》</w:t>
      </w:r>
      <w:r>
        <w:rPr>
          <w:rFonts w:hint="eastAsia" w:ascii="仿宋_GB2312" w:hAnsi="仿宋" w:eastAsia="仿宋_GB2312"/>
          <w:sz w:val="30"/>
          <w:szCs w:val="30"/>
        </w:rPr>
        <w:t>编制</w:t>
      </w:r>
      <w:r>
        <w:rPr>
          <w:rFonts w:ascii="仿宋_GB2312" w:hAnsi="仿宋" w:eastAsia="仿宋_GB2312"/>
          <w:sz w:val="30"/>
          <w:szCs w:val="30"/>
        </w:rPr>
        <w:t>。具体</w:t>
      </w:r>
      <w:r>
        <w:rPr>
          <w:rFonts w:hint="eastAsia" w:ascii="仿宋_GB2312" w:hAnsi="仿宋" w:eastAsia="仿宋_GB2312"/>
          <w:sz w:val="30"/>
          <w:szCs w:val="30"/>
        </w:rPr>
        <w:t>编制</w:t>
      </w:r>
      <w:r>
        <w:rPr>
          <w:rFonts w:ascii="仿宋_GB2312" w:hAnsi="仿宋" w:eastAsia="仿宋_GB2312"/>
          <w:sz w:val="30"/>
          <w:szCs w:val="30"/>
        </w:rPr>
        <w:t>方法：省级单位以行政区划代码的前两位数字后加</w:t>
      </w:r>
      <w:r>
        <w:rPr>
          <w:rFonts w:hint="eastAsia" w:ascii="仿宋_GB2312" w:hAnsi="仿宋" w:eastAsia="仿宋_GB2312"/>
          <w:sz w:val="30"/>
          <w:szCs w:val="30"/>
        </w:rPr>
        <w:t>4个</w:t>
      </w:r>
      <w:r>
        <w:rPr>
          <w:rFonts w:ascii="仿宋_GB2312" w:hAnsi="仿宋" w:eastAsia="仿宋_GB2312"/>
          <w:sz w:val="30"/>
          <w:szCs w:val="30"/>
        </w:rPr>
        <w:t>零表示，如湖北省省属单位一律</w:t>
      </w:r>
      <w:r>
        <w:rPr>
          <w:rFonts w:hint="eastAsia" w:ascii="仿宋_GB2312" w:hAnsi="仿宋" w:eastAsia="仿宋_GB2312"/>
          <w:sz w:val="30"/>
          <w:szCs w:val="30"/>
        </w:rPr>
        <w:t>填列</w:t>
      </w:r>
      <w:r>
        <w:rPr>
          <w:rFonts w:ascii="仿宋_GB2312" w:hAnsi="仿宋" w:eastAsia="仿宋_GB2312"/>
          <w:sz w:val="30"/>
          <w:szCs w:val="30"/>
        </w:rPr>
        <w:t>“420000”</w:t>
      </w:r>
      <w:r>
        <w:rPr>
          <w:rFonts w:hint="eastAsia" w:ascii="仿宋_GB2312" w:hAnsi="仿宋" w:eastAsia="仿宋_GB2312"/>
          <w:sz w:val="30"/>
          <w:szCs w:val="30"/>
        </w:rPr>
        <w:t>；</w:t>
      </w:r>
      <w:r>
        <w:rPr>
          <w:rFonts w:ascii="仿宋_GB2312" w:hAnsi="仿宋" w:eastAsia="仿宋_GB2312"/>
          <w:sz w:val="30"/>
          <w:szCs w:val="30"/>
        </w:rPr>
        <w:t>市级</w:t>
      </w:r>
      <w:r>
        <w:rPr>
          <w:rFonts w:hint="eastAsia" w:ascii="仿宋_GB2312" w:hAnsi="仿宋" w:eastAsia="仿宋_GB2312"/>
          <w:sz w:val="30"/>
          <w:szCs w:val="30"/>
        </w:rPr>
        <w:t>单位</w:t>
      </w:r>
      <w:r>
        <w:rPr>
          <w:rFonts w:ascii="仿宋_GB2312" w:hAnsi="仿宋" w:eastAsia="仿宋_GB2312"/>
          <w:sz w:val="30"/>
          <w:szCs w:val="30"/>
        </w:rPr>
        <w:t>以行政区划代码的前四位数字后加</w:t>
      </w:r>
      <w:r>
        <w:rPr>
          <w:rFonts w:hint="eastAsia" w:ascii="仿宋_GB2312" w:hAnsi="仿宋" w:eastAsia="仿宋_GB2312"/>
          <w:sz w:val="30"/>
          <w:szCs w:val="30"/>
        </w:rPr>
        <w:t>2个</w:t>
      </w:r>
      <w:r>
        <w:rPr>
          <w:rFonts w:ascii="仿宋_GB2312" w:hAnsi="仿宋" w:eastAsia="仿宋_GB2312"/>
          <w:sz w:val="30"/>
          <w:szCs w:val="30"/>
        </w:rPr>
        <w:t>零表示，如湖北省黄冈市市属单位一律</w:t>
      </w:r>
      <w:r>
        <w:rPr>
          <w:rFonts w:hint="eastAsia" w:ascii="仿宋_GB2312" w:hAnsi="仿宋" w:eastAsia="仿宋_GB2312"/>
          <w:sz w:val="30"/>
          <w:szCs w:val="30"/>
        </w:rPr>
        <w:t>填列“421100”；县级</w:t>
      </w:r>
      <w:r>
        <w:rPr>
          <w:rFonts w:ascii="仿宋_GB2312" w:hAnsi="仿宋" w:eastAsia="仿宋_GB2312"/>
          <w:sz w:val="30"/>
          <w:szCs w:val="30"/>
        </w:rPr>
        <w:t>（</w:t>
      </w:r>
      <w:r>
        <w:rPr>
          <w:rFonts w:hint="eastAsia" w:ascii="仿宋_GB2312" w:hAnsi="仿宋" w:eastAsia="仿宋_GB2312"/>
          <w:sz w:val="30"/>
          <w:szCs w:val="30"/>
        </w:rPr>
        <w:t>含</w:t>
      </w:r>
      <w:r>
        <w:rPr>
          <w:rFonts w:ascii="仿宋_GB2312" w:hAnsi="仿宋" w:eastAsia="仿宋_GB2312"/>
          <w:sz w:val="30"/>
          <w:szCs w:val="30"/>
        </w:rPr>
        <w:t>乡镇）</w:t>
      </w:r>
      <w:r>
        <w:rPr>
          <w:rFonts w:hint="eastAsia" w:ascii="仿宋_GB2312" w:hAnsi="仿宋" w:eastAsia="仿宋_GB2312"/>
          <w:sz w:val="30"/>
          <w:szCs w:val="30"/>
        </w:rPr>
        <w:t>所属</w:t>
      </w:r>
      <w:r>
        <w:rPr>
          <w:rFonts w:ascii="仿宋_GB2312" w:hAnsi="仿宋" w:eastAsia="仿宋_GB2312"/>
          <w:sz w:val="30"/>
          <w:szCs w:val="30"/>
        </w:rPr>
        <w:t>单位以行政区划代码的本身</w:t>
      </w:r>
      <w:r>
        <w:rPr>
          <w:rFonts w:hint="eastAsia" w:ascii="仿宋_GB2312" w:hAnsi="仿宋" w:eastAsia="仿宋_GB2312"/>
          <w:sz w:val="30"/>
          <w:szCs w:val="30"/>
        </w:rPr>
        <w:t>6位</w:t>
      </w:r>
      <w:r>
        <w:rPr>
          <w:rFonts w:ascii="仿宋_GB2312" w:hAnsi="仿宋" w:eastAsia="仿宋_GB2312"/>
          <w:sz w:val="30"/>
          <w:szCs w:val="30"/>
        </w:rPr>
        <w:t>数表示，如湖北省黄冈市红安县县级及乡镇级单位一律填列“421122”</w:t>
      </w:r>
      <w:r>
        <w:rPr>
          <w:rFonts w:hint="eastAsia" w:ascii="仿宋_GB2312" w:hAnsi="仿宋" w:eastAsia="仿宋_GB2312"/>
          <w:sz w:val="30"/>
          <w:szCs w:val="30"/>
        </w:rPr>
        <w:t>。</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”按照</w:t>
      </w:r>
      <w:r>
        <w:rPr>
          <w:rFonts w:ascii="仿宋_GB2312" w:hAnsi="仿宋" w:eastAsia="仿宋_GB2312"/>
          <w:sz w:val="30"/>
          <w:szCs w:val="30"/>
        </w:rPr>
        <w:t>单位财务或归口管理的部门、机构，比照国家标准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》填报</w:t>
      </w:r>
      <w:r>
        <w:rPr>
          <w:rFonts w:ascii="仿宋_GB2312" w:hAnsi="仿宋" w:eastAsia="仿宋_GB2312"/>
          <w:sz w:val="30"/>
          <w:szCs w:val="30"/>
        </w:rPr>
        <w:t>。各级</w:t>
      </w:r>
      <w:r>
        <w:rPr>
          <w:rFonts w:hint="eastAsia" w:ascii="仿宋_GB2312" w:hAnsi="仿宋" w:eastAsia="仿宋_GB2312"/>
          <w:sz w:val="30"/>
          <w:szCs w:val="30"/>
        </w:rPr>
        <w:t>政府</w:t>
      </w:r>
      <w:r>
        <w:rPr>
          <w:rFonts w:ascii="仿宋_GB2312" w:hAnsi="仿宋" w:eastAsia="仿宋_GB2312"/>
          <w:sz w:val="30"/>
          <w:szCs w:val="30"/>
        </w:rPr>
        <w:t>财政部门汇总本级预算单位</w:t>
      </w:r>
      <w:r>
        <w:rPr>
          <w:rFonts w:hint="eastAsia" w:ascii="仿宋_GB2312" w:hAnsi="仿宋" w:eastAsia="仿宋_GB2312"/>
          <w:sz w:val="30"/>
          <w:szCs w:val="30"/>
        </w:rPr>
        <w:t>或者</w:t>
      </w:r>
      <w:r>
        <w:rPr>
          <w:rFonts w:ascii="仿宋_GB2312" w:hAnsi="仿宋" w:eastAsia="仿宋_GB2312"/>
          <w:sz w:val="30"/>
          <w:szCs w:val="30"/>
        </w:rPr>
        <w:t>下级财政报送</w:t>
      </w:r>
      <w:r>
        <w:rPr>
          <w:rFonts w:hint="eastAsia" w:ascii="仿宋_GB2312" w:hAnsi="仿宋" w:eastAsia="仿宋_GB2312"/>
          <w:sz w:val="30"/>
          <w:szCs w:val="30"/>
        </w:rPr>
        <w:t>资产</w:t>
      </w:r>
      <w:r>
        <w:rPr>
          <w:rFonts w:ascii="仿宋_GB2312" w:hAnsi="仿宋" w:eastAsia="仿宋_GB2312"/>
          <w:sz w:val="30"/>
          <w:szCs w:val="30"/>
        </w:rPr>
        <w:t>数据时建立的汇总报表，一律选择“999”</w:t>
      </w:r>
      <w:r>
        <w:rPr>
          <w:rFonts w:hint="eastAsia" w:ascii="仿宋_GB2312" w:hAnsi="仿宋" w:eastAsia="仿宋_GB2312"/>
          <w:sz w:val="30"/>
          <w:szCs w:val="30"/>
        </w:rPr>
        <w:t>（财政</w:t>
      </w:r>
      <w:r>
        <w:rPr>
          <w:rFonts w:ascii="仿宋_GB2312" w:hAnsi="仿宋" w:eastAsia="仿宋_GB2312"/>
          <w:sz w:val="30"/>
          <w:szCs w:val="30"/>
        </w:rPr>
        <w:t>汇总</w:t>
      </w:r>
      <w:r>
        <w:rPr>
          <w:rFonts w:hint="eastAsia" w:ascii="仿宋_GB2312" w:hAnsi="仿宋" w:eastAsia="仿宋_GB2312"/>
          <w:sz w:val="30"/>
          <w:szCs w:val="30"/>
        </w:rPr>
        <w:t>）填列</w:t>
      </w:r>
      <w:r>
        <w:rPr>
          <w:rFonts w:ascii="仿宋_GB2312" w:hAnsi="仿宋" w:eastAsia="仿宋_GB2312"/>
          <w:sz w:val="30"/>
          <w:szCs w:val="30"/>
        </w:rPr>
        <w:t>。</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10.执行会计制度：反映单位截至20</w:t>
      </w:r>
      <w:r>
        <w:rPr>
          <w:rFonts w:ascii="仿宋_GB2312" w:hAnsi="仿宋" w:eastAsia="仿宋_GB2312"/>
          <w:sz w:val="30"/>
          <w:szCs w:val="30"/>
        </w:rPr>
        <w:t>2</w:t>
      </w:r>
      <w:r>
        <w:rPr>
          <w:rFonts w:hint="eastAsia" w:ascii="仿宋_GB2312" w:hAnsi="仿宋" w:eastAsia="仿宋_GB2312"/>
          <w:sz w:val="30"/>
          <w:szCs w:val="30"/>
        </w:rPr>
        <w:t>5年12月31日执行的会计制度，分为政府会计准则制度、民间非营利组织会计制度和军工科研事业单位会计制度。主管部门、各级财政部门编报汇总报表时不填列本项。</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11</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参照公务员法管理事业单位执行财务规则：单位性质选择“21.参照公务员法管理事业单位”时，执行财务规则按1</w:t>
      </w:r>
      <w:r>
        <w:rPr>
          <w:rFonts w:ascii="仿宋_GB2312" w:hAnsi="仿宋" w:eastAsia="仿宋_GB2312"/>
          <w:sz w:val="30"/>
          <w:szCs w:val="30"/>
        </w:rPr>
        <w:t>0.</w:t>
      </w:r>
      <w:r>
        <w:rPr>
          <w:rFonts w:hint="eastAsia" w:ascii="仿宋_GB2312" w:hAnsi="仿宋" w:eastAsia="仿宋_GB2312"/>
          <w:sz w:val="30"/>
          <w:szCs w:val="30"/>
        </w:rPr>
        <w:t>行政单位财务规则、2</w:t>
      </w:r>
      <w:r>
        <w:rPr>
          <w:rFonts w:ascii="仿宋_GB2312" w:hAnsi="仿宋" w:eastAsia="仿宋_GB2312"/>
          <w:sz w:val="30"/>
          <w:szCs w:val="30"/>
        </w:rPr>
        <w:t>0.</w:t>
      </w:r>
      <w:r>
        <w:rPr>
          <w:rFonts w:hint="eastAsia" w:ascii="仿宋_GB2312" w:hAnsi="仿宋" w:eastAsia="仿宋_GB2312"/>
          <w:sz w:val="30"/>
          <w:szCs w:val="30"/>
        </w:rPr>
        <w:t>事业单位财务规则及其他选择填写。</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12.机构行业类型：依据国家标准《国民经济行业分类》（GB/T4754-2017）填列。单位应当根据</w:t>
      </w:r>
      <w:r>
        <w:rPr>
          <w:rFonts w:ascii="仿宋_GB2312" w:hAnsi="仿宋" w:eastAsia="仿宋_GB2312"/>
          <w:sz w:val="30"/>
          <w:szCs w:val="30"/>
        </w:rPr>
        <w:t>实际从事</w:t>
      </w:r>
      <w:r>
        <w:rPr>
          <w:rFonts w:hint="eastAsia" w:ascii="仿宋_GB2312" w:hAnsi="仿宋" w:eastAsia="仿宋_GB2312"/>
          <w:sz w:val="30"/>
          <w:szCs w:val="30"/>
        </w:rPr>
        <w:t>经济活动的性质，结合</w:t>
      </w:r>
      <w:r>
        <w:rPr>
          <w:rFonts w:hint="eastAsia" w:ascii="仿宋_GB2312" w:eastAsia="仿宋_GB2312"/>
          <w:sz w:val="32"/>
          <w:szCs w:val="32"/>
        </w:rPr>
        <w:t>“</w:t>
      </w:r>
      <w:r>
        <w:rPr>
          <w:rFonts w:hint="eastAsia" w:ascii="仿宋_GB2312" w:hAnsi="仿宋" w:eastAsia="仿宋_GB2312"/>
          <w:sz w:val="30"/>
          <w:szCs w:val="30"/>
        </w:rPr>
        <w:t>基本支出人员经费功能分类”选择相应的</w:t>
      </w:r>
      <w:r>
        <w:rPr>
          <w:rFonts w:ascii="仿宋_GB2312" w:hAnsi="仿宋" w:eastAsia="仿宋_GB2312"/>
          <w:sz w:val="30"/>
          <w:szCs w:val="30"/>
        </w:rPr>
        <w:t>行业分类</w:t>
      </w:r>
      <w:r>
        <w:rPr>
          <w:rFonts w:hint="eastAsia" w:ascii="仿宋_GB2312" w:hAnsi="仿宋" w:eastAsia="仿宋_GB2312"/>
          <w:sz w:val="30"/>
          <w:szCs w:val="30"/>
        </w:rPr>
        <w:t>进行选择</w:t>
      </w:r>
      <w:r>
        <w:rPr>
          <w:rFonts w:ascii="仿宋_GB2312" w:hAnsi="仿宋" w:eastAsia="仿宋_GB2312"/>
          <w:sz w:val="30"/>
          <w:szCs w:val="30"/>
        </w:rPr>
        <w:t>填列</w:t>
      </w:r>
      <w:r>
        <w:rPr>
          <w:rFonts w:hint="eastAsia" w:ascii="仿宋_GB2312" w:hAnsi="仿宋" w:eastAsia="仿宋_GB2312"/>
          <w:sz w:val="30"/>
          <w:szCs w:val="30"/>
        </w:rPr>
        <w:t>。</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bookmarkStart w:id="1" w:name="_Hlk524441887"/>
      <w:r>
        <w:rPr>
          <w:rFonts w:hint="eastAsia" w:ascii="仿宋_GB2312" w:hAnsi="仿宋" w:eastAsia="仿宋_GB2312"/>
          <w:sz w:val="30"/>
          <w:szCs w:val="30"/>
        </w:rPr>
        <w:t>3.预算级次：反映单位资金来源级次，包括中央级、省级、计划单列市、市级、县（区）级、乡级。直辖市（</w:t>
      </w:r>
      <w:r>
        <w:rPr>
          <w:rFonts w:ascii="仿宋_GB2312" w:hAnsi="仿宋" w:eastAsia="仿宋_GB2312"/>
          <w:sz w:val="30"/>
          <w:szCs w:val="30"/>
        </w:rPr>
        <w:t>北京</w:t>
      </w:r>
      <w:r>
        <w:rPr>
          <w:rFonts w:hint="eastAsia" w:ascii="仿宋_GB2312" w:hAnsi="仿宋" w:eastAsia="仿宋_GB2312"/>
          <w:sz w:val="30"/>
          <w:szCs w:val="30"/>
        </w:rPr>
        <w:t>、</w:t>
      </w:r>
      <w:r>
        <w:rPr>
          <w:rFonts w:ascii="仿宋_GB2312" w:hAnsi="仿宋" w:eastAsia="仿宋_GB2312"/>
          <w:sz w:val="30"/>
          <w:szCs w:val="30"/>
        </w:rPr>
        <w:t>上海</w:t>
      </w:r>
      <w:r>
        <w:rPr>
          <w:rFonts w:hint="eastAsia" w:ascii="仿宋_GB2312" w:hAnsi="仿宋" w:eastAsia="仿宋_GB2312"/>
          <w:sz w:val="30"/>
          <w:szCs w:val="30"/>
        </w:rPr>
        <w:t>、</w:t>
      </w:r>
      <w:r>
        <w:rPr>
          <w:rFonts w:ascii="仿宋_GB2312" w:hAnsi="仿宋" w:eastAsia="仿宋_GB2312"/>
          <w:sz w:val="30"/>
          <w:szCs w:val="30"/>
        </w:rPr>
        <w:t>重庆</w:t>
      </w:r>
      <w:r>
        <w:rPr>
          <w:rFonts w:hint="eastAsia" w:ascii="仿宋_GB2312" w:hAnsi="仿宋" w:eastAsia="仿宋_GB2312"/>
          <w:sz w:val="30"/>
          <w:szCs w:val="30"/>
        </w:rPr>
        <w:t>、</w:t>
      </w:r>
      <w:r>
        <w:rPr>
          <w:rFonts w:ascii="仿宋_GB2312" w:hAnsi="仿宋" w:eastAsia="仿宋_GB2312"/>
          <w:sz w:val="30"/>
          <w:szCs w:val="30"/>
        </w:rPr>
        <w:t>天津</w:t>
      </w:r>
      <w:r>
        <w:rPr>
          <w:rFonts w:hint="eastAsia" w:ascii="仿宋_GB2312" w:hAnsi="仿宋" w:eastAsia="仿宋_GB2312"/>
          <w:sz w:val="30"/>
          <w:szCs w:val="30"/>
        </w:rPr>
        <w:t>）的预算级次按照省级政府填报。</w:t>
      </w:r>
    </w:p>
    <w:bookmarkEnd w:id="1"/>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14.是否编报部门决算：依据单位编报部门决算的实际情况选择是、否填列。</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15.新报因素：</w:t>
      </w:r>
      <w:r>
        <w:rPr>
          <w:rFonts w:hint="eastAsia" w:ascii="仿宋_GB2312" w:eastAsia="仿宋_GB2312"/>
          <w:sz w:val="30"/>
          <w:szCs w:val="30"/>
        </w:rPr>
        <w:t>如上年填报国有资产报表，系统自动赋值为“连续上报”，其他情况根据单位实际情况选择填列。主管部门、各级财政部门编报汇总报表时不填列本项。</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“0”表示连续编报，由连续编报资产报表且报表小类未改变的单位使用。如单位只是组织机构代码发生改变，仍选择连续上报。</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rPr>
        <w:t>“1”表示新增单位，由新设立的单位（包括因机构改革合并、分立等设立的单位）</w:t>
      </w:r>
      <w:r>
        <w:rPr>
          <w:rFonts w:hint="eastAsia" w:ascii="仿宋_GB2312" w:hAnsi="仿宋" w:eastAsia="仿宋_GB2312"/>
          <w:sz w:val="30"/>
          <w:szCs w:val="30"/>
        </w:rPr>
        <w:t>、因会计制度变更新纳入填报范围的单位</w:t>
      </w:r>
      <w:r>
        <w:rPr>
          <w:rFonts w:hint="eastAsia" w:ascii="仿宋_GB2312" w:hAnsi="仿宋" w:eastAsia="仿宋_GB2312"/>
          <w:sz w:val="30"/>
        </w:rPr>
        <w:t>和同财政部门新建立经费缴拨关系的社会团体使用。</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“2”表示上年应报未报，由上一年度应编未编资产报表的单位使用。</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“6”表示调整隶属关系，由当年因机构改革等原因改变隶属关系的单位使用。</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16</w:t>
      </w:r>
      <w:r>
        <w:rPr>
          <w:rFonts w:ascii="仿宋_GB2312" w:hAnsi="仿宋" w:eastAsia="仿宋_GB2312"/>
          <w:sz w:val="30"/>
          <w:szCs w:val="30"/>
        </w:rPr>
        <w:t>.</w:t>
      </w:r>
      <w:r>
        <w:rPr>
          <w:rFonts w:hint="eastAsia" w:ascii="仿宋_GB2312" w:hAnsi="仿宋" w:eastAsia="仿宋_GB2312"/>
          <w:sz w:val="30"/>
          <w:szCs w:val="30"/>
        </w:rPr>
        <w:t>是否编报政府部门财务报告:</w:t>
      </w:r>
      <w:r>
        <w:rPr>
          <w:rFonts w:hint="eastAsia"/>
        </w:rPr>
        <w:t xml:space="preserve"> </w:t>
      </w:r>
      <w:r>
        <w:rPr>
          <w:rFonts w:hint="eastAsia" w:ascii="仿宋_GB2312" w:hAnsi="仿宋" w:eastAsia="仿宋_GB2312"/>
          <w:sz w:val="30"/>
          <w:szCs w:val="30"/>
        </w:rPr>
        <w:t>依据单位编报政府部门财务报告的实际情况选择是、否填列。</w:t>
      </w:r>
    </w:p>
    <w:p>
      <w:pPr>
        <w:pStyle w:val="6"/>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sz w:val="30"/>
          <w:szCs w:val="30"/>
        </w:rPr>
        <w:t>17.报表小类：按单位具体填报的报表小类选择填列。其中：“0”表示单户表，由独立核算行政事业单位编制报表时使用。“7”表示叠加汇总表，由各主管部门或地方各级财政部门编报汇总表时使用</w:t>
      </w:r>
      <w:r>
        <w:rPr>
          <w:rFonts w:hint="eastAsia" w:ascii="仿宋_GB2312" w:hAnsi="仿宋" w:eastAsia="仿宋_GB2312"/>
          <w:bCs/>
          <w:sz w:val="30"/>
          <w:szCs w:val="30"/>
        </w:rPr>
        <w:t>。</w:t>
      </w:r>
    </w:p>
    <w:p>
      <w:pPr>
        <w:pStyle w:val="6"/>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18.是否涉及公共基础设施、政府储备物资、保障性住房：</w:t>
      </w:r>
      <w:r>
        <w:rPr>
          <w:rFonts w:hint="eastAsia" w:ascii="仿宋_GB2312" w:eastAsia="仿宋_GB2312"/>
          <w:sz w:val="30"/>
          <w:szCs w:val="30"/>
        </w:rPr>
        <w:t>如上年填报国有资产报表，自动取上年数，单位</w:t>
      </w:r>
      <w:r>
        <w:rPr>
          <w:rFonts w:hint="eastAsia" w:ascii="仿宋_GB2312" w:hAnsi="仿宋" w:eastAsia="仿宋_GB2312"/>
          <w:bCs/>
          <w:sz w:val="30"/>
          <w:szCs w:val="30"/>
        </w:rPr>
        <w:t>可根据是否涉及交通、水利、市政等公共基础设施、政府储备物资、保障性住房的实际情况选择是、否填列。</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单位名称应不少于两个汉字；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单位负责人应不少于两个汉字；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资产管理负责人应不少于两个汉字；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填表人应不少于两个汉字；</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手机号码不应为空，首位应为“1”且为11位数字；</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rPr>
        <w:t>座机号码不应为空，且号码均为数字，区号首位应为“0”，不能多于5位，电话号码不能多于10位，分机号不能多于6位；</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单位地址应大于10字符的长度；</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报送日期不应为空；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rPr>
        <w:t>统一社会信用代码应为18位，且编码符合强制性国家标准GB 32100-2015《法人和其他组织统一社会信用代码编码规则》、IDCL规则要求</w:t>
      </w:r>
      <w:r>
        <w:rPr>
          <w:rFonts w:hint="eastAsia" w:ascii="仿宋_GB2312" w:hAnsi="仿宋" w:eastAsia="仿宋_GB2312"/>
          <w:sz w:val="30"/>
          <w:szCs w:val="30"/>
        </w:rPr>
        <w:t>；</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单位类型不应为空；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报表小类不应为空；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当单位性质选择“11.共产党机关 12.政府机关 13.人大机关 14.政协机关 15.群众团体 16.民主党派 17.政法机关”时，单位类型应选择“行政单位”；</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当单位性质选择“21.参照公务员法管理事业单位 22.财政补助事业单位 23.经费自理事业单位”时，单位类型应选择“21.行政类事业单位 22.公益一类事业单位 23.公益二类事业单位 24.生产经营类事业单位 29.暂未分类事业单位”；</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当单位性质选择“31.社会团体及其他”时，单位类型应选择“</w:t>
      </w:r>
      <w:r>
        <w:rPr>
          <w:rFonts w:ascii="仿宋_GB2312" w:hAnsi="仿宋" w:eastAsia="仿宋_GB2312"/>
          <w:sz w:val="30"/>
          <w:szCs w:val="30"/>
        </w:rPr>
        <w:t>9.</w:t>
      </w:r>
      <w:r>
        <w:rPr>
          <w:rFonts w:hint="eastAsia" w:ascii="仿宋_GB2312" w:hAnsi="仿宋" w:eastAsia="仿宋_GB2312"/>
          <w:sz w:val="30"/>
          <w:szCs w:val="30"/>
        </w:rPr>
        <w:t>其他单位”；</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财政预算代码不应为空，代码位数应为</w:t>
      </w:r>
      <w:r>
        <w:rPr>
          <w:rFonts w:ascii="仿宋_GB2312" w:hAnsi="仿宋" w:eastAsia="仿宋_GB2312"/>
          <w:sz w:val="30"/>
          <w:szCs w:val="30"/>
        </w:rPr>
        <w:t>3</w:t>
      </w:r>
      <w:r>
        <w:rPr>
          <w:rFonts w:hint="eastAsia" w:ascii="仿宋_GB2312" w:hAnsi="仿宋" w:eastAsia="仿宋_GB2312"/>
          <w:sz w:val="30"/>
          <w:szCs w:val="30"/>
        </w:rPr>
        <w:t>位、6位、</w:t>
      </w:r>
      <w:r>
        <w:rPr>
          <w:rFonts w:ascii="仿宋_GB2312" w:hAnsi="仿宋" w:eastAsia="仿宋_GB2312"/>
          <w:sz w:val="30"/>
          <w:szCs w:val="30"/>
        </w:rPr>
        <w:t>9</w:t>
      </w:r>
      <w:r>
        <w:rPr>
          <w:rFonts w:hint="eastAsia" w:ascii="仿宋_GB2312" w:hAnsi="仿宋" w:eastAsia="仿宋_GB2312"/>
          <w:sz w:val="30"/>
          <w:szCs w:val="30"/>
        </w:rPr>
        <w:t>位等（3的倍数）；</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单位所在地区（国家标准：行政区划代码）不应为空；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隶属关系不应为空；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部门标识代码不应为空；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单位执行会计制度不应为空；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单位性质选择“21.参照公务员法管理事业单位”时，参照公务员法管理事业单位执行财务规则必填，否则必须为空；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新报因素不应为空；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单位性质不应为空；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机构</w:t>
      </w:r>
      <w:r>
        <w:rPr>
          <w:rFonts w:ascii="仿宋_GB2312" w:hAnsi="仿宋" w:eastAsia="仿宋_GB2312"/>
          <w:sz w:val="30"/>
          <w:szCs w:val="30"/>
        </w:rPr>
        <w:t>行业类型不应为空；</w:t>
      </w:r>
      <w:r>
        <w:rPr>
          <w:rFonts w:hint="eastAsia" w:ascii="仿宋_GB2312" w:hAnsi="仿宋" w:eastAsia="仿宋_GB2312"/>
          <w:sz w:val="30"/>
          <w:szCs w:val="30"/>
        </w:rPr>
        <w:t xml:space="preserve"> </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预算级次不应为空；</w:t>
      </w:r>
    </w:p>
    <w:p>
      <w:pPr>
        <w:numPr>
          <w:ilvl w:val="255"/>
          <w:numId w:val="0"/>
        </w:num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当预算级次选择“计划单列市”时，隶属关系只能选择“2102（大连市）、4403（深圳市）、3502（厦门市）、3302（宁波市）、3702（青岛市）”开头的明细数据；</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是否编报部门决算不应为空；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是否编报政府部门财务报告不应为空；</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是否涉及公共基础设施、政府储备物资、保障性住房不应为空；</w:t>
      </w:r>
    </w:p>
    <w:p>
      <w:pPr>
        <w:numPr>
          <w:ilvl w:val="0"/>
          <w:numId w:val="1"/>
        </w:numPr>
        <w:spacing w:line="360" w:lineRule="auto"/>
        <w:ind w:left="987"/>
        <w:rPr>
          <w:rFonts w:hint="eastAsia" w:ascii="仿宋_GB2312" w:hAnsi="仿宋" w:eastAsia="仿宋_GB2312"/>
          <w:sz w:val="30"/>
          <w:szCs w:val="30"/>
        </w:rPr>
      </w:pPr>
      <w:r>
        <w:rPr>
          <w:rFonts w:hint="eastAsia" w:ascii="仿宋_GB2312" w:hAnsi="仿宋" w:eastAsia="仿宋_GB2312"/>
          <w:sz w:val="30"/>
          <w:szCs w:val="30"/>
        </w:rPr>
        <w:t>财政预算代码不应为空；</w:t>
      </w:r>
    </w:p>
    <w:p>
      <w:pPr>
        <w:pStyle w:val="6"/>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当单位性质选择“11 共产党机关、12 政府机关、13 人大机关、14 政协机关、15 群众团体、16 民主党派、17 政法机关”时，机构行业类型只能选择S 公共管理、社会保障和社会组织和T 国际组织；</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单位会计制度为民间非营利组织会计制度时，单位性质只能选择社会团体和其他；</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单位会计制度为军工科研事业单位会计制度时，单位性质不能选择</w:t>
      </w:r>
      <w:r>
        <w:rPr>
          <w:rFonts w:ascii="仿宋_GB2312" w:hAnsi="仿宋" w:eastAsia="仿宋_GB2312"/>
          <w:sz w:val="30"/>
          <w:szCs w:val="30"/>
        </w:rPr>
        <w:t>11.共产党机关 12.政府机关 13.人大机关 14.政协机关 15.群众团体 16.民主党派 17.政法机关 21.参照公务员法管理事业单位</w:t>
      </w:r>
      <w:r>
        <w:rPr>
          <w:rFonts w:hint="eastAsia" w:ascii="仿宋_GB2312" w:hAnsi="仿宋" w:eastAsia="仿宋_GB2312"/>
          <w:sz w:val="30"/>
          <w:szCs w:val="30"/>
        </w:rPr>
        <w:t>。</w:t>
      </w:r>
    </w:p>
    <w:p>
      <w:pPr>
        <w:tabs>
          <w:tab w:val="left" w:pos="2836"/>
        </w:tabs>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表间公式：</w:t>
      </w:r>
      <w:r>
        <w:rPr>
          <w:rFonts w:hint="eastAsia" w:ascii="仿宋_GB2312" w:hAnsi="仿宋" w:eastAsia="仿宋_GB2312"/>
          <w:b/>
          <w:sz w:val="30"/>
          <w:szCs w:val="30"/>
        </w:rPr>
        <w:tab/>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当单户封面预算级次为“中央级”时，执法执勤用车编制等情况备案表（地方财政部门）不应有数据；</w:t>
      </w:r>
    </w:p>
    <w:p>
      <w:pPr>
        <w:numPr>
          <w:ilvl w:val="0"/>
          <w:numId w:val="2"/>
        </w:numPr>
        <w:adjustRightInd w:val="0"/>
        <w:snapToGrid w:val="0"/>
        <w:spacing w:line="360" w:lineRule="auto"/>
        <w:ind w:left="0" w:firstLine="600"/>
        <w:rPr>
          <w:rFonts w:hint="eastAsia" w:ascii="仿宋_GB2312" w:hAnsi="仿宋" w:eastAsia="仿宋_GB2312"/>
          <w:b/>
          <w:sz w:val="30"/>
          <w:szCs w:val="30"/>
        </w:rPr>
      </w:pPr>
      <w:r>
        <w:rPr>
          <w:rFonts w:hint="eastAsia" w:ascii="仿宋_GB2312" w:hAnsi="仿宋" w:eastAsia="仿宋_GB2312"/>
          <w:sz w:val="30"/>
          <w:szCs w:val="30"/>
        </w:rPr>
        <w:t>当单户封面预算级次为“省级、计划单列市、市级、县（区）级、乡级”时，执法执勤用车编制等情况备案表（中央部门）不应有数据；</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除单户封面机构行业类型为“卫生</w:t>
      </w:r>
      <w:r>
        <w:rPr>
          <w:rFonts w:ascii="仿宋_GB2312" w:hAnsi="仿宋" w:eastAsia="仿宋_GB2312"/>
          <w:sz w:val="30"/>
          <w:szCs w:val="30"/>
        </w:rPr>
        <w:t>”</w:t>
      </w:r>
      <w:r>
        <w:rPr>
          <w:rFonts w:hint="eastAsia" w:ascii="仿宋_GB2312" w:hAnsi="仿宋" w:eastAsia="仿宋_GB2312"/>
          <w:sz w:val="30"/>
          <w:szCs w:val="30"/>
        </w:rPr>
        <w:t>（Q84开头)，或部门标识代码为“</w:t>
      </w:r>
      <w:r>
        <w:rPr>
          <w:rFonts w:hint="eastAsia" w:ascii="仿宋_GB2312" w:hAnsi="宋体" w:eastAsia="仿宋_GB2312"/>
          <w:sz w:val="30"/>
          <w:szCs w:val="30"/>
        </w:rPr>
        <w:t>中华人民共和国国家卫生健康委员会</w:t>
      </w:r>
      <w:r>
        <w:rPr>
          <w:rFonts w:hint="eastAsia" w:ascii="仿宋_GB2312" w:hAnsi="仿宋" w:eastAsia="仿宋_GB2312"/>
          <w:sz w:val="30"/>
          <w:szCs w:val="30"/>
        </w:rPr>
        <w:t>”、“国家中医药管理局”、“国家疾病预防控制局”情况，卫生健康行业资产情况表编制人数（3行）必须有数，反之不应有数据。</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单位“是否编报政府部门财务报告”，如填写否，提示核实性错误，需结合实际情况修改或填写情况说明；</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单位“是否编报部门决算”，如填写否，提示核实性错误，需结合实际情况修改或填写情况说明。</w:t>
      </w:r>
    </w:p>
    <w:p>
      <w:pPr>
        <w:numPr>
          <w:ilvl w:val="255"/>
          <w:numId w:val="0"/>
        </w:numPr>
        <w:adjustRightInd w:val="0"/>
        <w:snapToGrid w:val="0"/>
        <w:spacing w:line="360" w:lineRule="auto"/>
        <w:ind w:left="420" w:leftChars="200"/>
        <w:rPr>
          <w:rFonts w:hint="eastAsia" w:ascii="仿宋_GB2312" w:hAnsi="仿宋" w:eastAsia="仿宋_GB2312"/>
          <w:b/>
          <w:sz w:val="30"/>
          <w:szCs w:val="30"/>
        </w:rPr>
      </w:pPr>
      <w:r>
        <w:rPr>
          <w:rFonts w:hint="eastAsia" w:ascii="仿宋_GB2312" w:hAnsi="仿宋" w:eastAsia="仿宋_GB2312"/>
          <w:b/>
          <w:sz w:val="30"/>
          <w:szCs w:val="30"/>
        </w:rPr>
        <w:t>表间核实性公式：</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bCs/>
          <w:sz w:val="30"/>
          <w:szCs w:val="30"/>
        </w:rPr>
        <w:t>当“是否涉及公共基础设施、政府储备物资、保障性住房资产”选择“是”时，财资12表、13表、15表不应同时整表为空，否则提示核实性错误，需结合实际情况修改或填写情况说明；</w:t>
      </w:r>
    </w:p>
    <w:p>
      <w:pPr>
        <w:numPr>
          <w:ilvl w:val="0"/>
          <w:numId w:val="1"/>
        </w:numPr>
        <w:spacing w:line="360" w:lineRule="auto"/>
        <w:ind w:left="0" w:firstLine="567"/>
        <w:rPr>
          <w:rFonts w:hint="eastAsia" w:ascii="仿宋_GB2312" w:hAnsi="仿宋" w:eastAsia="仿宋_GB2312"/>
          <w:sz w:val="30"/>
          <w:szCs w:val="30"/>
        </w:rPr>
      </w:pPr>
      <w:r>
        <w:rPr>
          <w:rFonts w:hint="eastAsia" w:ascii="仿宋_GB2312" w:hAnsi="仿宋" w:eastAsia="仿宋_GB2312"/>
          <w:bCs/>
          <w:sz w:val="30"/>
          <w:szCs w:val="30"/>
        </w:rPr>
        <w:t>当“是否涉及公共基础设施、政府储备物资、保障性住房资产”选择“否”时，财资12表、13表、15表应同时整表为空，否则提示核实性错误，需结合实际情况修改或填写情况说明。</w:t>
      </w:r>
    </w:p>
    <w:p>
      <w:pPr>
        <w:pStyle w:val="2"/>
        <w:rPr>
          <w:rFonts w:hint="eastAsia"/>
          <w:b/>
          <w:color w:val="auto"/>
        </w:rPr>
      </w:pPr>
      <w:r>
        <w:rPr>
          <w:rFonts w:hint="eastAsia"/>
          <w:color w:val="auto"/>
        </w:rPr>
        <w:t>（二）资产负债表（财资01表）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本表反映行政事业单位期初、期末的资产、</w:t>
      </w:r>
      <w:r>
        <w:rPr>
          <w:rFonts w:ascii="仿宋_GB2312" w:hAnsi="仿宋" w:eastAsia="仿宋_GB2312"/>
          <w:sz w:val="30"/>
          <w:szCs w:val="30"/>
        </w:rPr>
        <w:t>负债</w:t>
      </w:r>
      <w:r>
        <w:rPr>
          <w:rFonts w:hint="eastAsia" w:ascii="仿宋_GB2312" w:hAnsi="仿宋" w:eastAsia="仿宋_GB2312"/>
          <w:sz w:val="30"/>
          <w:szCs w:val="30"/>
        </w:rPr>
        <w:t>和净资产账面情况。表中数据以</w:t>
      </w:r>
      <w:r>
        <w:rPr>
          <w:rFonts w:ascii="仿宋_GB2312" w:hAnsi="仿宋" w:eastAsia="仿宋_GB2312"/>
          <w:sz w:val="30"/>
          <w:szCs w:val="30"/>
        </w:rPr>
        <w:t>财务会计报表和</w:t>
      </w:r>
      <w:r>
        <w:rPr>
          <w:rFonts w:hint="eastAsia" w:ascii="仿宋_GB2312" w:hAnsi="仿宋" w:eastAsia="仿宋_GB2312"/>
          <w:sz w:val="30"/>
          <w:szCs w:val="30"/>
        </w:rPr>
        <w:t>资产模块</w:t>
      </w:r>
      <w:r>
        <w:rPr>
          <w:rFonts w:ascii="仿宋_GB2312" w:hAnsi="仿宋" w:eastAsia="仿宋_GB2312"/>
          <w:sz w:val="30"/>
          <w:szCs w:val="30"/>
        </w:rPr>
        <w:t>相关数据为基础</w:t>
      </w:r>
      <w:r>
        <w:rPr>
          <w:rFonts w:hint="eastAsia" w:ascii="仿宋_GB2312" w:hAnsi="仿宋" w:eastAsia="仿宋_GB2312"/>
          <w:sz w:val="30"/>
          <w:szCs w:val="30"/>
        </w:rPr>
        <w:t>进行</w:t>
      </w:r>
      <w:r>
        <w:rPr>
          <w:rFonts w:ascii="仿宋_GB2312" w:hAnsi="仿宋" w:eastAsia="仿宋_GB2312"/>
          <w:sz w:val="30"/>
          <w:szCs w:val="30"/>
        </w:rPr>
        <w:t>填报</w:t>
      </w:r>
      <w:r>
        <w:rPr>
          <w:rFonts w:hint="eastAsia" w:ascii="仿宋_GB2312" w:hAnsi="仿宋" w:eastAsia="仿宋_GB2312"/>
          <w:sz w:val="30"/>
          <w:szCs w:val="30"/>
        </w:rPr>
        <w:t>。</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短期</w:t>
      </w:r>
      <w:r>
        <w:rPr>
          <w:rFonts w:ascii="仿宋_GB2312" w:hAnsi="仿宋" w:eastAsia="仿宋_GB2312"/>
          <w:sz w:val="30"/>
          <w:szCs w:val="30"/>
        </w:rPr>
        <w:t>投资：反映</w:t>
      </w:r>
      <w:r>
        <w:rPr>
          <w:rFonts w:hint="eastAsia" w:ascii="仿宋_GB2312" w:hAnsi="仿宋" w:eastAsia="仿宋_GB2312"/>
          <w:sz w:val="30"/>
          <w:szCs w:val="30"/>
        </w:rPr>
        <w:t>按照规定取得的，持有</w:t>
      </w:r>
      <w:r>
        <w:rPr>
          <w:rFonts w:ascii="仿宋_GB2312" w:hAnsi="仿宋" w:eastAsia="仿宋_GB2312"/>
          <w:sz w:val="30"/>
          <w:szCs w:val="30"/>
        </w:rPr>
        <w:t>时间不超过</w:t>
      </w:r>
      <w:r>
        <w:rPr>
          <w:rFonts w:hint="eastAsia" w:ascii="仿宋_GB2312" w:hAnsi="仿宋" w:eastAsia="仿宋_GB2312"/>
          <w:sz w:val="30"/>
          <w:szCs w:val="30"/>
        </w:rPr>
        <w:t>1年（含1年）</w:t>
      </w:r>
      <w:r>
        <w:rPr>
          <w:rFonts w:ascii="仿宋_GB2312" w:hAnsi="仿宋" w:eastAsia="仿宋_GB2312"/>
          <w:sz w:val="30"/>
          <w:szCs w:val="30"/>
        </w:rPr>
        <w:t>的投</w:t>
      </w:r>
      <w:r>
        <w:rPr>
          <w:rFonts w:hint="eastAsia" w:ascii="仿宋_GB2312" w:hAnsi="仿宋" w:eastAsia="仿宋_GB2312"/>
          <w:sz w:val="30"/>
          <w:szCs w:val="30"/>
        </w:rPr>
        <w:t>资。行政单位不得填列。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长期股权</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股权性质</w:t>
      </w:r>
      <w:r>
        <w:rPr>
          <w:rFonts w:hint="eastAsia" w:ascii="仿宋_GB2312" w:hAnsi="仿宋" w:eastAsia="仿宋_GB2312"/>
          <w:sz w:val="30"/>
          <w:szCs w:val="30"/>
        </w:rPr>
        <w:t>的</w:t>
      </w:r>
      <w:r>
        <w:rPr>
          <w:rFonts w:ascii="仿宋_GB2312" w:hAnsi="仿宋" w:eastAsia="仿宋_GB2312"/>
          <w:sz w:val="30"/>
          <w:szCs w:val="30"/>
        </w:rPr>
        <w:t>投资。</w:t>
      </w:r>
      <w:r>
        <w:rPr>
          <w:rFonts w:hint="eastAsia" w:ascii="仿宋_GB2312" w:hAnsi="仿宋" w:eastAsia="仿宋_GB2312"/>
          <w:sz w:val="30"/>
          <w:szCs w:val="30"/>
        </w:rPr>
        <w:t>行政单位不得填列。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长期债券</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债权性质投资。</w:t>
      </w:r>
      <w:r>
        <w:rPr>
          <w:rFonts w:hint="eastAsia" w:ascii="仿宋_GB2312" w:hAnsi="仿宋" w:eastAsia="仿宋_GB2312"/>
          <w:sz w:val="30"/>
          <w:szCs w:val="30"/>
        </w:rPr>
        <w:t>行政单位不得填列。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4.固定资产原值：反映固定资产原始价值，期初、期末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bookmarkStart w:id="2" w:name="OLE_LINK1"/>
      <w:r>
        <w:rPr>
          <w:rFonts w:ascii="仿宋_GB2312" w:hAnsi="仿宋" w:eastAsia="仿宋_GB2312"/>
          <w:sz w:val="30"/>
          <w:szCs w:val="30"/>
        </w:rPr>
        <w:t>。</w:t>
      </w:r>
      <w:bookmarkEnd w:id="2"/>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固定资产累计</w:t>
      </w:r>
      <w:r>
        <w:rPr>
          <w:rFonts w:ascii="仿宋_GB2312" w:hAnsi="仿宋" w:eastAsia="仿宋_GB2312"/>
          <w:sz w:val="30"/>
          <w:szCs w:val="30"/>
        </w:rPr>
        <w:t>折旧</w:t>
      </w:r>
      <w:r>
        <w:rPr>
          <w:rFonts w:hint="eastAsia" w:ascii="仿宋_GB2312" w:hAnsi="仿宋" w:eastAsia="仿宋_GB2312"/>
          <w:sz w:val="30"/>
          <w:szCs w:val="30"/>
        </w:rPr>
        <w:t>：反映单位按照规定计提的累计折旧额，期初、期末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无形资产原值：反映无形资产原始价值，期初、期末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无形资产累计</w:t>
      </w:r>
      <w:r>
        <w:rPr>
          <w:rFonts w:ascii="仿宋_GB2312" w:hAnsi="仿宋" w:eastAsia="仿宋_GB2312"/>
          <w:sz w:val="30"/>
          <w:szCs w:val="30"/>
        </w:rPr>
        <w:t>摊销</w:t>
      </w:r>
      <w:r>
        <w:rPr>
          <w:rFonts w:hint="eastAsia" w:ascii="仿宋_GB2312" w:hAnsi="仿宋" w:eastAsia="仿宋_GB2312"/>
          <w:sz w:val="30"/>
          <w:szCs w:val="30"/>
        </w:rPr>
        <w:t>:反映单位按照规定计提的累计摊销额，期初、期末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360" w:lineRule="auto"/>
        <w:ind w:firstLine="600" w:firstLineChars="200"/>
        <w:rPr>
          <w:rFonts w:hint="eastAsia" w:ascii="仿宋_GB2312" w:hAnsi="仿宋" w:eastAsia="仿宋_GB2312"/>
          <w:sz w:val="30"/>
          <w:szCs w:val="30"/>
        </w:rPr>
      </w:pPr>
      <w:bookmarkStart w:id="3" w:name="_Hlk524444485"/>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待处理财产损溢:</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单位资产清查中查明的资产盘盈、盘亏、报废和毁损，一般应当先记入本科目，按照规定报经批准后及时进行账务处理。年末结账前一般应处理完毕。若年末本科目尚有未处理的固定资产、无形资产、公共基础设施、政府储备物资、文物资源、保障性住房，应还原至原科目反映。</w:t>
      </w:r>
      <w:bookmarkEnd w:id="3"/>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在建工程：反映在建建设项目工程的实际成本。</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公共基础设施原值：反映公共基础设施的原始价值。</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11.公共基础设施累计折旧（摊销）：反映单位按照规定计提的累计折旧（摊销）额。</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12.政府储备物资：反映单位控制的政府储备物资成本。</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13.文物资源：反映由政府会计主体承担管理收藏职责的文物资源成本。</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14.保障性住房原值：反映单位为满足社会公共需求而控制的保障性住房的原值。</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15.保障性住房累计折旧：反映单位应计提的累计折旧额。</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16</w:t>
      </w:r>
      <w:r>
        <w:rPr>
          <w:rFonts w:ascii="仿宋_GB2312" w:hAnsi="仿宋" w:eastAsia="仿宋_GB2312"/>
          <w:sz w:val="30"/>
          <w:szCs w:val="30"/>
        </w:rPr>
        <w:t>.</w:t>
      </w:r>
      <w:r>
        <w:rPr>
          <w:rFonts w:hint="eastAsia" w:ascii="仿宋_GB2312" w:hAnsi="仿宋" w:eastAsia="仿宋_GB2312"/>
          <w:sz w:val="30"/>
          <w:szCs w:val="30"/>
        </w:rPr>
        <w:t>其他非流动资产：反映上述各项之外的其他非流动资产的合计数（含林木资产）。</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17</w:t>
      </w:r>
      <w:r>
        <w:rPr>
          <w:rFonts w:ascii="仿宋_GB2312" w:hAnsi="仿宋" w:eastAsia="仿宋_GB2312"/>
          <w:sz w:val="30"/>
          <w:szCs w:val="30"/>
        </w:rPr>
        <w:t>.受托代理资产</w:t>
      </w:r>
      <w:r>
        <w:rPr>
          <w:rFonts w:hint="eastAsia" w:ascii="仿宋_GB2312" w:hAnsi="仿宋" w:eastAsia="仿宋_GB2312"/>
          <w:sz w:val="30"/>
          <w:szCs w:val="30"/>
        </w:rPr>
        <w:t>：</w:t>
      </w:r>
      <w:r>
        <w:rPr>
          <w:rFonts w:ascii="仿宋_GB2312" w:hAnsi="仿宋" w:eastAsia="仿宋_GB2312"/>
          <w:sz w:val="30"/>
          <w:szCs w:val="30"/>
        </w:rPr>
        <w:t>反映单位期末受托代理资产的价值</w:t>
      </w:r>
      <w:r>
        <w:rPr>
          <w:rFonts w:hint="eastAsia" w:ascii="仿宋_GB2312" w:hAnsi="仿宋" w:eastAsia="仿宋_GB2312"/>
          <w:sz w:val="30"/>
          <w:szCs w:val="30"/>
        </w:rPr>
        <w:t>。</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，本科目</w:t>
      </w:r>
      <w:r>
        <w:rPr>
          <w:rFonts w:ascii="仿宋_GB2312" w:hAnsi="仿宋" w:eastAsia="仿宋_GB2312"/>
          <w:sz w:val="30"/>
          <w:szCs w:val="30"/>
        </w:rPr>
        <w:t>应根据</w:t>
      </w:r>
      <w:r>
        <w:rPr>
          <w:rFonts w:hint="eastAsia" w:ascii="仿宋_GB2312" w:hAnsi="仿宋" w:eastAsia="仿宋_GB2312"/>
          <w:sz w:val="30"/>
          <w:szCs w:val="30"/>
        </w:rPr>
        <w:t>“</w:t>
      </w:r>
      <w:r>
        <w:rPr>
          <w:rFonts w:ascii="仿宋_GB2312" w:hAnsi="仿宋" w:eastAsia="仿宋_GB2312"/>
          <w:sz w:val="30"/>
          <w:szCs w:val="30"/>
        </w:rPr>
        <w:t>受托代理资产</w:t>
      </w:r>
      <w:r>
        <w:rPr>
          <w:rFonts w:hint="eastAsia" w:ascii="仿宋_GB2312" w:hAnsi="仿宋" w:eastAsia="仿宋_GB2312"/>
          <w:sz w:val="30"/>
          <w:szCs w:val="30"/>
        </w:rPr>
        <w:t>”科目期初、期末余额与“库存现金”、“银行存款”科目下“</w:t>
      </w:r>
      <w:r>
        <w:rPr>
          <w:rFonts w:ascii="仿宋_GB2312" w:hAnsi="仿宋" w:eastAsia="仿宋_GB2312"/>
          <w:sz w:val="30"/>
          <w:szCs w:val="30"/>
        </w:rPr>
        <w:t>受托代理资产</w:t>
      </w:r>
      <w:r>
        <w:rPr>
          <w:rFonts w:hint="eastAsia" w:ascii="仿宋_GB2312" w:hAnsi="仿宋" w:eastAsia="仿宋_GB2312"/>
          <w:sz w:val="30"/>
          <w:szCs w:val="30"/>
        </w:rPr>
        <w:t>”明细科目期初、期末余额的合计数填列。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18</w:t>
      </w:r>
      <w:r>
        <w:rPr>
          <w:rFonts w:ascii="仿宋_GB2312" w:hAnsi="仿宋" w:eastAsia="仿宋_GB2312"/>
          <w:sz w:val="30"/>
          <w:szCs w:val="30"/>
        </w:rPr>
        <w:t>.</w:t>
      </w:r>
      <w:r>
        <w:rPr>
          <w:rFonts w:hint="eastAsia" w:ascii="仿宋_GB2312" w:hAnsi="仿宋" w:eastAsia="仿宋_GB2312"/>
          <w:sz w:val="30"/>
          <w:szCs w:val="30"/>
        </w:rPr>
        <w:t>除固定、无形资产相关</w:t>
      </w:r>
      <w:r>
        <w:rPr>
          <w:rFonts w:ascii="仿宋_GB2312" w:hAnsi="仿宋" w:eastAsia="仿宋_GB2312"/>
          <w:sz w:val="30"/>
          <w:szCs w:val="30"/>
        </w:rPr>
        <w:t>科目</w:t>
      </w:r>
      <w:r>
        <w:rPr>
          <w:rFonts w:hint="eastAsia" w:ascii="仿宋_GB2312" w:hAnsi="仿宋" w:eastAsia="仿宋_GB2312"/>
          <w:sz w:val="30"/>
          <w:szCs w:val="30"/>
        </w:rPr>
        <w:t>外，其他科目期初、期末</w:t>
      </w:r>
      <w:r>
        <w:rPr>
          <w:rFonts w:ascii="仿宋_GB2312" w:hAnsi="仿宋" w:eastAsia="仿宋_GB2312"/>
          <w:sz w:val="30"/>
          <w:szCs w:val="30"/>
        </w:rPr>
        <w:t>数</w:t>
      </w:r>
      <w:r>
        <w:rPr>
          <w:rFonts w:hint="eastAsia" w:ascii="仿宋_GB2312" w:hAnsi="仿宋" w:eastAsia="仿宋_GB2312"/>
          <w:sz w:val="30"/>
          <w:szCs w:val="30"/>
        </w:rPr>
        <w:t>应</w:t>
      </w:r>
      <w:r>
        <w:rPr>
          <w:rFonts w:ascii="仿宋_GB2312" w:hAnsi="仿宋" w:eastAsia="仿宋_GB2312"/>
          <w:sz w:val="30"/>
          <w:szCs w:val="30"/>
        </w:rPr>
        <w:t>依据财务会计报表相关数据</w:t>
      </w:r>
      <w:r>
        <w:rPr>
          <w:rFonts w:hint="eastAsia" w:ascii="仿宋_GB2312" w:hAnsi="仿宋" w:eastAsia="仿宋_GB2312"/>
          <w:sz w:val="30"/>
          <w:szCs w:val="30"/>
        </w:rPr>
        <w:t>手工</w:t>
      </w:r>
      <w:r>
        <w:rPr>
          <w:rFonts w:ascii="仿宋_GB2312" w:hAnsi="仿宋" w:eastAsia="仿宋_GB2312"/>
          <w:sz w:val="30"/>
          <w:szCs w:val="30"/>
        </w:rPr>
        <w:t>填列。</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w:t>
      </w:r>
      <w:r>
        <w:rPr>
          <w:rFonts w:ascii="仿宋_GB2312" w:hAnsi="仿宋" w:eastAsia="仿宋_GB2312"/>
          <w:b/>
          <w:sz w:val="30"/>
          <w:szCs w:val="30"/>
        </w:rPr>
        <w:t>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资产合计（1行）等于流动资产（2行）、非流动资产（16行）、受托代理资产（39行）各项之和；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流动资产（2行）等于货币资金、短期投资、财政应返还额度等13项（3</w:t>
      </w:r>
      <w:r>
        <w:rPr>
          <w:rFonts w:hint="eastAsia" w:ascii="华文中宋" w:hAnsi="华文中宋" w:eastAsia="华文中宋"/>
          <w:sz w:val="30"/>
          <w:szCs w:val="30"/>
        </w:rPr>
        <w:t>~</w:t>
      </w:r>
      <w:r>
        <w:rPr>
          <w:rFonts w:hint="eastAsia" w:ascii="仿宋_GB2312" w:hAnsi="仿宋" w:eastAsia="仿宋_GB2312"/>
          <w:sz w:val="30"/>
          <w:szCs w:val="30"/>
        </w:rPr>
        <w:t>15行）之和；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非流动资产（16行）等于长期股权投资、长期债券投资、固定资产净值等14项（17、18、21、22、23、26、27、30、31、32、35、36、37、38行）的净值之和；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固定资产净值（21行）等于固定资产原值减固定资产累计折旧；</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无形资产净值（26行）等于无形资产原值减无形资产累计折旧；</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公共基础设施净值（30行）等于公共基础设施原值减公共基础设施累计折旧；</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保障性住房净值（35行）等于保障性住房原值减保障性住房累计折旧；</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负债合计（40行）等于流动负债（41行）、非流动负债（56行）、受托代理负债（61行）各项之和；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流动负债（41行）等于短期借款、应交增值税、其他应交税费等14项（42</w:t>
      </w:r>
      <w:r>
        <w:rPr>
          <w:rFonts w:hint="eastAsia" w:ascii="华文中宋" w:hAnsi="华文中宋" w:eastAsia="华文中宋"/>
          <w:sz w:val="30"/>
          <w:szCs w:val="30"/>
        </w:rPr>
        <w:t>~</w:t>
      </w:r>
      <w:r>
        <w:rPr>
          <w:rFonts w:hint="eastAsia" w:ascii="仿宋_GB2312" w:hAnsi="仿宋" w:eastAsia="仿宋_GB2312"/>
          <w:sz w:val="30"/>
          <w:szCs w:val="30"/>
        </w:rPr>
        <w:t>55行）之和；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非流动负债（56行）等于长期借款、长期应付款、预计负债、其他非流动负债（57</w:t>
      </w:r>
      <w:r>
        <w:rPr>
          <w:rFonts w:hint="eastAsia" w:ascii="华文中宋" w:hAnsi="华文中宋" w:eastAsia="华文中宋"/>
          <w:sz w:val="30"/>
          <w:szCs w:val="30"/>
        </w:rPr>
        <w:t>~</w:t>
      </w:r>
      <w:r>
        <w:rPr>
          <w:rFonts w:hint="eastAsia" w:ascii="仿宋_GB2312" w:hAnsi="仿宋" w:eastAsia="仿宋_GB2312"/>
          <w:sz w:val="30"/>
          <w:szCs w:val="30"/>
        </w:rPr>
        <w:t>60行）各项之和；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净资产（75行）等于累计盈余（非限定性净资产）、专用基金（限定性净资产）、权益法调整（76</w:t>
      </w:r>
      <w:r>
        <w:rPr>
          <w:rFonts w:hint="eastAsia" w:ascii="华文中宋" w:hAnsi="华文中宋" w:eastAsia="华文中宋"/>
          <w:sz w:val="30"/>
          <w:szCs w:val="30"/>
        </w:rPr>
        <w:t>~</w:t>
      </w:r>
      <w:r>
        <w:rPr>
          <w:rFonts w:hint="eastAsia" w:ascii="仿宋_GB2312" w:hAnsi="仿宋" w:eastAsia="仿宋_GB2312"/>
          <w:sz w:val="30"/>
          <w:szCs w:val="30"/>
        </w:rPr>
        <w:t>78行）各项之和；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净资产（75行）等于资产合计（1行）减负债合计（</w:t>
      </w:r>
      <w:r>
        <w:rPr>
          <w:rFonts w:ascii="仿宋_GB2312" w:hAnsi="仿宋" w:eastAsia="仿宋_GB2312"/>
          <w:sz w:val="30"/>
          <w:szCs w:val="30"/>
        </w:rPr>
        <w:t>4</w:t>
      </w:r>
      <w:r>
        <w:rPr>
          <w:rFonts w:hint="eastAsia" w:ascii="仿宋_GB2312" w:hAnsi="仿宋" w:eastAsia="仿宋_GB2312"/>
          <w:sz w:val="30"/>
          <w:szCs w:val="30"/>
        </w:rPr>
        <w:t>0行）；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受托代理资产（39行）应等于受托代理负债（61行）；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权益法调整（78行）大于零，则长期股权投资（17行）应大于零；</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资产负债表的应收股利、应收利息、工程物资、研发支出、公共基础设施原值、公共基础设施累计折旧、公共基础设施净值、政府储备物资、保障性住房原值、保障性住房累计折旧、保障性住房净值、长期待摊销费用、其他非流动资产，应缴财政款、应付政府补贴款、应付利息、权益法调整应为空；</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11.</w:t>
      </w:r>
      <w:r>
        <w:rPr>
          <w:rFonts w:hint="eastAsia" w:ascii="仿宋_GB2312" w:hAnsi="仿宋" w:eastAsia="仿宋_GB2312"/>
          <w:sz w:val="30"/>
          <w:szCs w:val="30"/>
        </w:rPr>
        <w:t>政府会计准则制度”，当单位性质选择“11.共产党机关”、“12.政府机关”、“13.人大机关”、“14.政协机关”、“15.群众团体”、“16.民主党派”、“17.政法机关”或参照公务员法管理事业单位执行财务规则选择“行政单位财务规则”时，短期投资、应收票据、应收股利、应收利息、长期股权投资、长期债券投资、短期借款、应付票据、应付利息、预收账款、长期借款、专用基金（限定性净资产）、权益法调整应为空；</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除待处理财产损溢、应交增值税、其他应交税费、应付职工薪酬、累计盈余（非限定性净资产）、权益法调整外，其他指标应大于等于0；</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当封面单位性质选择</w:t>
      </w:r>
      <w:r>
        <w:rPr>
          <w:rFonts w:ascii="仿宋_GB2312" w:hAnsi="仿宋" w:eastAsia="仿宋_GB2312"/>
          <w:sz w:val="30"/>
          <w:szCs w:val="30"/>
        </w:rPr>
        <w:t>“22.</w:t>
      </w:r>
      <w:r>
        <w:rPr>
          <w:rFonts w:hint="eastAsia" w:ascii="仿宋_GB2312" w:hAnsi="仿宋" w:eastAsia="仿宋_GB2312"/>
          <w:sz w:val="30"/>
          <w:szCs w:val="30"/>
        </w:rPr>
        <w:t>财政补助事业单位”、“</w:t>
      </w:r>
      <w:r>
        <w:rPr>
          <w:rFonts w:ascii="仿宋_GB2312" w:hAnsi="仿宋" w:eastAsia="仿宋_GB2312"/>
          <w:sz w:val="30"/>
          <w:szCs w:val="30"/>
        </w:rPr>
        <w:t>23.</w:t>
      </w:r>
      <w:r>
        <w:rPr>
          <w:rFonts w:hint="eastAsia" w:ascii="仿宋_GB2312" w:hAnsi="仿宋" w:eastAsia="仿宋_GB2312"/>
          <w:sz w:val="30"/>
          <w:szCs w:val="30"/>
        </w:rPr>
        <w:t>经费自理事业单位”或参照公务员法管理事业单位执行财务规则选择“事业单位财务规则及其他”或当封面单位执行会计制度选择“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.民间非营利组织会计制度”时，应付政府补贴款应为空。</w:t>
      </w:r>
    </w:p>
    <w:p>
      <w:pPr>
        <w:numPr>
          <w:ilvl w:val="255"/>
          <w:numId w:val="0"/>
        </w:numPr>
        <w:adjustRightInd w:val="0"/>
        <w:snapToGrid w:val="0"/>
        <w:spacing w:line="360" w:lineRule="auto"/>
        <w:ind w:left="567"/>
        <w:rPr>
          <w:rFonts w:hint="eastAsia" w:ascii="仿宋_GB2312" w:hAnsi="仿宋" w:eastAsia="仿宋_GB2312"/>
          <w:b/>
          <w:sz w:val="30"/>
          <w:szCs w:val="30"/>
        </w:rPr>
      </w:pPr>
      <w:r>
        <w:rPr>
          <w:rFonts w:hint="eastAsia" w:ascii="仿宋_GB2312" w:hAnsi="仿宋" w:eastAsia="仿宋_GB2312"/>
          <w:b/>
          <w:sz w:val="30"/>
          <w:szCs w:val="30"/>
        </w:rPr>
        <w:t>表间公式：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短期投资期末数（4行2栏）应等于</w:t>
      </w:r>
      <w:r>
        <w:rPr>
          <w:rFonts w:ascii="仿宋_GB2312" w:hAnsi="仿宋" w:eastAsia="仿宋_GB2312"/>
          <w:sz w:val="30"/>
          <w:szCs w:val="30"/>
        </w:rPr>
        <w:t>财资</w:t>
      </w:r>
      <w:r>
        <w:rPr>
          <w:rFonts w:hint="eastAsia" w:ascii="仿宋_GB2312" w:hAnsi="仿宋" w:eastAsia="仿宋_GB2312"/>
          <w:sz w:val="30"/>
          <w:szCs w:val="30"/>
        </w:rPr>
        <w:t>11对外投资情况表单位会计科目（1栏）为短期投资的各行对外投资期末账面数（13栏）之和；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长期股权投资期末数（17行2栏）等于</w:t>
      </w:r>
      <w:r>
        <w:rPr>
          <w:rFonts w:ascii="仿宋_GB2312" w:hAnsi="仿宋" w:eastAsia="仿宋_GB2312"/>
          <w:sz w:val="30"/>
          <w:szCs w:val="30"/>
        </w:rPr>
        <w:t>财资</w:t>
      </w:r>
      <w:r>
        <w:rPr>
          <w:rFonts w:hint="eastAsia" w:ascii="仿宋_GB2312" w:hAnsi="仿宋" w:eastAsia="仿宋_GB2312"/>
          <w:sz w:val="30"/>
          <w:szCs w:val="30"/>
        </w:rPr>
        <w:t>11对外投资情况表（1栏）为长期股权投资的各行对外投资期末账面数（13栏）之和；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长期债券投资期末数（18行2栏）等于</w:t>
      </w:r>
      <w:r>
        <w:rPr>
          <w:rFonts w:ascii="仿宋_GB2312" w:hAnsi="仿宋" w:eastAsia="仿宋_GB2312"/>
          <w:sz w:val="30"/>
          <w:szCs w:val="30"/>
        </w:rPr>
        <w:t>财资</w:t>
      </w:r>
      <w:r>
        <w:rPr>
          <w:rFonts w:hint="eastAsia" w:ascii="仿宋_GB2312" w:hAnsi="仿宋" w:eastAsia="仿宋_GB2312"/>
          <w:sz w:val="30"/>
          <w:szCs w:val="30"/>
        </w:rPr>
        <w:t>11对外投资情况表（1栏）为长期债券投资的各行对外投资期末账面数（13栏）之和；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固定资产原值、累计折旧、净值的期初期末数（19</w:t>
      </w:r>
      <w:r>
        <w:rPr>
          <w:rFonts w:hint="eastAsia" w:ascii="华文中宋" w:hAnsi="华文中宋" w:eastAsia="华文中宋"/>
          <w:sz w:val="30"/>
          <w:szCs w:val="30"/>
        </w:rPr>
        <w:t>~</w:t>
      </w:r>
      <w:r>
        <w:rPr>
          <w:rFonts w:hint="eastAsia" w:ascii="仿宋_GB2312" w:hAnsi="仿宋" w:eastAsia="仿宋_GB2312"/>
          <w:sz w:val="30"/>
          <w:szCs w:val="30"/>
        </w:rPr>
        <w:t>21行）等于财资03固定和无形资产存量情况表的固定资产原值、累计折旧、净值的期初期末数（2行）</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在建工程的期初期末数（23行）应等于财资07在建工程情况表期初期末数（1行</w:t>
      </w:r>
      <w:r>
        <w:rPr>
          <w:rFonts w:ascii="仿宋_GB2312" w:hAnsi="仿宋" w:eastAsia="仿宋_GB2312"/>
          <w:sz w:val="30"/>
          <w:szCs w:val="30"/>
        </w:rPr>
        <w:t>8</w:t>
      </w:r>
      <w:r>
        <w:rPr>
          <w:rFonts w:hint="eastAsia" w:ascii="仿宋_GB2312" w:hAnsi="仿宋" w:eastAsia="仿宋_GB2312"/>
          <w:sz w:val="30"/>
          <w:szCs w:val="30"/>
        </w:rPr>
        <w:t>、9栏）；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无形资产原值、累计折旧、净值的期初期末数（24</w:t>
      </w:r>
      <w:r>
        <w:rPr>
          <w:rFonts w:hint="eastAsia" w:ascii="华文中宋" w:hAnsi="华文中宋" w:eastAsia="华文中宋"/>
          <w:sz w:val="30"/>
          <w:szCs w:val="30"/>
        </w:rPr>
        <w:t>~</w:t>
      </w:r>
      <w:r>
        <w:rPr>
          <w:rFonts w:hint="eastAsia" w:ascii="仿宋_GB2312" w:hAnsi="仿宋" w:eastAsia="仿宋_GB2312"/>
          <w:sz w:val="30"/>
          <w:szCs w:val="30"/>
        </w:rPr>
        <w:t>26行）等于财资03固定和无形资产存量情况表的无形资产原值、累计折旧、净值的期初期末数（20行）</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公共基础设施原值、累计折旧、净值的期初期末数（28</w:t>
      </w:r>
      <w:r>
        <w:rPr>
          <w:rFonts w:hint="eastAsia" w:ascii="华文中宋" w:hAnsi="华文中宋" w:eastAsia="华文中宋"/>
          <w:sz w:val="30"/>
          <w:szCs w:val="30"/>
        </w:rPr>
        <w:t>~</w:t>
      </w:r>
      <w:r>
        <w:rPr>
          <w:rFonts w:hint="eastAsia" w:ascii="仿宋_GB2312" w:hAnsi="仿宋" w:eastAsia="仿宋_GB2312"/>
          <w:sz w:val="30"/>
          <w:szCs w:val="30"/>
        </w:rPr>
        <w:t>30行）分别等于财资12-1公共基础设施-交通基础设施情况表、财资12-2公共基础设施-水利基础设施情况表、财资12-3公共基础设施-市政基础设施情况表、财资12-4公共基础设施-其他公共基础设施情况表的合计行（1行）之和的原值、累计折旧、净值期初期末数。</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政府储备物资期初期末数（31行）应等于财资13政府储备物资情况表合计行期初期末价值（</w:t>
      </w:r>
      <w:r>
        <w:rPr>
          <w:rFonts w:ascii="仿宋_GB2312" w:hAnsi="仿宋" w:eastAsia="仿宋_GB2312"/>
          <w:sz w:val="30"/>
          <w:szCs w:val="30"/>
        </w:rPr>
        <w:t>1</w:t>
      </w:r>
      <w:r>
        <w:rPr>
          <w:rFonts w:hint="eastAsia" w:ascii="仿宋_GB2312" w:hAnsi="仿宋" w:eastAsia="仿宋_GB2312"/>
          <w:sz w:val="30"/>
          <w:szCs w:val="30"/>
        </w:rPr>
        <w:t>行2、7栏）</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文物资源期初期末数（32行1、2栏）应等于财资14文物资源情况表合计行期初期末价值（</w:t>
      </w:r>
      <w:r>
        <w:rPr>
          <w:rFonts w:ascii="仿宋_GB2312" w:hAnsi="仿宋" w:eastAsia="仿宋_GB2312"/>
          <w:sz w:val="30"/>
          <w:szCs w:val="30"/>
        </w:rPr>
        <w:t>1</w:t>
      </w:r>
      <w:r>
        <w:rPr>
          <w:rFonts w:hint="eastAsia" w:ascii="仿宋_GB2312" w:hAnsi="仿宋" w:eastAsia="仿宋_GB2312"/>
          <w:sz w:val="30"/>
          <w:szCs w:val="30"/>
        </w:rPr>
        <w:t>行3栏、8栏）</w:t>
      </w:r>
      <w:r>
        <w:rPr>
          <w:rFonts w:ascii="仿宋_GB2312" w:hAnsi="仿宋" w:eastAsia="仿宋_GB2312"/>
          <w:sz w:val="30"/>
          <w:szCs w:val="30"/>
        </w:rPr>
        <w:t>；</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保障性住房原值、累计折旧、净值的期初期末数（33</w:t>
      </w:r>
      <w:r>
        <w:rPr>
          <w:rFonts w:hint="eastAsia" w:ascii="华文中宋" w:hAnsi="华文中宋" w:eastAsia="华文中宋"/>
          <w:sz w:val="30"/>
          <w:szCs w:val="30"/>
        </w:rPr>
        <w:t>~</w:t>
      </w:r>
      <w:r>
        <w:rPr>
          <w:rFonts w:hint="eastAsia" w:ascii="仿宋_GB2312" w:hAnsi="仿宋" w:eastAsia="仿宋_GB2312"/>
          <w:sz w:val="30"/>
          <w:szCs w:val="30"/>
        </w:rPr>
        <w:t>35行）等于财资15保障性住房情况表的保障性住房原值、累计折旧、净值的期初期末数（1行）。</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当待处理财产损溢、应交增值税、其他应交税费、应付职工薪酬、累计盈余（非限定性净资产）、权益法调整</w:t>
      </w:r>
      <w:r>
        <w:rPr>
          <w:rFonts w:hint="eastAsia" w:ascii="仿宋_GB2312" w:hAnsi="仿宋" w:eastAsia="仿宋_GB2312"/>
          <w:sz w:val="30"/>
        </w:rPr>
        <w:t>小于零时，则提示核实性错误</w:t>
      </w:r>
      <w:r>
        <w:rPr>
          <w:rFonts w:hint="eastAsia" w:ascii="仿宋_GB2312" w:hAnsi="仿宋" w:eastAsia="仿宋_GB2312"/>
          <w:sz w:val="30"/>
          <w:szCs w:val="30"/>
        </w:rPr>
        <w:t>，需结合实际情况修改或填写情况说明；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（有错修改，无错说明）当单户表封面预算级次为“计划单列市、市级、县（区）级、乡级”时，财政应返还额度应为0，否则提示核实性公式，需结合实际情况修改或填写情况说明；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当封面新报因素选择</w:t>
      </w:r>
      <w:r>
        <w:rPr>
          <w:rFonts w:ascii="仿宋_GB2312" w:hAnsi="仿宋" w:eastAsia="仿宋_GB2312"/>
          <w:sz w:val="30"/>
          <w:szCs w:val="30"/>
        </w:rPr>
        <w:t>“</w:t>
      </w:r>
      <w:r>
        <w:rPr>
          <w:rFonts w:hint="eastAsia" w:ascii="仿宋_GB2312" w:hAnsi="仿宋" w:eastAsia="仿宋_GB2312"/>
          <w:sz w:val="30"/>
          <w:szCs w:val="30"/>
        </w:rPr>
        <w:t>1新增单位”时，资产负债表期初不应有数据，否则提示核实性公式，需结合实际情况修改或填写情况说明。</w:t>
      </w:r>
    </w:p>
    <w:p>
      <w:pPr>
        <w:pStyle w:val="2"/>
        <w:rPr>
          <w:rFonts w:hint="eastAsia"/>
          <w:b/>
          <w:color w:val="auto"/>
        </w:rPr>
      </w:pPr>
      <w:r>
        <w:rPr>
          <w:rFonts w:hint="eastAsia"/>
          <w:color w:val="auto"/>
        </w:rPr>
        <w:t>（三）机构人员情况表（财资02表）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本表反映行政事业单位年末机构设置、人员编制及实有情况、公务用车编制情况、体育场地情况。</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adjustRightInd w:val="0"/>
        <w:snapToGrid w:val="0"/>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（一）人员情况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编制人数：填列经政府编制管理部门核定的人员编制数，相关信息从资产模块单位基本信息中自动提取。</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年末实有人数：填列行政事业单位年末实有人数，包括在职在编人员、编外聘用1年以上的其他人员、离退休人员和遗属人员，不包括临时工、短期劳务人员、劳务派遣人员等。</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3.编制内在职人员：填列在编制管理部门核定的、由单位人事部门管理的实有在职人员，工勤编制人员在此反映。  </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（1）财政拨款开支人员：填列单位用财政拨款（一般公共预算财政拨款和政府性基金预算财政拨款）开支基本工资的公务员、参照公务员法管理人员、事业管理人员和专业技术人员、机关和事业工人。</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以下人员不列入财政拨款开支人员统计范围：（1）编制部门批准为财政补助事业编制，但实际未由财政拨款开支基本工资的在职人员。（2）行政机构和事业单位中用财政拨款开支基本工资的编制外长期聘用人员、遗属及临时工作人员。（3）优抚对象、村干部、下岗职工、城镇居民最低生活保障对象等财政进行适当补助的人员。</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（2）经费自理人员：填列单位用财政拨款以外的资金开支基本工资的人员。</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4.其他人员：填列由单位人事部门管理的聘用期1年以上的编制外聘用人员，不包括工勤编制人员和临时工、短期劳务人员、劳务派遣人员等。</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（1）财政拨款开支人员：填列单位用财政拨款（一般公共预算财政拨款和政府性基金预算财政拨款）开支人员经费的其他人员。</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（2）经费自理人员：填列单位用财政拨款以外的资金开支人员经费的其他人员。</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5</w:t>
      </w:r>
      <w:r>
        <w:rPr>
          <w:rFonts w:ascii="仿宋_GB2312" w:hAnsi="仿宋" w:eastAsia="仿宋_GB2312"/>
          <w:color w:val="auto"/>
          <w:sz w:val="30"/>
          <w:szCs w:val="30"/>
        </w:rPr>
        <w:t>.</w:t>
      </w:r>
      <w:r>
        <w:rPr>
          <w:rFonts w:hint="eastAsia" w:ascii="仿宋_GB2312" w:hAnsi="仿宋" w:eastAsia="仿宋_GB2312"/>
          <w:color w:val="auto"/>
          <w:sz w:val="30"/>
          <w:szCs w:val="30"/>
        </w:rPr>
        <w:t>离退休人员：包括</w:t>
      </w:r>
      <w:r>
        <w:rPr>
          <w:rFonts w:hint="eastAsia" w:eastAsia="仿宋_GB2312"/>
          <w:bCs/>
          <w:color w:val="auto"/>
          <w:sz w:val="32"/>
          <w:szCs w:val="32"/>
        </w:rPr>
        <w:t>单位发放离退休费的人数和养老保险基金发放养老金的人数。</w:t>
      </w:r>
      <w:r>
        <w:rPr>
          <w:rFonts w:hint="eastAsia" w:ascii="仿宋_GB2312" w:hAnsi="仿宋" w:eastAsia="仿宋_GB2312"/>
          <w:color w:val="auto"/>
          <w:sz w:val="30"/>
          <w:szCs w:val="30"/>
        </w:rPr>
        <w:t>填列符合国家离退休政策，已经离退休的人员。包括单位列支离退休费的离退休人员、已经实施养老保险制度改革且由社会保险经办机构从养老保险基金中发放养老金的离退休人员。不包括内退人员（不符合国家退休政策，但按本单位有关规定已经退休人员）。</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遗属人员：填列按规定由单位开支抚恤金的烈士遗属和牺牲病故人员遗属。</w:t>
      </w:r>
    </w:p>
    <w:p>
      <w:pPr>
        <w:adjustRightInd w:val="0"/>
        <w:snapToGrid w:val="0"/>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（二）机构情况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sz w:val="30"/>
          <w:szCs w:val="30"/>
        </w:rPr>
        <w:t>独立编制机构数：填列经政府编制管理部门批准的行政事业机构数。</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独立核算机构数：填列经政府编制管理部门批准并实行财务独立核算的行政事业机构数。</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纳入部门预算管理、独立编报预算的单位，应按独立核算机构填报机构数据。</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3.单位性质选择“11.共产党机关 12.政府机关 13.人大机关 14.政协机关 15.群众团体 16.民主党派 17.政法机关”；或单位性质选择“23.经费自理事业单位”且参照公务员法管理事业单位执行财务规则选择“10.行政单位财务规则”时，按照行政单位填列。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4.单位性质选择“21.参照公务员法管理事业单位 22.财政补助事业单位 ”；或单位性质选择“23.经费自理事业单位”且参照公务员法管理事业单位执行财务规则选择“20.事业单位财务规则及其他”时，按照事业单位填列。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5.单位性质选择“31.社会团体及其他”时，按照其他单位填列。</w:t>
      </w:r>
    </w:p>
    <w:p>
      <w:pPr>
        <w:adjustRightInd w:val="0"/>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（三）公务用车情况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1.公务用车：是指党政机关配备的用于定向保障公务活动的机动车辆，包括机要通信用车、应急保障用车、执法执勤用车、特种专业技术用车以及其他按照规定配备的公务用车。</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机要通信用车是指用于传递、运送机要文件和涉密载体的机动车辆。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应急保障用车是指用于处理突发事件、抢险救灾或者其他紧急公务的机动车辆。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执法执勤用车是指中央批准的执法执勤部门（系统）用于一线执法执勤公务的机动车辆。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特种专业技术用车是指固定搭载专业技术设备、用于执行特殊工作任务的机动车辆。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其他按规定配备的车辆主要包括副部（省）级及以上领导用车、主要负责人用车、离退休干部服务用车、业务用车、其他用车等。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2.公务用车编制数：填列经公务用车主管部门批准或备案的车辆编制情况。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3.不参照公务员法管理的事业单位公务用车按上述要求填报，其中业务用车按照“其他按规定配备的车辆”填列。</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（四）运动场地情况</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1.足球场地：根据实际情况手动填列本单位占有使用或者负有管理维护职责的十一人制足球场地数量、七人制足球场地数量及五人制足球场地数量。</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bCs/>
          <w:sz w:val="30"/>
          <w:szCs w:val="30"/>
        </w:rPr>
        <w:t>逻辑性</w:t>
      </w:r>
      <w:r>
        <w:rPr>
          <w:rFonts w:hint="eastAsia" w:ascii="仿宋_GB2312" w:hAnsi="仿宋" w:eastAsia="仿宋_GB2312"/>
          <w:b/>
          <w:sz w:val="30"/>
          <w:szCs w:val="30"/>
        </w:rPr>
        <w:t>审核公式：</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编制内在职人员（2行2栏）等于财政拨款开支人员（3行）与经费自理人员（8行）对应栏次之和；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财政拨款开支人员（3行2栏）等于公务员、参照公务员法管理人员、事业管理人员和专业技术人员、机关和事业工人各项（4</w:t>
      </w:r>
      <w:r>
        <w:rPr>
          <w:rFonts w:hint="eastAsia" w:ascii="华文中宋" w:hAnsi="华文中宋" w:eastAsia="华文中宋"/>
          <w:sz w:val="30"/>
          <w:szCs w:val="30"/>
        </w:rPr>
        <w:t>~</w:t>
      </w:r>
      <w:r>
        <w:rPr>
          <w:rFonts w:hint="eastAsia" w:ascii="仿宋_GB2312" w:hAnsi="仿宋" w:eastAsia="仿宋_GB2312"/>
          <w:sz w:val="30"/>
          <w:szCs w:val="30"/>
        </w:rPr>
        <w:t>7行）对应栏次之和；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其他人员（9行2栏）等于财政拨款开支人员（10行）与经费自理人员（11行）对应栏次之和；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离退休人员（12行2栏）等于离休人员、退休人员各项（13、14行）对应栏次之和；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单位机构数（17行）等于行政、事业、其他各项（18</w:t>
      </w:r>
      <w:r>
        <w:rPr>
          <w:rFonts w:hint="eastAsia" w:ascii="华文中宋" w:hAnsi="华文中宋" w:eastAsia="华文中宋"/>
          <w:sz w:val="30"/>
          <w:szCs w:val="30"/>
        </w:rPr>
        <w:t>~</w:t>
      </w:r>
      <w:r>
        <w:rPr>
          <w:rFonts w:hint="eastAsia" w:ascii="仿宋_GB2312" w:hAnsi="仿宋" w:eastAsia="仿宋_GB2312"/>
          <w:sz w:val="30"/>
          <w:szCs w:val="30"/>
        </w:rPr>
        <w:t>20行）对应栏次之和；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公务用车编制数量（22行）等于机要通信用车、应急保障用车、执法执勤用车、特种专业技术用车、其他按规定配备的车辆各项（23</w:t>
      </w:r>
      <w:r>
        <w:rPr>
          <w:rFonts w:hint="eastAsia" w:ascii="华文中宋" w:hAnsi="华文中宋" w:eastAsia="华文中宋"/>
          <w:sz w:val="30"/>
          <w:szCs w:val="30"/>
        </w:rPr>
        <w:t>~</w:t>
      </w:r>
      <w:r>
        <w:rPr>
          <w:rFonts w:hint="eastAsia" w:ascii="仿宋_GB2312" w:hAnsi="仿宋" w:eastAsia="仿宋_GB2312"/>
          <w:sz w:val="30"/>
          <w:szCs w:val="30"/>
        </w:rPr>
        <w:t>27行）之和；</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足球场地数量（29行）等于十一人制足球场地、七人制足球场地、五人制足球场地各项之和（30</w:t>
      </w:r>
      <w:r>
        <w:rPr>
          <w:rFonts w:hint="eastAsia" w:ascii="华文中宋" w:hAnsi="华文中宋" w:eastAsia="华文中宋"/>
          <w:sz w:val="30"/>
          <w:szCs w:val="30"/>
        </w:rPr>
        <w:t>~</w:t>
      </w:r>
      <w:r>
        <w:rPr>
          <w:rFonts w:hint="eastAsia" w:ascii="仿宋_GB2312" w:hAnsi="仿宋" w:eastAsia="仿宋_GB2312"/>
          <w:sz w:val="30"/>
          <w:szCs w:val="30"/>
        </w:rPr>
        <w:t>32）；</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各行各栏≥0。</w:t>
      </w:r>
    </w:p>
    <w:p>
      <w:pPr>
        <w:adjustRightInd w:val="0"/>
        <w:snapToGrid w:val="0"/>
        <w:spacing w:line="360" w:lineRule="auto"/>
        <w:ind w:left="6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2"/>
        </w:numPr>
        <w:adjustRightInd w:val="0"/>
        <w:snapToGrid w:val="0"/>
        <w:spacing w:line="360" w:lineRule="auto"/>
        <w:ind w:left="0" w:firstLine="573"/>
        <w:rPr>
          <w:rFonts w:hint="eastAsia" w:ascii="仿宋_GB2312" w:hAnsi="仿宋" w:eastAsia="仿宋_GB2312"/>
          <w:sz w:val="30"/>
          <w:szCs w:val="30"/>
        </w:rPr>
      </w:pPr>
      <w:r>
        <w:rPr>
          <w:rFonts w:hint="eastAsia" w:ascii="仿宋_GB2312" w:hAnsi="仿宋" w:eastAsia="仿宋_GB2312"/>
          <w:sz w:val="30"/>
          <w:szCs w:val="30"/>
        </w:rPr>
        <w:t>当独立编制机构数（18</w:t>
      </w:r>
      <w:r>
        <w:rPr>
          <w:rFonts w:hint="eastAsia" w:ascii="华文中宋" w:hAnsi="华文中宋" w:eastAsia="华文中宋"/>
          <w:sz w:val="30"/>
          <w:szCs w:val="30"/>
        </w:rPr>
        <w:t>~</w:t>
      </w:r>
      <w:r>
        <w:rPr>
          <w:rFonts w:hint="eastAsia" w:ascii="仿宋_GB2312" w:hAnsi="仿宋" w:eastAsia="仿宋_GB2312"/>
          <w:sz w:val="30"/>
          <w:szCs w:val="30"/>
        </w:rPr>
        <w:t>20行3栏）小于独立核算机构数（18</w:t>
      </w:r>
      <w:r>
        <w:rPr>
          <w:rFonts w:hint="eastAsia" w:ascii="华文中宋" w:hAnsi="华文中宋" w:eastAsia="华文中宋"/>
          <w:sz w:val="30"/>
          <w:szCs w:val="30"/>
        </w:rPr>
        <w:t>~</w:t>
      </w:r>
      <w:r>
        <w:rPr>
          <w:rFonts w:hint="eastAsia" w:ascii="仿宋_GB2312" w:hAnsi="仿宋" w:eastAsia="仿宋_GB2312"/>
          <w:sz w:val="30"/>
          <w:szCs w:val="30"/>
        </w:rPr>
        <w:t>20行4栏）时，</w:t>
      </w:r>
      <w:bookmarkStart w:id="4" w:name="_Hlk176967369"/>
      <w:r>
        <w:rPr>
          <w:rFonts w:hint="eastAsia" w:ascii="仿宋_GB2312" w:hAnsi="仿宋" w:eastAsia="仿宋_GB2312"/>
          <w:sz w:val="30"/>
          <w:szCs w:val="30"/>
        </w:rPr>
        <w:t>提示核实性错误，需结合实际情况修改或填写情况说明</w:t>
      </w:r>
      <w:bookmarkEnd w:id="4"/>
      <w:r>
        <w:rPr>
          <w:rFonts w:hint="eastAsia" w:ascii="仿宋_GB2312" w:hAnsi="仿宋" w:eastAsia="仿宋_GB2312"/>
          <w:sz w:val="30"/>
          <w:szCs w:val="30"/>
        </w:rPr>
        <w:t>。</w:t>
      </w:r>
    </w:p>
    <w:p>
      <w:pPr>
        <w:numPr>
          <w:ilvl w:val="0"/>
          <w:numId w:val="2"/>
        </w:numPr>
        <w:adjustRightInd w:val="0"/>
        <w:snapToGrid w:val="0"/>
        <w:spacing w:line="360" w:lineRule="auto"/>
        <w:ind w:left="0" w:firstLine="573"/>
        <w:rPr>
          <w:rFonts w:hint="eastAsia" w:ascii="仿宋_GB2312" w:hAnsi="仿宋" w:eastAsia="仿宋_GB2312"/>
          <w:sz w:val="30"/>
          <w:szCs w:val="30"/>
        </w:rPr>
      </w:pPr>
      <w:r>
        <w:rPr>
          <w:rFonts w:hint="eastAsia" w:ascii="仿宋_GB2312" w:hAnsi="仿宋" w:eastAsia="仿宋_GB2312"/>
          <w:sz w:val="30"/>
          <w:szCs w:val="30"/>
        </w:rPr>
        <w:t>当独立核算机构数合计行（17行4栏）不等于1时，提示核实性错误，需结合实际情况修改或填写情况说明。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封面单位性质=“共产党机关”“政府机关”“人大机关”“政协机关”“群众团体”“民主党派”“政法机关”。或封面单位性质=“参照公务员法管理事业单位”，且参照公务员法管理事业单位执行财务规则选择“10.行政单位财务规则”时，行政单位机构数（18行3、4栏）应大于0，事业及其他单位机构数（19、20行3、4栏）应等于0，否则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封面单位性质=“财政补助事业单位 、经费自理事业单位 ”，或封面单位性质=“参照公务员法管理事业单位”，且参照公务员法管理事业单位执行财务规则选择“20.事业单位财务规则及其他”时，事业单位机构数（19行3、4栏）应大于0，行政及其他单位机构数（18、20行3、4栏）应等于0 ，否则提示核实性错误，需结合实际情况修改或填写情况说明；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封面单位性质=“社会团体及其他”时，其他单位机构数（20行3、4栏）应大于0, 行政及事业单位机构数（18、19行3、4栏）应等于0 ，否则提示核实性错误，需结合实际情况修改或填写情况说明；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足球场地（29行5栏）大于等于100时，提示核实性错误，需结合实际情况修改或填写情况说明。</w:t>
      </w:r>
    </w:p>
    <w:p>
      <w:pPr>
        <w:pStyle w:val="2"/>
        <w:rPr>
          <w:rFonts w:hint="eastAsia"/>
          <w:b/>
          <w:color w:val="auto"/>
        </w:rPr>
      </w:pPr>
      <w:r>
        <w:rPr>
          <w:rFonts w:hint="eastAsia"/>
          <w:color w:val="auto"/>
        </w:rPr>
        <w:t>（四）固定和无形资产存量情况表（财资03表</w:t>
      </w:r>
      <w:r>
        <w:rPr>
          <w:rFonts w:hint="eastAsia"/>
          <w:color w:val="auto"/>
          <w:spacing w:val="6"/>
        </w:rPr>
        <w:t>）</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本表以资产模块</w:t>
      </w:r>
      <w:r>
        <w:rPr>
          <w:rFonts w:ascii="仿宋_GB2312" w:hAnsi="仿宋" w:eastAsia="仿宋_GB2312"/>
          <w:sz w:val="30"/>
          <w:szCs w:val="30"/>
        </w:rPr>
        <w:t>中的固定</w:t>
      </w:r>
      <w:r>
        <w:rPr>
          <w:rFonts w:hint="eastAsia" w:ascii="仿宋_GB2312" w:hAnsi="仿宋" w:eastAsia="仿宋_GB2312"/>
          <w:sz w:val="30"/>
          <w:szCs w:val="30"/>
        </w:rPr>
        <w:t>和无形</w:t>
      </w:r>
      <w:r>
        <w:rPr>
          <w:rFonts w:ascii="仿宋_GB2312" w:hAnsi="仿宋" w:eastAsia="仿宋_GB2312"/>
          <w:sz w:val="30"/>
          <w:szCs w:val="30"/>
        </w:rPr>
        <w:t>资产卡片数据为基础，</w:t>
      </w:r>
      <w:r>
        <w:rPr>
          <w:rFonts w:hint="eastAsia" w:ascii="仿宋_GB2312" w:hAnsi="仿宋" w:eastAsia="仿宋_GB2312"/>
          <w:sz w:val="30"/>
          <w:szCs w:val="30"/>
        </w:rPr>
        <w:t>按照资产分类分项提取生成</w:t>
      </w:r>
      <w:r>
        <w:rPr>
          <w:rFonts w:ascii="仿宋_GB2312" w:hAnsi="仿宋" w:eastAsia="仿宋_GB2312"/>
          <w:sz w:val="30"/>
          <w:szCs w:val="30"/>
        </w:rPr>
        <w:t>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本</w:t>
      </w:r>
      <w:r>
        <w:rPr>
          <w:rFonts w:ascii="仿宋_GB2312" w:hAnsi="仿宋" w:eastAsia="仿宋_GB2312"/>
          <w:sz w:val="30"/>
          <w:szCs w:val="30"/>
        </w:rPr>
        <w:t>年度账面期初数</w:t>
      </w:r>
      <w:r>
        <w:rPr>
          <w:rFonts w:hint="eastAsia" w:ascii="仿宋_GB2312" w:hAnsi="仿宋" w:eastAsia="仿宋_GB2312"/>
          <w:sz w:val="30"/>
          <w:szCs w:val="30"/>
        </w:rPr>
        <w:t>和</w:t>
      </w:r>
      <w:r>
        <w:rPr>
          <w:rFonts w:ascii="仿宋_GB2312" w:hAnsi="仿宋" w:eastAsia="仿宋_GB2312"/>
          <w:sz w:val="30"/>
          <w:szCs w:val="30"/>
        </w:rPr>
        <w:t>账面</w:t>
      </w:r>
      <w:r>
        <w:rPr>
          <w:rFonts w:hint="eastAsia" w:ascii="仿宋_GB2312" w:hAnsi="仿宋" w:eastAsia="仿宋_GB2312"/>
          <w:sz w:val="30"/>
          <w:szCs w:val="30"/>
        </w:rPr>
        <w:t>期末数。对于权证手续不全、但长期占有使用并实际控制的固定资产应当登记入账，并纳入本表填报范围。</w:t>
      </w:r>
    </w:p>
    <w:p>
      <w:pPr>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1.房屋和构筑物。本指标反映本单位在固定资产核算的境外土地所有权、房屋、构筑物及附属设施情况，不包含土地使用权、使用其他单位房屋和已投入使用的在建工程未转固房屋。</w:t>
      </w:r>
    </w:p>
    <w:p>
      <w:pPr>
        <w:spacing w:line="360" w:lineRule="auto"/>
        <w:ind w:firstLine="600"/>
        <w:rPr>
          <w:rFonts w:hint="eastAsia"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土地：反映境外购置具有土地所有权的资产。</w:t>
      </w:r>
    </w:p>
    <w:p>
      <w:pPr>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.房屋。本指标反映本单位房屋情况，包括办公用房、业务用房、其他用房的建筑面积和账面价值，不包含构筑物和房屋附属设施。</w:t>
      </w:r>
    </w:p>
    <w:p>
      <w:pPr>
        <w:spacing w:line="360" w:lineRule="auto"/>
        <w:ind w:firstLine="576" w:firstLineChars="192"/>
        <w:rPr>
          <w:rFonts w:ascii="仿宋_GB2312" w:eastAsia="仿宋_GB2312"/>
          <w:kern w:val="0"/>
          <w:sz w:val="30"/>
          <w:szCs w:val="30"/>
        </w:rPr>
      </w:pPr>
      <w:r>
        <w:rPr>
          <w:rFonts w:ascii="仿宋_GB2312" w:hAnsi="仿宋" w:eastAsia="仿宋_GB2312"/>
          <w:sz w:val="30"/>
          <w:szCs w:val="30"/>
        </w:rPr>
        <w:t>4.</w:t>
      </w:r>
      <w:r>
        <w:rPr>
          <w:rFonts w:ascii="仿宋_GB2312" w:eastAsia="仿宋_GB2312"/>
          <w:kern w:val="0"/>
          <w:sz w:val="30"/>
          <w:szCs w:val="30"/>
        </w:rPr>
        <w:t>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2014〕2674号）相关规定，本表中</w:t>
      </w:r>
      <w:r>
        <w:rPr>
          <w:rFonts w:hint="eastAsia" w:ascii="仿宋_GB2312" w:eastAsia="仿宋_GB2312"/>
          <w:kern w:val="0"/>
          <w:sz w:val="30"/>
          <w:szCs w:val="30"/>
        </w:rPr>
        <w:t>办公用房用途分类是指办公室用房、服务用房、设备用房和附属用房。数量原则上按建筑面积填列。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5.办公室用房：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6.业务用房:填列单位为开展各类业务设置的特殊技术业务场所。包括</w:t>
      </w:r>
      <w:r>
        <w:rPr>
          <w:rFonts w:hint="eastAsia" w:ascii="仿宋_GB2312" w:eastAsia="仿宋_GB2312"/>
          <w:kern w:val="0"/>
          <w:sz w:val="30"/>
          <w:szCs w:val="30"/>
        </w:rPr>
        <w:t>教育用房</w:t>
      </w:r>
      <w:r>
        <w:rPr>
          <w:rFonts w:ascii="仿宋_GB2312" w:eastAsia="仿宋_GB2312"/>
          <w:kern w:val="0"/>
          <w:sz w:val="30"/>
          <w:szCs w:val="30"/>
        </w:rPr>
        <w:t>、</w:t>
      </w:r>
      <w:r>
        <w:rPr>
          <w:rFonts w:hint="eastAsia" w:ascii="仿宋_GB2312" w:eastAsia="仿宋_GB2312"/>
          <w:kern w:val="0"/>
          <w:sz w:val="30"/>
          <w:szCs w:val="30"/>
        </w:rPr>
        <w:t>科研用房、文化用房、医疗卫生用房等</w:t>
      </w:r>
      <w:r>
        <w:rPr>
          <w:rFonts w:ascii="仿宋_GB2312" w:eastAsia="仿宋_GB2312"/>
          <w:kern w:val="0"/>
          <w:sz w:val="30"/>
          <w:szCs w:val="30"/>
        </w:rPr>
        <w:t>行政事业单位业务类用房，</w:t>
      </w:r>
      <w:r>
        <w:rPr>
          <w:rFonts w:hint="eastAsia" w:ascii="仿宋_GB2312" w:eastAsia="仿宋_GB2312"/>
          <w:kern w:val="0"/>
          <w:sz w:val="30"/>
          <w:szCs w:val="30"/>
        </w:rPr>
        <w:t>数量原则上按建筑面积填列。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7.</w:t>
      </w:r>
      <w:r>
        <w:rPr>
          <w:rFonts w:hint="eastAsia" w:ascii="仿宋_GB2312" w:eastAsia="仿宋_GB2312"/>
          <w:kern w:val="0"/>
          <w:sz w:val="30"/>
          <w:szCs w:val="30"/>
        </w:rPr>
        <w:t>其他用房：填列除办公用房和业务用房以外的所有房屋。数量原则上按建筑面积填列。</w:t>
      </w:r>
    </w:p>
    <w:p>
      <w:pPr>
        <w:spacing w:line="360" w:lineRule="auto"/>
        <w:ind w:firstLine="576" w:firstLineChars="192"/>
        <w:rPr>
          <w:rFonts w:hint="eastAsia" w:ascii="仿宋_GB2312" w:hAnsi="仿宋" w:eastAsia="仿宋_GB2312"/>
          <w:sz w:val="30"/>
          <w:szCs w:val="30"/>
        </w:rPr>
      </w:pPr>
      <w:r>
        <w:rPr>
          <w:rFonts w:ascii="仿宋_GB2312" w:eastAsia="仿宋_GB2312"/>
          <w:kern w:val="0"/>
          <w:sz w:val="30"/>
          <w:szCs w:val="30"/>
        </w:rPr>
        <w:t>8.</w:t>
      </w:r>
      <w:r>
        <w:rPr>
          <w:rFonts w:hint="eastAsia" w:ascii="仿宋_GB2312" w:eastAsia="仿宋_GB2312"/>
          <w:kern w:val="0"/>
          <w:sz w:val="30"/>
          <w:szCs w:val="30"/>
        </w:rPr>
        <w:t>车辆：</w:t>
      </w:r>
      <w:r>
        <w:rPr>
          <w:rFonts w:hint="eastAsia" w:ascii="仿宋_GB2312" w:hAnsi="仿宋" w:eastAsia="仿宋_GB2312"/>
          <w:sz w:val="30"/>
          <w:szCs w:val="30"/>
        </w:rPr>
        <w:t>填列单位占有使用的机动车辆（不含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、电动自行车、轮椅车、非机动车辆等）。</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9.医疗设备：取自资产信息卡中资产用途为“医疗”，资产分类为“设备”，且价值在100万元以上的资产。</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10.科研设备：取自资产信息卡中资产用途为“科研”，资产分类为“设备”，且价值在100万元以上的资产。</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11.共享共用：取自资产信息卡中是否共享共用为“是”，资产用途为“科研”，资产分类为“设备”，且价值在100万元以上的资产。</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ascii="仿宋_GB2312" w:hAnsi="仿宋" w:eastAsia="仿宋_GB2312"/>
          <w:sz w:val="30"/>
          <w:szCs w:val="30"/>
        </w:rPr>
        <w:t>陈列品：根据中华人民共和国国家标准《固定资产等资产基础分类与代码》（GB/T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）提取资产分类“文物和陈列品（A03000000）”下面的所有计入固定资产科目的数据。不计提折旧。</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13</w:t>
      </w:r>
      <w:r>
        <w:rPr>
          <w:rFonts w:ascii="仿宋_GB2312" w:hAnsi="仿宋" w:eastAsia="仿宋_GB2312"/>
          <w:sz w:val="30"/>
          <w:szCs w:val="30"/>
        </w:rPr>
        <w:t>.</w:t>
      </w:r>
      <w:r>
        <w:rPr>
          <w:rFonts w:hint="eastAsia" w:ascii="仿宋_GB2312" w:hAnsi="仿宋" w:eastAsia="仿宋_GB2312"/>
          <w:sz w:val="30"/>
          <w:szCs w:val="30"/>
        </w:rPr>
        <w:t>图书和档案：根据中华人民共和国国家标准《固定资产等资产基础分类与代码》（GB/T</w:t>
      </w:r>
      <w:r>
        <w:rPr>
          <w:rFonts w:ascii="仿宋_GB2312" w:hAnsi="仿宋" w:eastAsia="仿宋_GB2312"/>
          <w:sz w:val="30"/>
          <w:szCs w:val="30"/>
        </w:rPr>
        <w:t xml:space="preserve"> </w:t>
      </w:r>
      <w:r>
        <w:rPr>
          <w:rFonts w:hint="eastAsia" w:ascii="仿宋_GB2312" w:hAnsi="仿宋" w:eastAsia="仿宋_GB2312"/>
          <w:sz w:val="30"/>
          <w:szCs w:val="30"/>
        </w:rPr>
        <w:t>14885-20</w:t>
      </w:r>
      <w:r>
        <w:rPr>
          <w:rFonts w:ascii="仿宋_GB2312" w:hAnsi="仿宋" w:eastAsia="仿宋_GB2312"/>
          <w:sz w:val="30"/>
          <w:szCs w:val="30"/>
        </w:rPr>
        <w:t>22</w:t>
      </w:r>
      <w:r>
        <w:rPr>
          <w:rFonts w:hint="eastAsia" w:ascii="仿宋_GB2312" w:hAnsi="仿宋" w:eastAsia="仿宋_GB2312"/>
          <w:sz w:val="30"/>
          <w:szCs w:val="30"/>
        </w:rPr>
        <w:t>）提取资产分类“图书和档案（</w:t>
      </w:r>
      <w:r>
        <w:rPr>
          <w:rFonts w:ascii="仿宋_GB2312" w:hAnsi="仿宋" w:eastAsia="仿宋_GB2312"/>
          <w:sz w:val="30"/>
          <w:szCs w:val="30"/>
        </w:rPr>
        <w:t>A04000000</w:t>
      </w:r>
      <w:r>
        <w:rPr>
          <w:rFonts w:hint="eastAsia" w:ascii="仿宋_GB2312" w:hAnsi="仿宋" w:eastAsia="仿宋_GB2312"/>
          <w:sz w:val="30"/>
          <w:szCs w:val="30"/>
        </w:rPr>
        <w:t>）”下面的所有资产。图书和档案不计提折旧。</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14</w:t>
      </w:r>
      <w:r>
        <w:rPr>
          <w:rFonts w:ascii="仿宋_GB2312" w:hAnsi="仿宋" w:eastAsia="仿宋_GB2312"/>
          <w:sz w:val="30"/>
          <w:szCs w:val="30"/>
        </w:rPr>
        <w:t>.</w:t>
      </w:r>
      <w:r>
        <w:rPr>
          <w:rFonts w:hint="eastAsia" w:ascii="仿宋_GB2312" w:hAnsi="仿宋" w:eastAsia="仿宋_GB2312"/>
          <w:sz w:val="30"/>
          <w:szCs w:val="30"/>
        </w:rPr>
        <w:t>家具和用具：根据中华人民共和国国家标准《固定资产等资产基础分类与代码》（GB/T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）提取资产分类“家具和用具（</w:t>
      </w:r>
      <w:r>
        <w:rPr>
          <w:rFonts w:ascii="仿宋_GB2312" w:hAnsi="仿宋" w:eastAsia="仿宋_GB2312"/>
          <w:sz w:val="30"/>
          <w:szCs w:val="30"/>
        </w:rPr>
        <w:t>A05000000</w:t>
      </w:r>
      <w:r>
        <w:rPr>
          <w:rFonts w:hint="eastAsia" w:ascii="仿宋_GB2312" w:hAnsi="仿宋" w:eastAsia="仿宋_GB2312"/>
          <w:sz w:val="30"/>
          <w:szCs w:val="30"/>
        </w:rPr>
        <w:t>）”下面的所有资产。</w:t>
      </w:r>
    </w:p>
    <w:p>
      <w:pPr>
        <w:spacing w:line="360" w:lineRule="auto"/>
        <w:ind w:firstLine="600"/>
        <w:rPr>
          <w:rFonts w:hint="eastAsia" w:ascii="仿宋_GB2312" w:hAnsi="仿宋" w:eastAsia="仿宋_GB2312"/>
          <w:sz w:val="30"/>
          <w:szCs w:val="30"/>
        </w:rPr>
      </w:pPr>
      <w:r>
        <w:rPr>
          <w:rFonts w:hint="eastAsia" w:ascii="仿宋_GB2312" w:hAnsi="仿宋" w:eastAsia="仿宋_GB2312"/>
          <w:sz w:val="30"/>
          <w:szCs w:val="30"/>
        </w:rPr>
        <w:t>15</w:t>
      </w:r>
      <w:r>
        <w:rPr>
          <w:rFonts w:ascii="仿宋_GB2312" w:hAnsi="仿宋" w:eastAsia="仿宋_GB2312"/>
          <w:sz w:val="30"/>
          <w:szCs w:val="30"/>
        </w:rPr>
        <w:t>.</w:t>
      </w:r>
      <w:r>
        <w:rPr>
          <w:rFonts w:hint="eastAsia" w:ascii="仿宋_GB2312" w:hAnsi="仿宋" w:eastAsia="仿宋_GB2312"/>
          <w:sz w:val="30"/>
          <w:szCs w:val="30"/>
        </w:rPr>
        <w:t>特种动植物：根据中华人民共和国国家标准《固定资产等资产基础分类与代码》（GB/T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）提取资产分类“特种动植物（A06000000）”下面的所有资产。动植物不计提折旧。</w:t>
      </w:r>
    </w:p>
    <w:p>
      <w:pPr>
        <w:tabs>
          <w:tab w:val="left" w:pos="1305"/>
        </w:tabs>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16</w:t>
      </w:r>
      <w:r>
        <w:rPr>
          <w:rFonts w:ascii="仿宋_GB2312" w:hAnsi="仿宋" w:eastAsia="仿宋_GB2312"/>
          <w:sz w:val="30"/>
          <w:szCs w:val="30"/>
        </w:rPr>
        <w:t>.</w:t>
      </w:r>
      <w:r>
        <w:rPr>
          <w:rFonts w:hint="eastAsia" w:ascii="仿宋_GB2312" w:hAnsi="仿宋" w:eastAsia="仿宋_GB2312"/>
          <w:sz w:val="30"/>
          <w:szCs w:val="30"/>
        </w:rPr>
        <w:t>无形资产：填列单位控制的没有实物形态的可辨认非货币性资产，如专利权、商标权、著作权、土地使用权、非专利技术、数据等。使用年限不确定的无形资产不计提摊销。</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17.数据资产：</w:t>
      </w:r>
      <w:r>
        <w:rPr>
          <w:rFonts w:hint="eastAsia" w:ascii="仿宋_GB2312" w:eastAsia="仿宋_GB2312"/>
          <w:kern w:val="0"/>
          <w:sz w:val="30"/>
          <w:szCs w:val="30"/>
        </w:rPr>
        <w:t>是指各级行政事业单位在依法履职或提供公共服务过程中持有或控制的，预期能够产生管理服务潜力或带来经济利益流入的数据资源。相关指标从数据资产信息卡提取，即</w:t>
      </w:r>
      <w:r>
        <w:rPr>
          <w:rFonts w:hint="eastAsia" w:ascii="仿宋_GB2312" w:hAnsi="仿宋" w:eastAsia="仿宋_GB2312"/>
          <w:sz w:val="30"/>
          <w:szCs w:val="30"/>
        </w:rPr>
        <w:t>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）提取资产分类“数据（A08060200）”下面的所有资产。</w:t>
      </w:r>
    </w:p>
    <w:p>
      <w:pPr>
        <w:tabs>
          <w:tab w:val="left" w:pos="1305"/>
        </w:tabs>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18</w:t>
      </w:r>
      <w:r>
        <w:rPr>
          <w:rFonts w:ascii="仿宋_GB2312" w:hAnsi="仿宋" w:eastAsia="仿宋_GB2312"/>
          <w:sz w:val="30"/>
          <w:szCs w:val="30"/>
        </w:rPr>
        <w:t>.</w:t>
      </w:r>
      <w:r>
        <w:rPr>
          <w:rFonts w:hint="eastAsia" w:ascii="仿宋_GB2312" w:hAnsi="仿宋" w:eastAsia="仿宋_GB2312"/>
          <w:sz w:val="30"/>
          <w:szCs w:val="30"/>
        </w:rPr>
        <w:t>期初账面数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的期初数量</w:t>
      </w:r>
      <w:r>
        <w:rPr>
          <w:rFonts w:ascii="仿宋_GB2312" w:hAnsi="仿宋" w:eastAsia="仿宋_GB2312"/>
          <w:sz w:val="30"/>
          <w:szCs w:val="30"/>
        </w:rPr>
        <w:t>和</w:t>
      </w:r>
      <w:r>
        <w:rPr>
          <w:rFonts w:hint="eastAsia" w:ascii="仿宋_GB2312" w:hAnsi="仿宋" w:eastAsia="仿宋_GB2312"/>
          <w:sz w:val="30"/>
          <w:szCs w:val="30"/>
        </w:rPr>
        <w:t>金额。</w:t>
      </w:r>
    </w:p>
    <w:p>
      <w:pPr>
        <w:spacing w:line="360" w:lineRule="auto"/>
        <w:ind w:firstLine="576" w:firstLineChars="192"/>
        <w:rPr>
          <w:rFonts w:ascii="仿宋_GB2312" w:eastAsia="仿宋_GB2312"/>
          <w:kern w:val="0"/>
          <w:sz w:val="30"/>
          <w:szCs w:val="30"/>
        </w:rPr>
      </w:pPr>
      <w:r>
        <w:rPr>
          <w:rFonts w:hint="eastAsia" w:ascii="仿宋_GB2312" w:hAnsi="仿宋" w:eastAsia="仿宋_GB2312"/>
          <w:sz w:val="30"/>
          <w:szCs w:val="30"/>
        </w:rPr>
        <w:t>19</w:t>
      </w:r>
      <w:r>
        <w:rPr>
          <w:rFonts w:ascii="仿宋_GB2312" w:hAnsi="仿宋" w:eastAsia="仿宋_GB2312"/>
          <w:sz w:val="30"/>
          <w:szCs w:val="30"/>
        </w:rPr>
        <w:t>.</w:t>
      </w:r>
      <w:r>
        <w:rPr>
          <w:rFonts w:hint="eastAsia" w:ascii="仿宋_GB2312" w:hAnsi="仿宋" w:eastAsia="仿宋_GB2312"/>
          <w:sz w:val="30"/>
          <w:szCs w:val="30"/>
        </w:rPr>
        <w:t>期末账面数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的期末数量和金额。</w:t>
      </w:r>
      <w:r>
        <w:rPr>
          <w:rFonts w:hint="eastAsia" w:ascii="仿宋_GB2312" w:eastAsia="仿宋_GB2312"/>
          <w:kern w:val="0"/>
          <w:sz w:val="30"/>
          <w:szCs w:val="30"/>
        </w:rPr>
        <w:t>根据卡片记录情况，分别按照在用、闲置、出租出借、待处置（待报废、毁损等）等资产状态提取相应数据。</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（1）在用:是指本单位占有的，且处于使用状态的资产。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（2）出租出借：是指本单位让渡给其他单位使用，并签署相关租借协议的资产。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（3）闲置：是指本年满足使用条件但未投入使用的资产。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（4）其中：闲置时间超过一年（含）以上：非房屋类资产是指资产状态为“闲置”的资产，最新一次资产业务变动资产状态为“闲置”的时间，距2025年12月31日，超过365天的资产。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房屋类是指资产信息卡当前闲置面积不为0，且资产业务变动连续期间内闲置面积持续大于当前闲置面积的最早业务变动时间，距2025年12月31日，超过365天的资产。</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（5）待处置（待报废、毁损等）：是指除在用、闲置、出租出借等状态以外的资产，如损毁、盘亏资产，处置流程中的资产，待报废资产，公车改革中取消待处置的车辆等。其中：</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报废是指按照有关规定或者经有关部门、专家鉴定，对因技术原因确需淘汰或者无法维修、无维修价值的国有资产，或者已超过使用年限且无法满足工作需要的国有资产，进行产权核销的国有资产处置行为；损失核销是指由于发生盘亏、毁损、非正常损失等原因，按照有关规定对国有资产损失进行核销的国有资产处置行为。</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各行的净值=原值-累计折旧；</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合计行（1行）等于固定资产（2行）与无形资产（20行）之和 ；</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固定资产（2行）的原值、累计折旧、净值等于房屋和构筑物（3行）、设备（10行）、陈列品（16行）、图书和档案（17行）、家具和用具（18行）、特种动植物（19行）对应各项之和；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房屋和构筑物（3行）的原值、累计折旧、净值分别应大于等于土地（4行）与房屋（5行）之和的原值、累计折旧、净值；</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房屋（5行）面积应等于办公用房、业务用房、其他用房面积之和；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办公用房（6行）面积应大于等于其中：本单位实际使用办公室用房面积；</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Wingdings" w:hAnsi="Wingdings" w:eastAsia="仿宋_GB2312"/>
          <w:sz w:val="30"/>
          <w:szCs w:val="30"/>
        </w:rPr>
        <w:t>设备（</w:t>
      </w:r>
      <w:r>
        <w:rPr>
          <w:rFonts w:hint="eastAsia" w:ascii="仿宋_GB2312" w:hAnsi="仿宋" w:eastAsia="仿宋_GB2312"/>
          <w:sz w:val="30"/>
          <w:szCs w:val="30"/>
        </w:rPr>
        <w:t>10行</w:t>
      </w:r>
      <w:r>
        <w:rPr>
          <w:rFonts w:hint="eastAsia" w:ascii="Wingdings" w:hAnsi="Wingdings" w:eastAsia="仿宋_GB2312"/>
          <w:sz w:val="30"/>
          <w:szCs w:val="30"/>
        </w:rPr>
        <w:t>）的数量、原值、累计折旧、净值应分别大于等于车辆与单价</w:t>
      </w:r>
      <w:r>
        <w:rPr>
          <w:rFonts w:hint="eastAsia" w:ascii="仿宋_GB2312" w:hAnsi="仿宋" w:eastAsia="仿宋_GB2312"/>
          <w:sz w:val="30"/>
          <w:szCs w:val="30"/>
        </w:rPr>
        <w:t>100</w:t>
      </w:r>
      <w:r>
        <w:rPr>
          <w:rFonts w:hint="eastAsia" w:ascii="Wingdings" w:hAnsi="Wingdings" w:eastAsia="仿宋_GB2312"/>
          <w:sz w:val="30"/>
          <w:szCs w:val="30"/>
        </w:rPr>
        <w:t>万（含）以上（不含车辆）之和的设备数量、原值、累计折旧、净值</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Wingdings" w:hAnsi="Wingdings" w:eastAsia="仿宋_GB2312"/>
          <w:sz w:val="30"/>
          <w:szCs w:val="30"/>
        </w:rPr>
        <w:t>单</w:t>
      </w:r>
      <w:r>
        <w:rPr>
          <w:rFonts w:hint="eastAsia" w:ascii="仿宋_GB2312" w:hAnsi="仿宋_GB2312" w:eastAsia="仿宋_GB2312" w:cs="仿宋_GB2312"/>
          <w:sz w:val="30"/>
          <w:szCs w:val="30"/>
        </w:rPr>
        <w:t>价100万（含）以上（不含车辆）（12行）的数量、原值、累计折旧、净值</w:t>
      </w:r>
      <w:r>
        <w:rPr>
          <w:rFonts w:hint="eastAsia" w:ascii="Wingdings" w:hAnsi="Wingdings" w:eastAsia="仿宋_GB2312"/>
          <w:sz w:val="30"/>
          <w:szCs w:val="30"/>
        </w:rPr>
        <w:t>应分别大于等于科研设备与医疗设备之和的设备数量、原值、累计折旧、净值</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Wingdings" w:hAnsi="Wingdings" w:eastAsia="仿宋_GB2312"/>
          <w:sz w:val="30"/>
          <w:szCs w:val="30"/>
        </w:rPr>
        <w:t>科研设备</w:t>
      </w:r>
      <w:r>
        <w:rPr>
          <w:rFonts w:hint="eastAsia" w:ascii="仿宋_GB2312" w:hAnsi="仿宋_GB2312" w:eastAsia="仿宋_GB2312" w:cs="仿宋_GB2312"/>
          <w:sz w:val="30"/>
          <w:szCs w:val="30"/>
        </w:rPr>
        <w:t>（14行）的数量、原值、累计折旧、净值</w:t>
      </w:r>
      <w:r>
        <w:rPr>
          <w:rFonts w:hint="eastAsia" w:ascii="Wingdings" w:hAnsi="Wingdings" w:eastAsia="仿宋_GB2312"/>
          <w:sz w:val="30"/>
          <w:szCs w:val="30"/>
        </w:rPr>
        <w:t>应分别大于等于共享共用设备</w:t>
      </w:r>
      <w:r>
        <w:rPr>
          <w:rFonts w:hint="eastAsia" w:ascii="仿宋_GB2312" w:hAnsi="仿宋_GB2312" w:eastAsia="仿宋_GB2312" w:cs="仿宋_GB2312"/>
          <w:sz w:val="30"/>
          <w:szCs w:val="30"/>
        </w:rPr>
        <w:t>（15行）数量、原值、累计折旧、净值；</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无形资产（20行）原值、累计折旧、净值分别应大于等于专利、非专利技术、土地使用权、计算机软件、数据资产各项之和的原值、累计折旧、净值</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各行的期末账面数合计栏-数量、原值、累计折旧、净值应分别等于在用、出租出借、闲置、待处置栏之和的数量、原值、累计折旧、净值;</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各行各栏应大于等于零；</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单价100万（含）以上（不含车辆）设备期末账面数合计栏的原值/数量应大于等于100万；</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闲置原值（18栏）应大于等于闲置时间超过1年以上的原值（22栏）。</w:t>
      </w:r>
    </w:p>
    <w:p>
      <w:pPr>
        <w:adjustRightInd w:val="0"/>
        <w:snapToGrid w:val="0"/>
        <w:spacing w:line="360" w:lineRule="auto"/>
        <w:ind w:left="567"/>
        <w:rPr>
          <w:rFonts w:hint="eastAsia" w:ascii="仿宋_GB2312" w:hAnsi="仿宋" w:eastAsia="仿宋_GB2312"/>
          <w:b/>
          <w:sz w:val="30"/>
          <w:szCs w:val="30"/>
        </w:rPr>
      </w:pPr>
      <w:r>
        <w:rPr>
          <w:rFonts w:hint="eastAsia" w:ascii="仿宋_GB2312" w:hAnsi="仿宋" w:eastAsia="仿宋_GB2312"/>
          <w:b/>
          <w:sz w:val="30"/>
          <w:szCs w:val="30"/>
        </w:rPr>
        <w:t>表间</w:t>
      </w:r>
      <w:r>
        <w:rPr>
          <w:rFonts w:ascii="仿宋_GB2312" w:hAnsi="仿宋" w:eastAsia="仿宋_GB2312"/>
          <w:b/>
          <w:sz w:val="30"/>
          <w:szCs w:val="30"/>
        </w:rPr>
        <w:t>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合计行（1行）原值、累计折旧、净值的期初期末数分别等于财资01资产负债表固定资产与无形资产的原值、累计折旧、净值的期初期末数之和；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固定资产（2行）原值、累计折旧、净值的期初期末数分别等于财资01资产负债表固定资产原值、累计折旧、净值的期初期末数；</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单户表封面预算级次为省级、计划单列市、市级、县（区）级、乡级时，不应存在固定资产土地，故固定资产土地（4行）应为零；</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固定资产土地（4行）期末账面数量、原值、累计折旧、净值（</w:t>
      </w:r>
      <w:r>
        <w:rPr>
          <w:rFonts w:ascii="仿宋_GB2312" w:hAnsi="仿宋" w:eastAsia="仿宋_GB2312"/>
          <w:sz w:val="30"/>
          <w:szCs w:val="30"/>
        </w:rPr>
        <w:t>5</w:t>
      </w:r>
      <w:r>
        <w:rPr>
          <w:rFonts w:ascii="华文中宋" w:hAnsi="华文中宋" w:eastAsia="华文中宋"/>
          <w:sz w:val="30"/>
          <w:szCs w:val="30"/>
        </w:rPr>
        <w:t>~</w:t>
      </w:r>
      <w:r>
        <w:rPr>
          <w:rFonts w:ascii="仿宋_GB2312" w:hAnsi="仿宋" w:eastAsia="仿宋_GB2312"/>
          <w:sz w:val="30"/>
          <w:szCs w:val="30"/>
        </w:rPr>
        <w:t>8栏</w:t>
      </w:r>
      <w:r>
        <w:rPr>
          <w:rFonts w:hint="eastAsia" w:ascii="仿宋_GB2312" w:hAnsi="仿宋" w:eastAsia="仿宋_GB2312"/>
          <w:sz w:val="30"/>
          <w:szCs w:val="30"/>
        </w:rPr>
        <w:t>）应等于财资04土地情况表中资产分类为固定资产分类下土地的浮动行对应栏（</w:t>
      </w:r>
      <w:r>
        <w:rPr>
          <w:rFonts w:ascii="仿宋_GB2312" w:hAnsi="仿宋" w:eastAsia="仿宋_GB2312"/>
          <w:sz w:val="30"/>
          <w:szCs w:val="30"/>
        </w:rPr>
        <w:t>11、16</w:t>
      </w:r>
      <w:r>
        <w:rPr>
          <w:rFonts w:ascii="华文中宋" w:hAnsi="华文中宋" w:eastAsia="华文中宋"/>
          <w:sz w:val="30"/>
          <w:szCs w:val="30"/>
        </w:rPr>
        <w:t>~</w:t>
      </w:r>
      <w:r>
        <w:rPr>
          <w:rFonts w:ascii="仿宋_GB2312" w:hAnsi="仿宋" w:eastAsia="仿宋_GB2312"/>
          <w:sz w:val="30"/>
          <w:szCs w:val="30"/>
        </w:rPr>
        <w:t>18栏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无形资产土地使用权的期末数量、原值、累计折旧、净值应分别等于财资04土地情况表中资产分类为无形资产土地使用权的浮动行对应栏（11、16</w:t>
      </w:r>
      <w:r>
        <w:rPr>
          <w:rFonts w:hint="eastAsia" w:ascii="华文中宋" w:hAnsi="华文中宋" w:eastAsia="华文中宋"/>
          <w:sz w:val="30"/>
          <w:szCs w:val="30"/>
        </w:rPr>
        <w:t>~</w:t>
      </w:r>
      <w:r>
        <w:rPr>
          <w:rFonts w:hint="eastAsia" w:ascii="仿宋_GB2312" w:hAnsi="仿宋" w:eastAsia="仿宋_GB2312"/>
          <w:sz w:val="30"/>
          <w:szCs w:val="30"/>
        </w:rPr>
        <w:t>18栏）之和</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房屋的期末数量、原值、累计折旧、净值应分别等于财资05房屋情况表“本单位房屋小计”行的对应栏（</w:t>
      </w:r>
      <w:r>
        <w:rPr>
          <w:rFonts w:ascii="仿宋_GB2312" w:hAnsi="仿宋" w:eastAsia="仿宋_GB2312"/>
          <w:sz w:val="30"/>
          <w:szCs w:val="30"/>
        </w:rPr>
        <w:t>12、33</w:t>
      </w:r>
      <w:r>
        <w:rPr>
          <w:rFonts w:ascii="华文中宋" w:hAnsi="华文中宋" w:eastAsia="华文中宋"/>
          <w:sz w:val="30"/>
          <w:szCs w:val="30"/>
        </w:rPr>
        <w:t>~</w:t>
      </w:r>
      <w:r>
        <w:rPr>
          <w:rFonts w:ascii="仿宋_GB2312" w:hAnsi="仿宋" w:eastAsia="仿宋_GB2312"/>
          <w:sz w:val="30"/>
          <w:szCs w:val="30"/>
        </w:rPr>
        <w:t>35栏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办公用房的期末数量应等于财资05房屋情况表“本单位房屋小计”行办公用房的面积小计栏（17栏）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本单位实际使用办公室用房的期末数量应等于财资05房屋情况表“本单位房屋小计”行本单位实际使用办公室用房的面积小计栏（22栏）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业务用房的期末数量应等于财资05房屋情况表“本单位房屋小计”行业务用房的面积小计栏（23栏）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其他用房的期末数量应等于财资05房屋情况表“本单位房屋小计”行其他用房的面积小计栏（28栏）</w:t>
      </w:r>
      <w:r>
        <w:rPr>
          <w:rFonts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车辆期末的数量、原值、累计折旧、净值分别等于财资06车辆情况表车辆明细数量、原值、累计折旧、净值之和；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无形资产（20行）原值、累计折旧、净值的期初期末数分别等于财资01资产负债表无形资产原值、累计折旧、净值的期初期末数；</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无形资产中土地使用权的出租出借数量（面积）应等于财资09出租出借情况表中出租出借结束日期大于等于2025年12月31日的无形资产中土地使用权的出租出借数量（面积）之和；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固定资产下的土地的出租出借数量（面积）应等于财资09出租出借情况表中出租出借结束日期大于等于2025年12月31日固定资产项下的土地的出租出借数量（面积）之和；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房屋的出租出借数量（面积）应等于财资09出租出借情况表中出租出借结束日期大于等于2025年12月31日房屋的出租出借数量（面积）之和；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办公用房的出租出借数量（面积）应等于财资09出租出借情况表中出租出借结束日期大于等于2025年12月31日的办公用房的出租出借数量（面积）之和；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业务用房的出租出借数量（面积）应等于财资09出租出借情况表中出租出借结束日期大于等于2025年12月31日的业务用房的出租出借数量（面积）之和；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其他用房的出租出借数量（面积）应等于财资09出租出借情况表中出租出借结束日期大于等于2025年12月31日的其他用房的出租出借数量（面积）之和；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设备的出租出借数量（面积）应等于财资09出租出借情况表中出租出借结束日期大于等于2025年12月31日的设备资产的出租出借数量（面积）之和；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车辆的出租出借数量（面积）应等于财资09出租出借情况表中出租出借结束日期大于等于2025年12月31日的车辆资产的出租出借数量（面积）之和；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万（含）以上（不含车辆）的设备出租出借数量（面积）应等于财资09出租出借情况表中出租出借结束日期大于等于2025年12月31日的单价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陈列品的出租出借数量（面积）应等于财资09出租出借情况表中出租出借结束日期大于等于2025年12月31日的陈列品资产的出租出借数量（面积）之和;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图书和档案的出租出借数量（面积）应等于财资09出租出借情况表中出租出借结束日期大于等于2025年12月31日的图书和档案资产的出租出借数量（面积）之和；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家具和用具的出租出借数量（面积）应等于财资09出租出借情况表中出租出借结束日期大于等于2025年12月31日的家具和用具资产的出租出借数量（面积）之和；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特种动植物的出租出借数量（面积）应等于财资09出租出借情况表中出租出借结束日期大于等于2025年12月31日的特种动植物资产的出租出借数量（面积）之和；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其中：专利的出租出借数量（面积）应等于财资09出租出借情况表中出租出借结束日期大于等于2025年12月31日的其中：专利的出租出借数量（面积）之和；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非专利技术的出租出借数量（面积）应等于财资09出租出借情况表中出租出借结束日期大于等于2025年12月31日的非专利技术的出租出借数量（面积）之和；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计算机软件的出租出借数量（面积）应等于财资09出租出借情况表中出租出借结束日期大于等于2025年12月31日的计算机软件的出租出借数量（面积）之和；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固定资产的出租出借价值应等于财资09出租出借情况表中出租出借结束日期大于等于2025年12月31日的固定资产的出租出借价值之和；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房屋和构筑物的出租出借价值应等于财资09出租出借情况表中出租出借结束日期大于等于2025年12月31日的房屋和构筑物的出租出借价值之和；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固定资产中土地的出租出借价值应等于财资09出租出借情况表中出租出借结束日期大于等于2025年12月31日的固定资产中土地的出租出借价值之和；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无形资产中土地使用权的出租出借价值应等于财资09出租出借情况表中出租出借结束日期大于等于2025年12月31日的无形资产中土地使用权的出租出借价值之和；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房屋的出租出借价值应等于财资09出租出借情况表中出租出借结束日期大于等于2025年12月31日的房屋的出租出借价值之和；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设备的出租出借价值应等于财资09出租出借情况表中出租出借结束日期大于等于2025年12月31日的设备资产的出租出借价值之和；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车辆的出租出借价值应等于财资09出租出借情况表中出租出借结束日期大于等于2025年12月31日的车辆资产的出租出借价值之和；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万（含）以上（不含车辆）的设备出租出借价值应等于财资09出租出借情况表中出租出借结束日期大于等于2025年12月31日的单价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陈列品的出租出借价值应等于财资09出租出借情况表中出租出借结束日期大于等于2025年12月31日的陈列品资产的出租出借价值之和；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图书和档案的出租出借价值应等于财资09出租出借情况表中出租出借结束日期大于等于2025年12月31日的图书和档案资产的出租出借价值之和；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家具和用具的出租出借价值应等于财资09出租出借情况表中出租出借结束日期大于等于2025年12月31日的家具和用具资产的出租出借价值之和；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特种动植物的出租出借价值应等于财资09出租出借情况表中出租出借结束日期大于等于2025年12月31日的特种动植物资产的出租出借价值之和；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无形资产的出租出借价值应等于财资09出租出借情况表中出租出借结束日期大于等于2025年12月31日的无形资产的出租出借价值之和；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其中：专利的出租出借价值应等于财资09出租出借情况表中出租出借结束日期大于等于2025年12月31日的其中：专利的出租出借价值之和；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非专利技术的出租出借价值应等于财资09出租出借情况表中出租出借结束日期大于等于2025年12月31日的非专利技术的出租出借价值之和；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计算机软件的出租出借价值应等于财资09出租出借情况表中出租出借结束日期大于等于2025年12月31日的计算机软件的出租出借价值之和。</w:t>
      </w:r>
    </w:p>
    <w:p>
      <w:pPr>
        <w:adjustRightInd w:val="0"/>
        <w:snapToGrid w:val="0"/>
        <w:spacing w:line="360" w:lineRule="auto"/>
        <w:ind w:left="567"/>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（如情况存在，请提供说明）：单户表封面预算级次为中央级时，若土地数量（4行5栏）大于0，请提供计入固定资产土地的情况说明；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期初账面数=上年期末账面数，否则提示核实性错误，填写情况说明；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（有错修改，无错说明）：固定资产项下土地资产的出租出借数量（面积）应等于财资09出租出借情况表中固定资产项下土地资产的出租出借数量（面积）之和；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（有错修改，无错说明）：土地使用权类资产的出租出借数量（面积）应等于财资09出租出借情况表中土地使用权类资产的出租出借数量（面积）之和；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（有错修改，无错说明）：房屋的出租出借数量（面积）应等于财资09出租出借情况表中房屋类资产的出租出借数量（面积）之和；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（有错修改，无错说明）：固定资产项下土地资产的出租出借价值应等于财资09出租出借情况表中固定资产项下土地资产的出租出借价值之和；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（有错修改，无错说明）：土地使用权类资产的出租出借价值应等于财资09出租出借情况表中土地使用权类资产的出租出借价值之和；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（有错修改，无错说明）：房屋的出租出借价值应等于财资09出租出借情况表中房屋类资产的出租出借价值之和；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本期存在其他用房（9行5栏不等于0）时，需结合实际情况填写情况说明。</w:t>
      </w:r>
    </w:p>
    <w:p>
      <w:pPr>
        <w:pStyle w:val="2"/>
        <w:rPr>
          <w:rFonts w:hint="eastAsia"/>
          <w:b/>
          <w:color w:val="auto"/>
        </w:rPr>
      </w:pPr>
      <w:r>
        <w:rPr>
          <w:rFonts w:hint="eastAsia"/>
          <w:color w:val="auto"/>
        </w:rPr>
        <w:t>（五）土地情况表（财资0</w:t>
      </w:r>
      <w:r>
        <w:rPr>
          <w:color w:val="auto"/>
        </w:rPr>
        <w:t>4</w:t>
      </w:r>
      <w:r>
        <w:rPr>
          <w:rFonts w:hint="eastAsia"/>
          <w:color w:val="auto"/>
        </w:rPr>
        <w:t>表）</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本表反映行政事业单位年末占有、</w:t>
      </w:r>
      <w:r>
        <w:rPr>
          <w:rFonts w:ascii="仿宋_GB2312" w:eastAsia="仿宋_GB2312"/>
          <w:sz w:val="30"/>
          <w:szCs w:val="30"/>
        </w:rPr>
        <w:t>使用</w:t>
      </w:r>
      <w:r>
        <w:rPr>
          <w:rFonts w:hint="eastAsia" w:ascii="仿宋_GB2312" w:eastAsia="仿宋_GB2312"/>
          <w:sz w:val="30"/>
          <w:szCs w:val="30"/>
        </w:rPr>
        <w:t>的土地（包含境内外土地使用权和土地所有权）情况，其中账面数是以资产模块中资产卡片的相关数据为基础进行填报。本表大部分数据原则上由资产模块自动提取，个别指标数据由单位进行手工填列。</w:t>
      </w:r>
    </w:p>
    <w:p>
      <w:pPr>
        <w:tabs>
          <w:tab w:val="left" w:pos="480"/>
        </w:tabs>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ab/>
      </w:r>
      <w:r>
        <w:rPr>
          <w:rFonts w:hint="eastAsia" w:ascii="仿宋_GB2312" w:eastAsia="仿宋_GB2312"/>
          <w:b/>
          <w:bCs/>
          <w:sz w:val="30"/>
          <w:szCs w:val="30"/>
        </w:rPr>
        <w:t>主要指标说明：</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1. 本单位土地的</w:t>
      </w:r>
      <w:r>
        <w:rPr>
          <w:rFonts w:ascii="仿宋_GB2312" w:eastAsia="仿宋_GB2312"/>
          <w:sz w:val="30"/>
          <w:szCs w:val="30"/>
        </w:rPr>
        <w:t>资产分类</w:t>
      </w:r>
      <w:r>
        <w:rPr>
          <w:rFonts w:hint="eastAsia" w:ascii="仿宋_GB2312" w:eastAsia="仿宋_GB2312"/>
          <w:sz w:val="30"/>
          <w:szCs w:val="30"/>
        </w:rPr>
        <w:t>、资产编号、资产名称、取得方式、取得日期、坐落位置由资产模块中固定资产、无形资产卡片相应指标字段提取。</w:t>
      </w:r>
      <w:r>
        <w:rPr>
          <w:rFonts w:hint="eastAsia" w:ascii="仿宋_GB2312" w:eastAsia="仿宋_GB2312"/>
          <w:b/>
          <w:bCs/>
          <w:sz w:val="30"/>
          <w:szCs w:val="30"/>
        </w:rPr>
        <w:t>租用其他单位土地</w:t>
      </w:r>
      <w:r>
        <w:rPr>
          <w:rFonts w:hint="eastAsia" w:ascii="仿宋_GB2312" w:eastAsia="仿宋_GB2312"/>
          <w:sz w:val="30"/>
          <w:szCs w:val="30"/>
        </w:rPr>
        <w:t>由单位手工增行填写，取得日期按租赁开始日期填写，取得方式选择租赁。所有土地的坐落位置应填写完整地址，如“XX省XX市XX县（区）XX街道XX号”。</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权属情况：</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权属证明：</w:t>
      </w:r>
      <w:r>
        <w:rPr>
          <w:rFonts w:hint="eastAsia" w:ascii="仿宋_GB2312" w:eastAsia="仿宋_GB2312"/>
          <w:sz w:val="30"/>
          <w:szCs w:val="30"/>
        </w:rPr>
        <w:t>该指标取自资产卡片的“权属证明”数据，包括不动产权证、土地使用证、土地使用批准文件、相关法律文书及其他、无。</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）权属证号：该指标取自资产卡片的“权属证号”数据。选择“土地使用批准文件、相关法律文书及其他”的可以写相关文件名称。</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）权属面积：权属面积是指由相关部门已确认土地所有权、使用权的土地面积。该指标取自资产卡片的“使用权面积”数据。</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）权属性质：该指标取自资产卡片的“权属性质”数据，包括“国有”、“集体”。</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期末账面数：</w:t>
      </w:r>
    </w:p>
    <w:p>
      <w:pPr>
        <w:spacing w:line="360" w:lineRule="auto"/>
        <w:ind w:firstLine="576" w:firstLineChars="192"/>
        <w:rPr>
          <w:rFonts w:ascii="仿宋_GB2312" w:eastAsia="仿宋_GB2312"/>
          <w:kern w:val="0"/>
          <w:sz w:val="30"/>
          <w:szCs w:val="30"/>
        </w:rPr>
      </w:pPr>
      <w:r>
        <w:rPr>
          <w:rFonts w:hint="eastAsia" w:ascii="仿宋_GB2312" w:eastAsia="仿宋_GB2312"/>
          <w:sz w:val="30"/>
          <w:szCs w:val="30"/>
        </w:rPr>
        <w:t>（1）使用状况：</w:t>
      </w:r>
      <w:r>
        <w:rPr>
          <w:rFonts w:hint="eastAsia" w:ascii="仿宋_GB2312" w:eastAsia="仿宋_GB2312"/>
          <w:kern w:val="0"/>
          <w:sz w:val="30"/>
          <w:szCs w:val="30"/>
        </w:rPr>
        <w:t>根据卡片记录情况，分别按照“在用”、“闲置”、“出租出借”、“待处置（待报废、毁损等）”等资产使用状况提取相应数据。</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在用:是指本单位占有的，且处于使用状态的资产。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出租出借：是指本单位让渡给其他单位使用，并签署相关租借协议的资产。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闲置：是指满足使用条件但未投入使用的资产。</w:t>
      </w:r>
    </w:p>
    <w:p>
      <w:pPr>
        <w:spacing w:line="360" w:lineRule="auto"/>
        <w:ind w:firstLine="576" w:firstLineChars="192"/>
        <w:rPr>
          <w:rFonts w:ascii="仿宋_GB2312" w:eastAsia="仿宋_GB2312"/>
          <w:sz w:val="30"/>
          <w:szCs w:val="30"/>
        </w:rPr>
      </w:pPr>
      <w:r>
        <w:rPr>
          <w:rFonts w:hint="eastAsia" w:ascii="仿宋_GB2312" w:eastAsia="仿宋_GB2312"/>
          <w:kern w:val="0"/>
          <w:sz w:val="30"/>
          <w:szCs w:val="30"/>
        </w:rPr>
        <w:t>待处置（待报废、毁损等）：是指除在用、闲置、出租出借等以外的使用情形，如损毁或盘亏资产、处置流程中的资产、待报废资产</w:t>
      </w:r>
      <w:r>
        <w:rPr>
          <w:rFonts w:hint="eastAsia" w:ascii="仿宋_GB2312" w:hAnsi="仿宋" w:eastAsia="仿宋_GB2312"/>
          <w:sz w:val="30"/>
          <w:szCs w:val="30"/>
        </w:rPr>
        <w:t>等。</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（2）原值、累计摊销、净值：由资产模块中资产</w:t>
      </w:r>
      <w:r>
        <w:rPr>
          <w:rFonts w:ascii="仿宋_GB2312" w:eastAsia="仿宋_GB2312"/>
          <w:sz w:val="30"/>
          <w:szCs w:val="30"/>
        </w:rPr>
        <w:t>卡片</w:t>
      </w:r>
      <w:r>
        <w:rPr>
          <w:rFonts w:hint="eastAsia" w:ascii="仿宋_GB2312" w:eastAsia="仿宋_GB2312"/>
          <w:sz w:val="30"/>
          <w:szCs w:val="30"/>
        </w:rPr>
        <w:t>相应指标字段提取。</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578" w:firstLineChars="192"/>
        <w:rPr>
          <w:rFonts w:ascii="仿宋_GB2312" w:eastAsia="仿宋_GB2312"/>
          <w:b/>
          <w:sz w:val="30"/>
          <w:szCs w:val="30"/>
        </w:rPr>
      </w:pPr>
      <w:r>
        <w:rPr>
          <w:rFonts w:hint="eastAsia" w:ascii="仿宋_GB2312" w:hAnsi="等线" w:eastAsia="仿宋_GB2312"/>
          <w:b/>
          <w:sz w:val="30"/>
          <w:szCs w:val="30"/>
        </w:rPr>
        <w:t>表内</w:t>
      </w:r>
      <w:r>
        <w:rPr>
          <w:rFonts w:hint="eastAsia" w:ascii="仿宋_GB2312" w:eastAsia="仿宋_GB2312"/>
          <w:b/>
          <w:sz w:val="30"/>
          <w:szCs w:val="30"/>
        </w:rPr>
        <w:t>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合计行=各浮动行之和；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租用其他单位土地浮动行资产分类（1栏）、资产名称（3栏）、取得方式（4栏）、取得日期（5栏）、坐落位置（6栏）不能为空；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本单位土地浮动行资产分类（1栏）、资产名称（3栏）、取得方式（4栏）、权属证明（7栏）不能为空；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当权属证明（7栏）为“土</w:t>
      </w:r>
      <w:r>
        <w:rPr>
          <w:rFonts w:hint="eastAsia" w:ascii="仿宋_GB2312" w:eastAsia="仿宋_GB2312"/>
          <w:sz w:val="30"/>
          <w:szCs w:val="30"/>
        </w:rPr>
        <w:t>地使用批准文件、相关法律文书及其他</w:t>
      </w:r>
      <w:r>
        <w:rPr>
          <w:rFonts w:hint="eastAsia" w:ascii="仿宋_GB2312" w:hAnsi="仿宋" w:eastAsia="仿宋_GB2312"/>
          <w:sz w:val="30"/>
          <w:szCs w:val="30"/>
        </w:rPr>
        <w:t>”时，权属面积（9栏）、权属性质（</w:t>
      </w:r>
      <w:r>
        <w:rPr>
          <w:rFonts w:ascii="仿宋_GB2312" w:hAnsi="仿宋" w:eastAsia="仿宋_GB2312"/>
          <w:sz w:val="30"/>
          <w:szCs w:val="30"/>
        </w:rPr>
        <w:t>10</w:t>
      </w:r>
      <w:r>
        <w:rPr>
          <w:rFonts w:hint="eastAsia" w:ascii="仿宋_GB2312" w:hAnsi="仿宋" w:eastAsia="仿宋_GB2312"/>
          <w:sz w:val="30"/>
          <w:szCs w:val="30"/>
        </w:rPr>
        <w:t>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w:t>
      </w:r>
      <w:r>
        <w:rPr>
          <w:rFonts w:hint="eastAsia" w:ascii="仿宋_GB2312" w:eastAsia="仿宋_GB2312"/>
          <w:sz w:val="30"/>
          <w:szCs w:val="30"/>
        </w:rPr>
        <w:t>不动产权证、土地使用证</w:t>
      </w:r>
      <w:r>
        <w:rPr>
          <w:rFonts w:hint="eastAsia" w:ascii="仿宋_GB2312" w:hAnsi="仿宋" w:eastAsia="仿宋_GB2312"/>
          <w:sz w:val="30"/>
          <w:szCs w:val="30"/>
        </w:rPr>
        <w:t>”时，权属证号（8栏）、权属面积（9栏）、权属性质（</w:t>
      </w:r>
      <w:r>
        <w:rPr>
          <w:rFonts w:ascii="仿宋_GB2312" w:hAnsi="仿宋" w:eastAsia="仿宋_GB2312"/>
          <w:sz w:val="30"/>
          <w:szCs w:val="30"/>
        </w:rPr>
        <w:t>10</w:t>
      </w:r>
      <w:r>
        <w:rPr>
          <w:rFonts w:hint="eastAsia" w:ascii="仿宋_GB2312" w:hAnsi="仿宋" w:eastAsia="仿宋_GB2312"/>
          <w:sz w:val="30"/>
          <w:szCs w:val="30"/>
        </w:rPr>
        <w:t>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当权属证明（7栏）为“无”时，备注（</w:t>
      </w:r>
      <w:r>
        <w:rPr>
          <w:rFonts w:ascii="仿宋_GB2312" w:hAnsi="仿宋" w:eastAsia="仿宋_GB2312"/>
          <w:sz w:val="30"/>
          <w:szCs w:val="30"/>
        </w:rPr>
        <w:t>19</w:t>
      </w:r>
      <w:r>
        <w:rPr>
          <w:rFonts w:hint="eastAsia" w:ascii="仿宋_GB2312" w:hAnsi="仿宋" w:eastAsia="仿宋_GB2312"/>
          <w:sz w:val="30"/>
          <w:szCs w:val="30"/>
        </w:rPr>
        <w:t>栏）不能为空，应根据实际情况在备注中填写无权属证明的情况；</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当权属证明（7栏）为“无”时，权属证号（8栏）应为空，权属面积（9栏）应等于0；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浮动行使用状况小计（1</w:t>
      </w:r>
      <w:r>
        <w:rPr>
          <w:rFonts w:ascii="仿宋_GB2312" w:hAnsi="仿宋" w:eastAsia="仿宋_GB2312"/>
          <w:sz w:val="30"/>
          <w:szCs w:val="30"/>
        </w:rPr>
        <w:t>1</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浮动行使用状况小计（1</w:t>
      </w:r>
      <w:r>
        <w:rPr>
          <w:rFonts w:ascii="仿宋_GB2312" w:hAnsi="仿宋" w:eastAsia="仿宋_GB2312"/>
          <w:sz w:val="30"/>
          <w:szCs w:val="30"/>
        </w:rPr>
        <w:t>1</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在用</w:t>
      </w:r>
      <w:r>
        <w:rPr>
          <w:rFonts w:ascii="仿宋_GB2312" w:hAnsi="仿宋" w:eastAsia="仿宋_GB2312"/>
          <w:sz w:val="30"/>
          <w:szCs w:val="30"/>
        </w:rPr>
        <w:t>（</w:t>
      </w: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出租出借（</w:t>
      </w:r>
      <w:r>
        <w:rPr>
          <w:rFonts w:ascii="仿宋_GB2312" w:hAnsi="仿宋" w:eastAsia="仿宋_GB2312"/>
          <w:sz w:val="30"/>
          <w:szCs w:val="30"/>
        </w:rPr>
        <w:t>13</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闲置（</w:t>
      </w:r>
      <w:r>
        <w:rPr>
          <w:rFonts w:ascii="仿宋_GB2312" w:hAnsi="仿宋" w:eastAsia="仿宋_GB2312"/>
          <w:sz w:val="30"/>
          <w:szCs w:val="30"/>
        </w:rPr>
        <w:t>14</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待处置（待报废、毁损等）（</w:t>
      </w:r>
      <w:r>
        <w:rPr>
          <w:rFonts w:ascii="仿宋_GB2312" w:hAnsi="仿宋" w:eastAsia="仿宋_GB2312"/>
          <w:sz w:val="30"/>
          <w:szCs w:val="30"/>
        </w:rPr>
        <w:t>15栏）；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浮动行待处置（待报废、毁损等）（</w:t>
      </w:r>
      <w:r>
        <w:rPr>
          <w:rFonts w:ascii="仿宋_GB2312" w:hAnsi="仿宋" w:eastAsia="仿宋_GB2312"/>
          <w:sz w:val="30"/>
          <w:szCs w:val="30"/>
        </w:rPr>
        <w:t>15栏）</w:t>
      </w:r>
      <w:r>
        <w:rPr>
          <w:rFonts w:hint="eastAsia" w:ascii="仿宋_GB2312" w:hAnsi="仿宋" w:eastAsia="仿宋_GB2312"/>
          <w:sz w:val="30"/>
          <w:szCs w:val="30"/>
        </w:rPr>
        <w:t>&gt;0，备注（</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租用其他单位土地浮动行的取得方式，仅为租赁；</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本单位土地浮动行的资产分类（1栏）选择固定资产中土地时，备注（</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租用其他单位土地浮动行的期末使用状况各指标（11</w:t>
      </w:r>
      <w:r>
        <w:rPr>
          <w:rFonts w:hint="eastAsia" w:ascii="华文中宋" w:hAnsi="华文中宋" w:eastAsia="华文中宋"/>
          <w:sz w:val="30"/>
          <w:szCs w:val="30"/>
        </w:rPr>
        <w:t>~</w:t>
      </w:r>
      <w:r>
        <w:rPr>
          <w:rFonts w:hint="eastAsia" w:ascii="仿宋_GB2312" w:hAnsi="仿宋" w:eastAsia="仿宋_GB2312"/>
          <w:sz w:val="30"/>
          <w:szCs w:val="30"/>
        </w:rPr>
        <w:t>15栏）必须≥0；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本单位土地浮动行的权属面积（</w:t>
      </w:r>
      <w:r>
        <w:rPr>
          <w:rFonts w:ascii="仿宋_GB2312" w:hAnsi="仿宋" w:eastAsia="仿宋_GB2312"/>
          <w:sz w:val="30"/>
          <w:szCs w:val="30"/>
        </w:rPr>
        <w:t>9</w:t>
      </w:r>
      <w:r>
        <w:rPr>
          <w:rFonts w:hint="eastAsia" w:ascii="仿宋_GB2312" w:hAnsi="仿宋" w:eastAsia="仿宋_GB2312"/>
          <w:sz w:val="30"/>
          <w:szCs w:val="30"/>
        </w:rPr>
        <w:t>栏）、期末账面数所属各指标（</w:t>
      </w:r>
      <w:r>
        <w:rPr>
          <w:rFonts w:ascii="仿宋_GB2312" w:hAnsi="仿宋" w:eastAsia="仿宋_GB2312"/>
          <w:sz w:val="30"/>
          <w:szCs w:val="30"/>
        </w:rPr>
        <w:t>11</w:t>
      </w:r>
      <w:r>
        <w:rPr>
          <w:rFonts w:hint="eastAsia" w:ascii="华文中宋" w:hAnsi="华文中宋" w:eastAsia="华文中宋"/>
          <w:sz w:val="30"/>
          <w:szCs w:val="30"/>
        </w:rPr>
        <w:t>~</w:t>
      </w:r>
      <w:r>
        <w:rPr>
          <w:rFonts w:ascii="仿宋_GB2312" w:hAnsi="仿宋" w:eastAsia="仿宋_GB2312"/>
          <w:sz w:val="30"/>
          <w:szCs w:val="30"/>
        </w:rPr>
        <w:t>18</w:t>
      </w:r>
      <w:r>
        <w:rPr>
          <w:rFonts w:hint="eastAsia" w:ascii="仿宋_GB2312" w:hAnsi="仿宋" w:eastAsia="仿宋_GB2312"/>
          <w:sz w:val="30"/>
          <w:szCs w:val="30"/>
        </w:rPr>
        <w:t>栏）必须≥0。</w:t>
      </w:r>
    </w:p>
    <w:p>
      <w:pPr>
        <w:spacing w:line="360" w:lineRule="auto"/>
        <w:ind w:firstLine="578" w:firstLineChars="192"/>
        <w:rPr>
          <w:rFonts w:hint="eastAsia" w:ascii="仿宋_GB2312" w:hAnsi="等线" w:eastAsia="仿宋_GB2312"/>
          <w:b/>
          <w:sz w:val="30"/>
          <w:szCs w:val="30"/>
        </w:rPr>
      </w:pPr>
      <w:r>
        <w:rPr>
          <w:rFonts w:hint="eastAsia" w:ascii="仿宋_GB2312" w:hAnsi="等线" w:eastAsia="仿宋_GB2312"/>
          <w:b/>
          <w:sz w:val="30"/>
          <w:szCs w:val="30"/>
        </w:rPr>
        <w:t>表间审核公式：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资产分类为固定资产分类项下土地的，本单位土地小计行的使用状况小计（</w:t>
      </w:r>
      <w:r>
        <w:rPr>
          <w:rFonts w:ascii="仿宋_GB2312" w:hAnsi="仿宋" w:eastAsia="仿宋_GB2312"/>
          <w:sz w:val="30"/>
          <w:szCs w:val="30"/>
        </w:rPr>
        <w:t>11</w:t>
      </w:r>
      <w:r>
        <w:rPr>
          <w:rFonts w:hint="eastAsia" w:ascii="仿宋_GB2312" w:hAnsi="仿宋" w:eastAsia="仿宋_GB2312"/>
          <w:sz w:val="30"/>
          <w:szCs w:val="30"/>
        </w:rPr>
        <w:t>栏）应等于财资03固定和无形资产存量情况表中固定资产下土地（</w:t>
      </w:r>
      <w:r>
        <w:rPr>
          <w:rFonts w:ascii="仿宋_GB2312" w:hAnsi="仿宋" w:eastAsia="仿宋_GB2312"/>
          <w:sz w:val="30"/>
          <w:szCs w:val="30"/>
        </w:rPr>
        <w:t>4</w:t>
      </w:r>
      <w:r>
        <w:rPr>
          <w:rFonts w:hint="eastAsia" w:ascii="仿宋_GB2312" w:hAnsi="仿宋" w:eastAsia="仿宋_GB2312"/>
          <w:sz w:val="30"/>
          <w:szCs w:val="30"/>
        </w:rPr>
        <w:t>行）期末账面数的数量（</w:t>
      </w:r>
      <w:r>
        <w:rPr>
          <w:rFonts w:ascii="仿宋_GB2312" w:hAnsi="仿宋" w:eastAsia="仿宋_GB2312"/>
          <w:sz w:val="30"/>
          <w:szCs w:val="30"/>
        </w:rPr>
        <w:t>5</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资产分类为固定资产分类项下土地的，本单位土地小计行的期末账面数原值（16栏）、累计折旧/摊销（17栏）、净值（</w:t>
      </w:r>
      <w:r>
        <w:rPr>
          <w:rFonts w:ascii="仿宋_GB2312" w:hAnsi="仿宋" w:eastAsia="仿宋_GB2312"/>
          <w:sz w:val="30"/>
          <w:szCs w:val="30"/>
        </w:rPr>
        <w:t>18</w:t>
      </w:r>
      <w:r>
        <w:rPr>
          <w:rFonts w:hint="eastAsia" w:ascii="仿宋_GB2312" w:hAnsi="仿宋" w:eastAsia="仿宋_GB2312"/>
          <w:sz w:val="30"/>
          <w:szCs w:val="30"/>
        </w:rPr>
        <w:t>栏）应分别等于财资03固定和无形资产存量情况表中固定资产下土地（</w:t>
      </w:r>
      <w:r>
        <w:rPr>
          <w:rFonts w:ascii="仿宋_GB2312" w:hAnsi="仿宋" w:eastAsia="仿宋_GB2312"/>
          <w:sz w:val="30"/>
          <w:szCs w:val="30"/>
        </w:rPr>
        <w:t>4</w:t>
      </w:r>
      <w:r>
        <w:rPr>
          <w:rFonts w:hint="eastAsia" w:ascii="仿宋_GB2312" w:hAnsi="仿宋" w:eastAsia="仿宋_GB2312"/>
          <w:sz w:val="30"/>
          <w:szCs w:val="30"/>
        </w:rPr>
        <w:t>行）期末账面数的原值（6栏）、累计折旧/摊销（7栏）、净值（</w:t>
      </w:r>
      <w:r>
        <w:rPr>
          <w:rFonts w:ascii="仿宋_GB2312" w:hAnsi="仿宋" w:eastAsia="仿宋_GB2312"/>
          <w:sz w:val="30"/>
          <w:szCs w:val="30"/>
        </w:rPr>
        <w:t>8</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资产分类为固定资产分类项下土地的，本单位土地小计行的在用（</w:t>
      </w:r>
      <w:r>
        <w:rPr>
          <w:rFonts w:ascii="仿宋_GB2312" w:hAnsi="仿宋" w:eastAsia="仿宋_GB2312"/>
          <w:sz w:val="30"/>
          <w:szCs w:val="30"/>
        </w:rPr>
        <w:t>12</w:t>
      </w:r>
      <w:r>
        <w:rPr>
          <w:rFonts w:hint="eastAsia" w:ascii="仿宋_GB2312" w:hAnsi="仿宋" w:eastAsia="仿宋_GB2312"/>
          <w:sz w:val="30"/>
          <w:szCs w:val="30"/>
        </w:rPr>
        <w:t>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行的在用数量（</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资产分类为固定资产分类项下土地的，本单位土地小计行的出租出借（</w:t>
      </w:r>
      <w:r>
        <w:rPr>
          <w:rFonts w:ascii="仿宋_GB2312" w:hAnsi="仿宋" w:eastAsia="仿宋_GB2312"/>
          <w:sz w:val="30"/>
          <w:szCs w:val="30"/>
        </w:rPr>
        <w:t>1</w:t>
      </w:r>
      <w:r>
        <w:rPr>
          <w:rFonts w:hint="eastAsia" w:ascii="仿宋_GB2312" w:hAnsi="仿宋" w:eastAsia="仿宋_GB2312"/>
          <w:sz w:val="30"/>
          <w:szCs w:val="30"/>
        </w:rPr>
        <w:t>3栏）应等于财资0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行的出租出借数量（13栏）；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资产分类为固定资产分类项下土地的，本单位土地小计行的闲置（</w:t>
      </w:r>
      <w:r>
        <w:rPr>
          <w:rFonts w:ascii="仿宋_GB2312" w:hAnsi="仿宋" w:eastAsia="仿宋_GB2312"/>
          <w:sz w:val="30"/>
          <w:szCs w:val="30"/>
        </w:rPr>
        <w:t>1</w:t>
      </w:r>
      <w:r>
        <w:rPr>
          <w:rFonts w:hint="eastAsia" w:ascii="仿宋_GB2312" w:hAnsi="仿宋" w:eastAsia="仿宋_GB2312"/>
          <w:sz w:val="30"/>
          <w:szCs w:val="30"/>
        </w:rPr>
        <w:t>4栏）应等于财资0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行的闲置数量（17栏）；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资产分类为固定资产分类项下土地的，本单位土地小计行的待处置（</w:t>
      </w:r>
      <w:r>
        <w:rPr>
          <w:rFonts w:ascii="仿宋_GB2312" w:hAnsi="仿宋" w:eastAsia="仿宋_GB2312"/>
          <w:sz w:val="30"/>
          <w:szCs w:val="30"/>
        </w:rPr>
        <w:t>1</w:t>
      </w:r>
      <w:r>
        <w:rPr>
          <w:rFonts w:hint="eastAsia" w:ascii="仿宋_GB2312" w:hAnsi="仿宋" w:eastAsia="仿宋_GB2312"/>
          <w:sz w:val="30"/>
          <w:szCs w:val="30"/>
        </w:rPr>
        <w:t>5栏）应等于财资0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固定和无形资产存量情况表固定资产下土地</w:t>
      </w:r>
      <w:r>
        <w:rPr>
          <w:rFonts w:ascii="仿宋_GB2312" w:hAnsi="仿宋" w:eastAsia="仿宋_GB2312"/>
          <w:sz w:val="30"/>
          <w:szCs w:val="30"/>
        </w:rPr>
        <w:t>4</w:t>
      </w:r>
      <w:r>
        <w:rPr>
          <w:rFonts w:hint="eastAsia" w:ascii="仿宋_GB2312" w:hAnsi="仿宋" w:eastAsia="仿宋_GB2312"/>
          <w:sz w:val="30"/>
          <w:szCs w:val="30"/>
        </w:rPr>
        <w:t>行的待处置数量（25栏）；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资产分类为无形资产分类项下土地使用权的，本单位土地小计行的使用状况小计（</w:t>
      </w:r>
      <w:r>
        <w:rPr>
          <w:rFonts w:ascii="仿宋_GB2312" w:hAnsi="仿宋" w:eastAsia="仿宋_GB2312"/>
          <w:sz w:val="30"/>
          <w:szCs w:val="30"/>
        </w:rPr>
        <w:t>11</w:t>
      </w:r>
      <w:r>
        <w:rPr>
          <w:rFonts w:hint="eastAsia" w:ascii="仿宋_GB2312" w:hAnsi="仿宋" w:eastAsia="仿宋_GB2312"/>
          <w:sz w:val="30"/>
          <w:szCs w:val="30"/>
        </w:rPr>
        <w:t>栏）应等于财资03固定和无形资产存量情况表中无形资产下土地使用权（23行）期末账面数的数量（</w:t>
      </w:r>
      <w:r>
        <w:rPr>
          <w:rFonts w:ascii="仿宋_GB2312" w:hAnsi="仿宋" w:eastAsia="仿宋_GB2312"/>
          <w:sz w:val="30"/>
          <w:szCs w:val="30"/>
        </w:rPr>
        <w:t>5</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资产分类为无形资产分类项下土地使用权的，本单位土地小计行的期末账面价值的原值（16栏）、累计折旧/摊销（17栏）、净值（</w:t>
      </w:r>
      <w:r>
        <w:rPr>
          <w:rFonts w:ascii="仿宋_GB2312" w:hAnsi="仿宋" w:eastAsia="仿宋_GB2312"/>
          <w:sz w:val="30"/>
          <w:szCs w:val="30"/>
        </w:rPr>
        <w:t>18</w:t>
      </w:r>
      <w:r>
        <w:rPr>
          <w:rFonts w:hint="eastAsia" w:ascii="仿宋_GB2312" w:hAnsi="仿宋" w:eastAsia="仿宋_GB2312"/>
          <w:sz w:val="30"/>
          <w:szCs w:val="30"/>
        </w:rPr>
        <w:t>栏）应分别等于财资03固定和无形资产存量情况表中无形资产下土地使用权（23行）期末账面数的原值（6栏）、累计折旧/摊销（7栏）、净值（</w:t>
      </w:r>
      <w:r>
        <w:rPr>
          <w:rFonts w:ascii="仿宋_GB2312" w:hAnsi="仿宋" w:eastAsia="仿宋_GB2312"/>
          <w:sz w:val="30"/>
          <w:szCs w:val="30"/>
        </w:rPr>
        <w:t>8</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资产分类为无形资产分类项下土地使用权的，本单位土地小计行的在用（</w:t>
      </w:r>
      <w:r>
        <w:rPr>
          <w:rFonts w:ascii="仿宋_GB2312" w:hAnsi="仿宋" w:eastAsia="仿宋_GB2312"/>
          <w:sz w:val="30"/>
          <w:szCs w:val="30"/>
        </w:rPr>
        <w:t>12</w:t>
      </w:r>
      <w:r>
        <w:rPr>
          <w:rFonts w:hint="eastAsia" w:ascii="仿宋_GB2312" w:hAnsi="仿宋" w:eastAsia="仿宋_GB2312"/>
          <w:sz w:val="30"/>
          <w:szCs w:val="30"/>
        </w:rPr>
        <w:t>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固定和无形资产存量情况表无形资产下土地使用权（23行）的在用数量（</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资产分类为无形资产分类项下土地使用权的，本单位土地小计行的出租出借（</w:t>
      </w:r>
      <w:r>
        <w:rPr>
          <w:rFonts w:ascii="仿宋_GB2312" w:hAnsi="仿宋" w:eastAsia="仿宋_GB2312"/>
          <w:sz w:val="30"/>
          <w:szCs w:val="30"/>
        </w:rPr>
        <w:t>1</w:t>
      </w:r>
      <w:r>
        <w:rPr>
          <w:rFonts w:hint="eastAsia" w:ascii="仿宋_GB2312" w:hAnsi="仿宋" w:eastAsia="仿宋_GB2312"/>
          <w:sz w:val="30"/>
          <w:szCs w:val="30"/>
        </w:rPr>
        <w:t>3栏）应等于财资0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固定和无形资产存量情况表无形资产下土地使用权（23行）的出租出借数量（13栏）；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资产分类为无形资产分类项下土地使用权的，本单位土地小计行的闲置（</w:t>
      </w:r>
      <w:r>
        <w:rPr>
          <w:rFonts w:ascii="仿宋_GB2312" w:hAnsi="仿宋" w:eastAsia="仿宋_GB2312"/>
          <w:sz w:val="30"/>
          <w:szCs w:val="30"/>
        </w:rPr>
        <w:t>1</w:t>
      </w:r>
      <w:r>
        <w:rPr>
          <w:rFonts w:hint="eastAsia" w:ascii="仿宋_GB2312" w:hAnsi="仿宋" w:eastAsia="仿宋_GB2312"/>
          <w:sz w:val="30"/>
          <w:szCs w:val="30"/>
        </w:rPr>
        <w:t>4栏）应等于财资0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固定和无形资产存量情况表无形资产下土地使用权（23行）的闲置数量（17栏）；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资产分类为无形资产分类项下土地使用权的，本单位土地小计行的待处置（</w:t>
      </w:r>
      <w:r>
        <w:rPr>
          <w:rFonts w:ascii="仿宋_GB2312" w:hAnsi="仿宋" w:eastAsia="仿宋_GB2312"/>
          <w:sz w:val="30"/>
          <w:szCs w:val="30"/>
        </w:rPr>
        <w:t>1</w:t>
      </w:r>
      <w:r>
        <w:rPr>
          <w:rFonts w:hint="eastAsia" w:ascii="仿宋_GB2312" w:hAnsi="仿宋" w:eastAsia="仿宋_GB2312"/>
          <w:sz w:val="30"/>
          <w:szCs w:val="30"/>
        </w:rPr>
        <w:t>5栏）应等于财资0</w:t>
      </w:r>
      <w:r>
        <w:rPr>
          <w:rFonts w:ascii="仿宋_GB2312" w:hAnsi="仿宋" w:eastAsia="仿宋_GB2312"/>
          <w:sz w:val="30"/>
          <w:szCs w:val="30"/>
        </w:rPr>
        <w:t>3</w:t>
      </w:r>
      <w:r>
        <w:rPr>
          <w:rFonts w:hint="eastAsia" w:ascii="仿宋_GB2312" w:hAnsi="仿宋" w:eastAsia="仿宋_GB2312"/>
          <w:sz w:val="30"/>
          <w:szCs w:val="30"/>
        </w:rPr>
        <w:t>固定和无形资产存量情况表无形资产下土地使用权（23行）的待处置数量（25栏）。</w:t>
      </w:r>
    </w:p>
    <w:p>
      <w:pPr>
        <w:spacing w:line="360" w:lineRule="auto"/>
        <w:ind w:left="576"/>
        <w:rPr>
          <w:rFonts w:ascii="仿宋_GB2312" w:eastAsia="仿宋_GB2312"/>
          <w:b/>
          <w:sz w:val="30"/>
          <w:szCs w:val="30"/>
        </w:rPr>
      </w:pPr>
      <w:r>
        <w:rPr>
          <w:rFonts w:hint="eastAsia" w:ascii="仿宋_GB2312"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bookmarkStart w:id="5" w:name="_Hlk533697058"/>
      <w:r>
        <w:rPr>
          <w:rFonts w:hint="eastAsia" w:ascii="仿宋_GB2312" w:hAnsi="仿宋" w:eastAsia="仿宋_GB2312"/>
          <w:sz w:val="30"/>
          <w:szCs w:val="30"/>
        </w:rPr>
        <w:t>当土地权属证明选择“</w:t>
      </w:r>
      <w:bookmarkStart w:id="6" w:name="OLE_LINK4"/>
      <w:r>
        <w:rPr>
          <w:rFonts w:hint="eastAsia" w:ascii="仿宋_GB2312" w:eastAsia="仿宋_GB2312"/>
          <w:sz w:val="30"/>
          <w:szCs w:val="30"/>
        </w:rPr>
        <w:t>不动产权证</w:t>
      </w:r>
      <w:bookmarkEnd w:id="6"/>
      <w:r>
        <w:rPr>
          <w:rFonts w:hint="eastAsia" w:ascii="仿宋_GB2312" w:eastAsia="仿宋_GB2312"/>
          <w:sz w:val="30"/>
          <w:szCs w:val="30"/>
        </w:rPr>
        <w:t>、土地使用证、土地使用批准文件、相关法律文书及其他</w:t>
      </w:r>
      <w:r>
        <w:rPr>
          <w:rFonts w:hint="eastAsia" w:ascii="仿宋_GB2312" w:hAnsi="仿宋" w:eastAsia="仿宋_GB2312"/>
          <w:sz w:val="30"/>
          <w:szCs w:val="30"/>
        </w:rPr>
        <w:t>”时，权属面积、期末账面数小计不一致的（</w:t>
      </w:r>
      <w:r>
        <w:rPr>
          <w:rFonts w:ascii="仿宋_GB2312" w:hAnsi="仿宋" w:eastAsia="仿宋_GB2312"/>
          <w:sz w:val="30"/>
          <w:szCs w:val="30"/>
        </w:rPr>
        <w:t>9栏≠11栏</w:t>
      </w:r>
      <w:r>
        <w:rPr>
          <w:rFonts w:hint="eastAsia" w:ascii="仿宋_GB2312" w:hAnsi="仿宋" w:eastAsia="仿宋_GB2312"/>
          <w:sz w:val="30"/>
          <w:szCs w:val="30"/>
        </w:rPr>
        <w:t>），提示核实性错误，需结合实际情况修改或填写情况说明；</w:t>
      </w:r>
    </w:p>
    <w:bookmarkEnd w:id="5"/>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当资产分类（1栏）选择固定资产中土地时，累计折旧/摊销（</w:t>
      </w:r>
      <w:r>
        <w:rPr>
          <w:rFonts w:ascii="仿宋_GB2312" w:hAnsi="仿宋" w:eastAsia="仿宋_GB2312"/>
          <w:sz w:val="30"/>
          <w:szCs w:val="30"/>
        </w:rPr>
        <w:t>17</w:t>
      </w:r>
      <w:r>
        <w:rPr>
          <w:rFonts w:hint="eastAsia" w:ascii="仿宋_GB2312" w:hAnsi="仿宋" w:eastAsia="仿宋_GB2312"/>
          <w:sz w:val="30"/>
          <w:szCs w:val="30"/>
        </w:rPr>
        <w:t>栏）应等于零，否则需结合实际情况修改或填写情况说明；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浮动行使用状况小计（11栏）小于等于1时，提示核实性错误，需结合实际情况修改或填写情况说明。</w:t>
      </w:r>
    </w:p>
    <w:p>
      <w:pPr>
        <w:pStyle w:val="2"/>
        <w:tabs>
          <w:tab w:val="left" w:pos="6064"/>
        </w:tabs>
        <w:rPr>
          <w:rFonts w:hint="eastAsia"/>
          <w:b/>
          <w:color w:val="auto"/>
        </w:rPr>
      </w:pPr>
      <w:r>
        <w:rPr>
          <w:rFonts w:hint="eastAsia"/>
          <w:color w:val="auto"/>
        </w:rPr>
        <w:t>（六）房屋情况表（财资0</w:t>
      </w:r>
      <w:r>
        <w:rPr>
          <w:color w:val="auto"/>
        </w:rPr>
        <w:t>5</w:t>
      </w:r>
      <w:r>
        <w:rPr>
          <w:rFonts w:hint="eastAsia"/>
          <w:color w:val="auto"/>
        </w:rPr>
        <w:t>表）</w:t>
      </w:r>
      <w:r>
        <w:rPr>
          <w:rFonts w:hint="eastAsia"/>
          <w:color w:val="auto"/>
        </w:rPr>
        <w:tab/>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反映行政事业单位办公用房、业务用房、其他用房（不含构筑物和房屋附属设施）期末在用、出租出借、闲置、待处置（待报废、毁损等）的面积和账面价值情况。本表中的房屋分为本单位房屋、使用其他单位房屋和已投入使用在建工程未转固房屋三类，行政事业单位至少存在三类情况之一。其中：本单位房屋以资产模块数据为基础自动提取；使用其他单位房屋情况和已投入使用的在建工程未转固房屋情况为手工填列。</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使用其他单位房屋分为三类：使用机关事务管理机构房屋、使用除机关事务管理机构外的其他行政事业单位房屋和其他。①使用机关事务管理机构房屋是指房屋所有权证由机关事务管理机构统一登记，实际分配给单位使用且未在单位账面上反映。②使用除机关事务管理机构外的其他行政事业单位房屋是指本单位占有、使用相关行政事业单位的房屋。③其他是指行政事业单位租用的房屋等。</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本表中的机关事务管理机构是指承担机关事务管理职能的相关部门，如机关事务管理局（政府办）等。</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spacing w:line="360" w:lineRule="auto"/>
        <w:ind w:firstLine="567" w:firstLineChars="189"/>
        <w:rPr>
          <w:rFonts w:hint="eastAsia" w:ascii="仿宋_GB2312" w:hAnsi="等线" w:eastAsia="仿宋_GB2312"/>
          <w:sz w:val="30"/>
          <w:szCs w:val="30"/>
        </w:rPr>
      </w:pPr>
      <w:r>
        <w:rPr>
          <w:rFonts w:ascii="仿宋_GB2312" w:eastAsia="仿宋_GB2312"/>
          <w:sz w:val="30"/>
          <w:szCs w:val="30"/>
        </w:rPr>
        <w:t>1.</w:t>
      </w:r>
      <w:r>
        <w:rPr>
          <w:rFonts w:hint="eastAsia" w:ascii="仿宋_GB2312" w:hAnsi="等线" w:eastAsia="仿宋_GB2312"/>
          <w:sz w:val="30"/>
          <w:szCs w:val="30"/>
        </w:rPr>
        <w:t>资产分类、资产名称、坐落位置：</w:t>
      </w:r>
      <w:r>
        <w:rPr>
          <w:rFonts w:hint="eastAsia" w:ascii="仿宋_GB2312" w:eastAsia="仿宋_GB2312"/>
          <w:sz w:val="30"/>
          <w:szCs w:val="30"/>
        </w:rPr>
        <w:t>本单位房屋</w:t>
      </w:r>
      <w:r>
        <w:rPr>
          <w:rFonts w:hint="eastAsia" w:ascii="仿宋_GB2312" w:hAnsi="等线" w:eastAsia="仿宋_GB2312"/>
          <w:sz w:val="30"/>
          <w:szCs w:val="30"/>
        </w:rPr>
        <w:t>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相应指标字段提取；使用其他单位房屋和已投入使用在建工程未转固房屋</w:t>
      </w:r>
      <w:r>
        <w:rPr>
          <w:rFonts w:hint="eastAsia" w:ascii="仿宋_GB2312" w:eastAsia="仿宋_GB2312"/>
          <w:sz w:val="30"/>
          <w:szCs w:val="30"/>
        </w:rPr>
        <w:t>的</w:t>
      </w:r>
      <w:r>
        <w:rPr>
          <w:rFonts w:hint="eastAsia" w:ascii="仿宋_GB2312" w:hAnsi="等线" w:eastAsia="仿宋_GB2312"/>
          <w:sz w:val="30"/>
          <w:szCs w:val="30"/>
        </w:rPr>
        <w:t>由单位手工填列。坐落位置应填写完整地址，如“XX省XX市XX县（区）XX街道XX号”。</w:t>
      </w:r>
    </w:p>
    <w:p>
      <w:pPr>
        <w:spacing w:line="360" w:lineRule="auto"/>
        <w:ind w:firstLine="567" w:firstLineChars="189"/>
        <w:rPr>
          <w:rFonts w:hint="eastAsia" w:ascii="仿宋_GB2312" w:hAnsi="等线" w:eastAsia="仿宋_GB2312"/>
          <w:sz w:val="30"/>
          <w:szCs w:val="30"/>
        </w:rPr>
      </w:pPr>
      <w:r>
        <w:rPr>
          <w:rFonts w:hint="eastAsia" w:ascii="仿宋_GB2312" w:hAnsi="等线" w:eastAsia="仿宋_GB2312"/>
          <w:sz w:val="30"/>
          <w:szCs w:val="30"/>
        </w:rPr>
        <w:t>2.资产编号、取得方式、取得日期：使用其他单位房屋无需填写资产编号，取得方式包括租赁、其他，取得日期由单位按租赁开始日期等实际情况手工填写；已投入使用的在建工程未转固房屋不需填列；本单位房屋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相应指标字段提取，资产卡片中取得方式包括：新购、调拨、接受捐赠、自建、置换、盘盈、其他。</w:t>
      </w:r>
    </w:p>
    <w:p>
      <w:pPr>
        <w:spacing w:line="360" w:lineRule="auto"/>
        <w:ind w:firstLine="567" w:firstLineChars="189"/>
        <w:rPr>
          <w:rFonts w:ascii="仿宋_GB2312" w:eastAsia="仿宋_GB2312"/>
          <w:sz w:val="30"/>
          <w:szCs w:val="30"/>
        </w:rPr>
      </w:pPr>
      <w:r>
        <w:rPr>
          <w:rFonts w:ascii="仿宋_GB2312" w:hAnsi="仿宋" w:eastAsia="仿宋_GB2312"/>
          <w:sz w:val="30"/>
          <w:szCs w:val="30"/>
        </w:rPr>
        <w:t>3</w:t>
      </w:r>
      <w:r>
        <w:rPr>
          <w:rFonts w:ascii="仿宋_GB2312" w:eastAsia="仿宋_GB2312"/>
          <w:sz w:val="30"/>
          <w:szCs w:val="30"/>
        </w:rPr>
        <w:t>.权属证明：</w:t>
      </w:r>
      <w:r>
        <w:rPr>
          <w:rFonts w:hint="eastAsia" w:ascii="仿宋_GB2312" w:eastAsia="仿宋_GB2312"/>
          <w:sz w:val="30"/>
          <w:szCs w:val="30"/>
        </w:rPr>
        <w:t>该指标取自资产卡片的“权属证明”数据，包括不动产权证、房屋所有权证、房屋权属批准文件、相关法律文书及其他、无。</w:t>
      </w:r>
    </w:p>
    <w:p>
      <w:pPr>
        <w:spacing w:line="360" w:lineRule="auto"/>
        <w:ind w:firstLine="576" w:firstLineChars="192"/>
        <w:rPr>
          <w:rFonts w:ascii="仿宋_GB2312" w:eastAsia="仿宋_GB2312"/>
          <w:sz w:val="30"/>
          <w:szCs w:val="30"/>
        </w:rPr>
      </w:pPr>
      <w:r>
        <w:rPr>
          <w:rFonts w:ascii="仿宋_GB2312" w:eastAsia="仿宋_GB2312"/>
          <w:sz w:val="30"/>
          <w:szCs w:val="30"/>
        </w:rPr>
        <w:t>4.权属人：该指标包含“本单位”、“机关事务管理机构</w:t>
      </w:r>
      <w:r>
        <w:rPr>
          <w:rFonts w:hint="eastAsia" w:ascii="仿宋_GB2312" w:eastAsia="仿宋_GB2312"/>
          <w:sz w:val="30"/>
          <w:szCs w:val="30"/>
        </w:rPr>
        <w:t>”、“除机关事务管理机构外的其他行政事业单位”、“其他”，由单位手工选择填列；若选择</w:t>
      </w:r>
      <w:r>
        <w:rPr>
          <w:rFonts w:ascii="仿宋_GB2312" w:eastAsia="仿宋_GB2312"/>
          <w:sz w:val="30"/>
          <w:szCs w:val="30"/>
        </w:rPr>
        <w:t>“除机关事务管理机构</w:t>
      </w:r>
      <w:r>
        <w:rPr>
          <w:rFonts w:hint="eastAsia" w:ascii="仿宋_GB2312" w:eastAsia="仿宋_GB2312"/>
          <w:sz w:val="30"/>
          <w:szCs w:val="30"/>
        </w:rPr>
        <w:t>外</w:t>
      </w:r>
      <w:r>
        <w:rPr>
          <w:rFonts w:ascii="仿宋_GB2312" w:eastAsia="仿宋_GB2312"/>
          <w:sz w:val="30"/>
          <w:szCs w:val="30"/>
        </w:rPr>
        <w:t>的其他</w:t>
      </w:r>
      <w:r>
        <w:rPr>
          <w:rFonts w:hint="eastAsia" w:ascii="仿宋_GB2312" w:eastAsia="仿宋_GB2312"/>
          <w:sz w:val="30"/>
          <w:szCs w:val="30"/>
        </w:rPr>
        <w:t>行政事业</w:t>
      </w:r>
      <w:r>
        <w:rPr>
          <w:rFonts w:ascii="仿宋_GB2312" w:eastAsia="仿宋_GB2312"/>
          <w:sz w:val="30"/>
          <w:szCs w:val="30"/>
        </w:rPr>
        <w:t>单位”</w:t>
      </w:r>
      <w:r>
        <w:rPr>
          <w:rFonts w:hint="eastAsia" w:ascii="仿宋_GB2312" w:eastAsia="仿宋_GB2312"/>
          <w:sz w:val="30"/>
          <w:szCs w:val="30"/>
        </w:rPr>
        <w:t>和“其他”，则需在“备注”栏中填写实际权属人名称。本单位房屋权属人指标取自资产模块中的资产卡片的“房屋所有权人”数据。</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本表中的机关事务管理机构是指承担机关事务管理职能的相关部门，如机关事务管理局（政府办）等。</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权属性质：该指标取自资产卡片的“权属性质”数据，包括“国有”、“集体”。</w:t>
      </w:r>
    </w:p>
    <w:p>
      <w:pPr>
        <w:spacing w:line="360" w:lineRule="auto"/>
        <w:ind w:firstLine="576" w:firstLineChars="192"/>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权属</w:t>
      </w:r>
      <w:r>
        <w:rPr>
          <w:rFonts w:ascii="仿宋_GB2312" w:eastAsia="仿宋_GB2312"/>
          <w:sz w:val="30"/>
          <w:szCs w:val="30"/>
        </w:rPr>
        <w:t>证号：</w:t>
      </w:r>
      <w:r>
        <w:rPr>
          <w:rFonts w:hint="eastAsia" w:ascii="仿宋_GB2312" w:eastAsia="仿宋_GB2312"/>
          <w:sz w:val="30"/>
          <w:szCs w:val="30"/>
        </w:rPr>
        <w:t>仅本单位房屋填列此指标，该指标提取资产卡片的“权属证号”数据。</w:t>
      </w:r>
    </w:p>
    <w:p>
      <w:pPr>
        <w:spacing w:line="360" w:lineRule="auto"/>
        <w:ind w:firstLine="576" w:firstLineChars="192"/>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权属面积：仅本单位房屋填列此指标，该指标提取资产模块中资产卡片的“建筑面积”数据。</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8.办公用房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包括</w:t>
      </w:r>
      <w:r>
        <w:rPr>
          <w:rFonts w:hint="eastAsia" w:ascii="仿宋_GB2312" w:hAnsi="仿宋_GB2312" w:eastAsia="仿宋_GB2312" w:cs="仿宋_GB2312"/>
          <w:kern w:val="0"/>
          <w:sz w:val="30"/>
          <w:szCs w:val="30"/>
        </w:rPr>
        <w:t>办公室用房、服务用房、设备用房和附属用房</w:t>
      </w:r>
      <w:r>
        <w:rPr>
          <w:rFonts w:hint="eastAsia" w:ascii="仿宋_GB2312" w:eastAsia="仿宋_GB2312"/>
          <w:kern w:val="0"/>
          <w:sz w:val="30"/>
          <w:szCs w:val="30"/>
        </w:rPr>
        <w:t>。办公室用房是指包括领导人员办公室和一般工作人员办公室；服务用房包括会议室、接待室、档案室、图书资料室、机关信息网络用房、机要保密室、文印室、收发室、医务室、值班室、储藏室、物业及工勤人员用房、开水间、卫生间等；设备用房包括变配电室、水泵房、水箱间、中水处理间、锅炉房（或热力交换站）、空调机房、通信机房、电梯机房、建筑智能化系统设备用房等；附属用房包括食堂、停车库（汽车库，自行车库，电动车、摩托车库）、警卫用房、人防设施等。面积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9.</w:t>
      </w:r>
      <w:r>
        <w:rPr>
          <w:rFonts w:hint="eastAsia" w:ascii="仿宋_GB2312" w:eastAsia="仿宋_GB2312"/>
          <w:kern w:val="0"/>
          <w:sz w:val="30"/>
          <w:szCs w:val="30"/>
        </w:rPr>
        <w:t>本单位实际使用办公室用房（使用面积）</w:t>
      </w:r>
      <w:r>
        <w:rPr>
          <w:rFonts w:ascii="仿宋_GB2312" w:eastAsia="仿宋_GB2312"/>
          <w:kern w:val="0"/>
          <w:sz w:val="30"/>
          <w:szCs w:val="30"/>
        </w:rPr>
        <w:t>：</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填写领导人员办公室和一般工作人员办公室的使用面积，反映行政事业单位实际使用的办公室用房面积。</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10.业务用房:填列</w:t>
      </w:r>
      <w:r>
        <w:rPr>
          <w:rFonts w:hint="eastAsia" w:ascii="仿宋_GB2312" w:eastAsia="仿宋_GB2312"/>
          <w:kern w:val="0"/>
          <w:sz w:val="30"/>
          <w:szCs w:val="30"/>
        </w:rPr>
        <w:t>行政事业</w:t>
      </w:r>
      <w:r>
        <w:rPr>
          <w:rFonts w:ascii="仿宋_GB2312" w:eastAsia="仿宋_GB2312"/>
          <w:kern w:val="0"/>
          <w:sz w:val="30"/>
          <w:szCs w:val="30"/>
        </w:rPr>
        <w:t>单位为开展各类业务设置的特殊技术业务场所。包括</w:t>
      </w:r>
      <w:r>
        <w:rPr>
          <w:rFonts w:hint="eastAsia" w:ascii="仿宋_GB2312" w:eastAsia="仿宋_GB2312"/>
          <w:kern w:val="0"/>
          <w:sz w:val="30"/>
          <w:szCs w:val="30"/>
        </w:rPr>
        <w:t>教育用房</w:t>
      </w:r>
      <w:r>
        <w:rPr>
          <w:rFonts w:ascii="仿宋_GB2312" w:eastAsia="仿宋_GB2312"/>
          <w:kern w:val="0"/>
          <w:sz w:val="30"/>
          <w:szCs w:val="30"/>
        </w:rPr>
        <w:t>、</w:t>
      </w:r>
      <w:r>
        <w:rPr>
          <w:rFonts w:hint="eastAsia" w:ascii="仿宋_GB2312" w:eastAsia="仿宋_GB2312"/>
          <w:kern w:val="0"/>
          <w:sz w:val="30"/>
          <w:szCs w:val="30"/>
        </w:rPr>
        <w:t>科研用房、文化用房、医疗卫生用房等</w:t>
      </w:r>
      <w:r>
        <w:rPr>
          <w:rFonts w:ascii="仿宋_GB2312" w:eastAsia="仿宋_GB2312"/>
          <w:kern w:val="0"/>
          <w:sz w:val="30"/>
          <w:szCs w:val="30"/>
        </w:rPr>
        <w:t>行政事业单位业务类用房，</w:t>
      </w:r>
      <w:r>
        <w:rPr>
          <w:rFonts w:hint="eastAsia" w:ascii="仿宋_GB2312" w:eastAsia="仿宋_GB2312"/>
          <w:kern w:val="0"/>
          <w:sz w:val="30"/>
          <w:szCs w:val="30"/>
        </w:rPr>
        <w:t>面积原则上按建筑面积填列。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11.</w:t>
      </w:r>
      <w:r>
        <w:rPr>
          <w:rFonts w:hint="eastAsia" w:ascii="仿宋_GB2312" w:eastAsia="仿宋_GB2312"/>
          <w:kern w:val="0"/>
          <w:sz w:val="30"/>
          <w:szCs w:val="30"/>
        </w:rPr>
        <w:t>在</w:t>
      </w:r>
      <w:r>
        <w:rPr>
          <w:rFonts w:ascii="仿宋_GB2312" w:eastAsia="仿宋_GB2312"/>
          <w:kern w:val="0"/>
          <w:sz w:val="30"/>
          <w:szCs w:val="30"/>
        </w:rPr>
        <w:t>用</w:t>
      </w:r>
      <w:r>
        <w:rPr>
          <w:rFonts w:hint="eastAsia" w:ascii="仿宋_GB2312" w:eastAsia="仿宋_GB2312"/>
          <w:kern w:val="0"/>
          <w:sz w:val="30"/>
          <w:szCs w:val="30"/>
        </w:rPr>
        <w:t>：是指行政事业单位占有的，且处于使用状态的房屋，包括使用本单位房屋、使用其他单位房屋、已投入使用的在建工程未转固的房屋。部门内其他单位占有使用本单位房屋，以及因历史原因部门外单位占有使用本单位房屋的也应填列在本单位“在用”中。</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12.待处置（待报废、毁损等）：主要反映行政事业单位除在用、出租出借、闲置以外的房屋情况，该指标信息主要提取房屋资产卡片中的“待处置（待报废、毁损等）面积”。</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相应指标字段提取；使用其他单位房屋和已投入使用在建工程未转固房屋的，由单位根据实际使用情况手工填列。</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13.危房面积：</w:t>
      </w:r>
      <w:r>
        <w:rPr>
          <w:rFonts w:hint="eastAsia" w:ascii="仿宋_GB2312" w:eastAsia="仿宋_GB2312"/>
          <w:kern w:val="0"/>
          <w:sz w:val="30"/>
          <w:szCs w:val="30"/>
        </w:rPr>
        <w:t>该指标信息主要提取房屋资产卡片中的“危房面积”。</w:t>
      </w:r>
    </w:p>
    <w:p>
      <w:pPr>
        <w:spacing w:line="360" w:lineRule="auto"/>
        <w:ind w:firstLine="576" w:firstLineChars="192"/>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4</w:t>
      </w:r>
      <w:r>
        <w:rPr>
          <w:rFonts w:ascii="仿宋_GB2312" w:eastAsia="仿宋_GB2312"/>
          <w:sz w:val="30"/>
          <w:szCs w:val="30"/>
        </w:rPr>
        <w:t>.</w:t>
      </w:r>
      <w:r>
        <w:rPr>
          <w:rFonts w:hint="eastAsia" w:ascii="仿宋_GB2312" w:eastAsia="仿宋_GB2312"/>
          <w:sz w:val="30"/>
          <w:szCs w:val="30"/>
        </w:rPr>
        <w:t>期末账面数（原值、累计折旧、净值）：本单位房屋由资产模块中资产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相应指标字段提取；使用其他单位房屋和已投入使用在建工程未转固房屋的不需填列。</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表内审核公式：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使用其他单位房屋的浮动行资产分类（1栏）、资产名称（3栏）、取得方式（4栏）、取得日期（5栏）不能为空；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已投入使用的在建工程未转固房屋的浮动行资产分类（1栏）、资产名称（3栏）不能为空；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 xml:space="preserve">本单位房屋的浮动行资产分类（1栏）、资产名称（3栏）、取得方式（4栏）、权属证明（7栏）不能为空； </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w:t>
      </w:r>
      <w:r>
        <w:rPr>
          <w:rFonts w:ascii="仿宋_GB2312" w:hAnsi="仿宋" w:eastAsia="仿宋_GB2312"/>
          <w:sz w:val="30"/>
          <w:szCs w:val="30"/>
        </w:rPr>
        <w:t>为“无”</w:t>
      </w:r>
      <w:r>
        <w:rPr>
          <w:rFonts w:hint="eastAsia" w:ascii="仿宋_GB2312" w:hAnsi="仿宋" w:eastAsia="仿宋_GB2312"/>
          <w:sz w:val="30"/>
          <w:szCs w:val="30"/>
        </w:rPr>
        <w:t>时，权属面积（</w:t>
      </w:r>
      <w:r>
        <w:rPr>
          <w:rFonts w:ascii="仿宋_GB2312" w:hAnsi="仿宋" w:eastAsia="仿宋_GB2312"/>
          <w:sz w:val="30"/>
          <w:szCs w:val="30"/>
        </w:rPr>
        <w:t>10栏</w:t>
      </w:r>
      <w:r>
        <w:rPr>
          <w:rFonts w:hint="eastAsia" w:ascii="仿宋_GB2312" w:hAnsi="仿宋" w:eastAsia="仿宋_GB2312"/>
          <w:sz w:val="30"/>
          <w:szCs w:val="30"/>
        </w:rPr>
        <w:t>）应为</w:t>
      </w:r>
      <w:r>
        <w:rPr>
          <w:rFonts w:ascii="仿宋_GB2312" w:hAnsi="仿宋" w:eastAsia="仿宋_GB2312"/>
          <w:sz w:val="30"/>
          <w:szCs w:val="30"/>
        </w:rPr>
        <w:t>0</w:t>
      </w:r>
      <w:r>
        <w:rPr>
          <w:rFonts w:hint="eastAsia" w:ascii="仿宋_GB2312" w:hAnsi="仿宋" w:eastAsia="仿宋_GB2312"/>
          <w:sz w:val="30"/>
          <w:szCs w:val="30"/>
        </w:rPr>
        <w:t>、权属证号（9栏）应为空；</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当权属证明（7栏）为“无”时，备注（37栏）必填；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w:t>
      </w:r>
      <w:r>
        <w:rPr>
          <w:rFonts w:hint="eastAsia" w:ascii="仿宋_GB2312" w:eastAsia="仿宋_GB2312"/>
          <w:sz w:val="30"/>
          <w:szCs w:val="30"/>
        </w:rPr>
        <w:t>房屋权属批准文件、相关法律文书及其他</w:t>
      </w:r>
      <w:r>
        <w:rPr>
          <w:rFonts w:hint="eastAsia" w:ascii="仿宋_GB2312" w:hAnsi="仿宋" w:eastAsia="仿宋_GB2312"/>
          <w:sz w:val="30"/>
          <w:szCs w:val="30"/>
        </w:rPr>
        <w:t>”时，权属人（8栏）、权属面积（10栏）、权属性质（11栏）必填；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当权属证明（7栏）为“</w:t>
      </w:r>
      <w:r>
        <w:rPr>
          <w:rFonts w:hint="eastAsia" w:ascii="仿宋_GB2312" w:eastAsia="仿宋_GB2312"/>
          <w:sz w:val="30"/>
          <w:szCs w:val="30"/>
        </w:rPr>
        <w:t>不动产权证、房屋所有权证</w:t>
      </w:r>
      <w:r>
        <w:rPr>
          <w:rFonts w:hint="eastAsia" w:ascii="仿宋_GB2312" w:hAnsi="仿宋" w:eastAsia="仿宋_GB2312"/>
          <w:sz w:val="30"/>
          <w:szCs w:val="30"/>
        </w:rPr>
        <w:t>”时，权属人（8栏）、权属证号（9栏）、权属面积（10栏）、权属性质（11栏）必填；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“使用其他单位房屋小计”行及其浮动行期末账面数各指标（</w:t>
      </w:r>
      <w:r>
        <w:rPr>
          <w:rFonts w:ascii="仿宋_GB2312" w:hAnsi="仿宋" w:eastAsia="仿宋_GB2312"/>
          <w:sz w:val="30"/>
          <w:szCs w:val="30"/>
        </w:rPr>
        <w:t>12</w:t>
      </w:r>
      <w:r>
        <w:rPr>
          <w:rFonts w:hint="eastAsia" w:ascii="华文中宋" w:hAnsi="华文中宋" w:eastAsia="华文中宋"/>
          <w:sz w:val="30"/>
          <w:szCs w:val="30"/>
        </w:rPr>
        <w:t>~</w:t>
      </w:r>
      <w:r>
        <w:rPr>
          <w:rFonts w:ascii="仿宋_GB2312" w:hAnsi="仿宋" w:eastAsia="仿宋_GB2312"/>
          <w:sz w:val="30"/>
          <w:szCs w:val="30"/>
        </w:rPr>
        <w:t>32栏</w:t>
      </w:r>
      <w:r>
        <w:rPr>
          <w:rFonts w:hint="eastAsia" w:ascii="仿宋_GB2312" w:hAnsi="仿宋" w:eastAsia="仿宋_GB2312"/>
          <w:sz w:val="30"/>
          <w:szCs w:val="30"/>
        </w:rPr>
        <w:t>）大于等于0；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bookmarkStart w:id="7" w:name="_Hlk22760959"/>
      <w:r>
        <w:rPr>
          <w:rFonts w:hint="eastAsia" w:ascii="仿宋_GB2312" w:hAnsi="仿宋" w:eastAsia="仿宋_GB2312"/>
          <w:sz w:val="30"/>
          <w:szCs w:val="30"/>
        </w:rPr>
        <w:t>使用其他单位房屋小计的浮动行建筑面积合计（</w:t>
      </w:r>
      <w:r>
        <w:rPr>
          <w:rFonts w:ascii="仿宋_GB2312" w:hAnsi="仿宋" w:eastAsia="仿宋_GB2312"/>
          <w:sz w:val="30"/>
          <w:szCs w:val="30"/>
        </w:rPr>
        <w:t>12</w:t>
      </w:r>
      <w:r>
        <w:rPr>
          <w:rFonts w:hint="eastAsia" w:ascii="仿宋_GB2312" w:hAnsi="仿宋" w:eastAsia="仿宋_GB2312"/>
          <w:sz w:val="30"/>
          <w:szCs w:val="30"/>
        </w:rPr>
        <w:t>栏）应大于0；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已投入使用的在建工程未转固房屋小计的浮动行建筑面积合计（</w:t>
      </w:r>
      <w:r>
        <w:rPr>
          <w:rFonts w:ascii="仿宋_GB2312" w:hAnsi="仿宋" w:eastAsia="仿宋_GB2312"/>
          <w:sz w:val="30"/>
          <w:szCs w:val="30"/>
        </w:rPr>
        <w:t>12</w:t>
      </w:r>
      <w:r>
        <w:rPr>
          <w:rFonts w:hint="eastAsia" w:ascii="仿宋_GB2312" w:hAnsi="仿宋" w:eastAsia="仿宋_GB2312"/>
          <w:sz w:val="30"/>
          <w:szCs w:val="30"/>
        </w:rPr>
        <w:t>栏）应大于0；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本单位房屋小计的浮动行建筑面积合计（</w:t>
      </w:r>
      <w:r>
        <w:rPr>
          <w:rFonts w:ascii="仿宋_GB2312" w:hAnsi="仿宋" w:eastAsia="仿宋_GB2312"/>
          <w:sz w:val="30"/>
          <w:szCs w:val="30"/>
        </w:rPr>
        <w:t>12</w:t>
      </w:r>
      <w:r>
        <w:rPr>
          <w:rFonts w:hint="eastAsia" w:ascii="仿宋_GB2312" w:hAnsi="仿宋" w:eastAsia="仿宋_GB2312"/>
          <w:sz w:val="30"/>
          <w:szCs w:val="30"/>
        </w:rPr>
        <w:t>栏）应大于0；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“已投入使用的在建工程未转固房屋小计”行及其浮动行期末账面数各指标（</w:t>
      </w:r>
      <w:r>
        <w:rPr>
          <w:rFonts w:ascii="仿宋_GB2312" w:hAnsi="仿宋" w:eastAsia="仿宋_GB2312"/>
          <w:sz w:val="30"/>
          <w:szCs w:val="30"/>
        </w:rPr>
        <w:t>12</w:t>
      </w:r>
      <w:r>
        <w:rPr>
          <w:rFonts w:hint="eastAsia" w:ascii="华文中宋" w:hAnsi="华文中宋" w:eastAsia="华文中宋"/>
          <w:sz w:val="30"/>
          <w:szCs w:val="30"/>
        </w:rPr>
        <w:t>~</w:t>
      </w:r>
      <w:r>
        <w:rPr>
          <w:rFonts w:ascii="仿宋_GB2312" w:hAnsi="仿宋" w:eastAsia="仿宋_GB2312"/>
          <w:sz w:val="30"/>
          <w:szCs w:val="30"/>
        </w:rPr>
        <w:t>32栏</w:t>
      </w:r>
      <w:r>
        <w:rPr>
          <w:rFonts w:hint="eastAsia" w:ascii="仿宋_GB2312" w:hAnsi="仿宋" w:eastAsia="仿宋_GB2312"/>
          <w:sz w:val="30"/>
          <w:szCs w:val="30"/>
        </w:rPr>
        <w:t>）大于等于0；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“本单位房屋小计”行及其浮动行的各指标（</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华文中宋" w:hAnsi="华文中宋" w:eastAsia="华文中宋"/>
          <w:sz w:val="30"/>
          <w:szCs w:val="30"/>
        </w:rPr>
        <w:t>~</w:t>
      </w:r>
      <w:r>
        <w:rPr>
          <w:rFonts w:ascii="仿宋_GB2312" w:hAnsi="仿宋" w:eastAsia="仿宋_GB2312"/>
          <w:sz w:val="30"/>
          <w:szCs w:val="30"/>
        </w:rPr>
        <w:t>35栏</w:t>
      </w:r>
      <w:r>
        <w:rPr>
          <w:rFonts w:hint="eastAsia" w:ascii="仿宋_GB2312" w:hAnsi="仿宋" w:eastAsia="仿宋_GB2312"/>
          <w:sz w:val="30"/>
          <w:szCs w:val="30"/>
        </w:rPr>
        <w:t>）大于等于0；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当权属人（8栏）为“除机关事务管理机构外的其他行政事业单位”或“其他”时，备注（</w:t>
      </w:r>
      <w:r>
        <w:rPr>
          <w:rFonts w:ascii="仿宋_GB2312" w:hAnsi="仿宋" w:eastAsia="仿宋_GB2312"/>
          <w:sz w:val="30"/>
          <w:szCs w:val="30"/>
        </w:rPr>
        <w:t>3</w:t>
      </w:r>
      <w:r>
        <w:rPr>
          <w:rFonts w:hint="eastAsia" w:ascii="仿宋_GB2312" w:hAnsi="仿宋" w:eastAsia="仿宋_GB2312"/>
          <w:sz w:val="30"/>
          <w:szCs w:val="30"/>
        </w:rPr>
        <w:t>7栏）必填权属人名称；</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合计栏的小计（1</w:t>
      </w:r>
      <w:r>
        <w:rPr>
          <w:rFonts w:ascii="仿宋_GB2312" w:hAnsi="仿宋" w:eastAsia="仿宋_GB2312"/>
          <w:sz w:val="30"/>
          <w:szCs w:val="30"/>
        </w:rPr>
        <w:t>2</w:t>
      </w:r>
      <w:r>
        <w:rPr>
          <w:rFonts w:hint="eastAsia" w:ascii="仿宋_GB2312" w:hAnsi="仿宋" w:eastAsia="仿宋_GB2312"/>
          <w:sz w:val="30"/>
          <w:szCs w:val="30"/>
        </w:rPr>
        <w:t>栏）应等于在用、出租出借、闲置、待处置各栏之和（1</w:t>
      </w:r>
      <w:r>
        <w:rPr>
          <w:rFonts w:ascii="仿宋_GB2312" w:hAnsi="仿宋" w:eastAsia="仿宋_GB2312"/>
          <w:sz w:val="30"/>
          <w:szCs w:val="30"/>
        </w:rPr>
        <w:t>3</w:t>
      </w:r>
      <w:r>
        <w:rPr>
          <w:rFonts w:hint="eastAsia" w:ascii="华文中宋" w:hAnsi="华文中宋" w:eastAsia="华文中宋"/>
          <w:sz w:val="30"/>
          <w:szCs w:val="30"/>
        </w:rPr>
        <w:t>~</w:t>
      </w:r>
      <w:r>
        <w:rPr>
          <w:rFonts w:hint="eastAsia" w:ascii="仿宋_GB2312" w:hAnsi="仿宋" w:eastAsia="仿宋_GB2312"/>
          <w:sz w:val="30"/>
          <w:szCs w:val="30"/>
        </w:rPr>
        <w:t>16栏）；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合计栏的小计（1</w:t>
      </w:r>
      <w:r>
        <w:rPr>
          <w:rFonts w:ascii="仿宋_GB2312" w:hAnsi="仿宋" w:eastAsia="仿宋_GB2312"/>
          <w:sz w:val="30"/>
          <w:szCs w:val="30"/>
        </w:rPr>
        <w:t>2</w:t>
      </w:r>
      <w:r>
        <w:rPr>
          <w:rFonts w:hint="eastAsia" w:ascii="仿宋_GB2312" w:hAnsi="仿宋" w:eastAsia="仿宋_GB2312"/>
          <w:sz w:val="30"/>
          <w:szCs w:val="30"/>
        </w:rPr>
        <w:t>栏）应等于办公用房小计、业务用房小计、其他用房小计各栏之和（</w:t>
      </w:r>
      <w:r>
        <w:rPr>
          <w:rFonts w:ascii="仿宋_GB2312" w:hAnsi="仿宋" w:eastAsia="仿宋_GB2312"/>
          <w:sz w:val="30"/>
          <w:szCs w:val="30"/>
        </w:rPr>
        <w:t>17</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w:t>
      </w:r>
      <w:r>
        <w:rPr>
          <w:rFonts w:ascii="仿宋_GB2312" w:hAnsi="仿宋" w:eastAsia="仿宋_GB2312"/>
          <w:sz w:val="30"/>
          <w:szCs w:val="30"/>
        </w:rPr>
        <w:t>28栏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合计栏的在用（</w:t>
      </w:r>
      <w:r>
        <w:rPr>
          <w:rFonts w:ascii="仿宋_GB2312" w:hAnsi="仿宋" w:eastAsia="仿宋_GB2312"/>
          <w:sz w:val="30"/>
          <w:szCs w:val="30"/>
        </w:rPr>
        <w:t>13</w:t>
      </w:r>
      <w:r>
        <w:rPr>
          <w:rFonts w:hint="eastAsia" w:ascii="仿宋_GB2312" w:hAnsi="仿宋" w:eastAsia="仿宋_GB2312"/>
          <w:sz w:val="30"/>
          <w:szCs w:val="30"/>
        </w:rPr>
        <w:t>栏）应等于办公用房在用、业务用房在用、其他用房在用各栏之和（</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24</w:t>
      </w:r>
      <w:r>
        <w:rPr>
          <w:rFonts w:hint="eastAsia" w:ascii="仿宋_GB2312" w:hAnsi="仿宋" w:eastAsia="仿宋_GB2312"/>
          <w:sz w:val="30"/>
          <w:szCs w:val="30"/>
        </w:rPr>
        <w:t>、</w:t>
      </w:r>
      <w:r>
        <w:rPr>
          <w:rFonts w:ascii="仿宋_GB2312" w:hAnsi="仿宋" w:eastAsia="仿宋_GB2312"/>
          <w:sz w:val="30"/>
          <w:szCs w:val="30"/>
        </w:rPr>
        <w:t>29栏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合计栏的出租出借（</w:t>
      </w:r>
      <w:r>
        <w:rPr>
          <w:rFonts w:ascii="仿宋_GB2312" w:hAnsi="仿宋" w:eastAsia="仿宋_GB2312"/>
          <w:sz w:val="30"/>
          <w:szCs w:val="30"/>
        </w:rPr>
        <w:t>14</w:t>
      </w:r>
      <w:r>
        <w:rPr>
          <w:rFonts w:hint="eastAsia" w:ascii="仿宋_GB2312" w:hAnsi="仿宋" w:eastAsia="仿宋_GB2312"/>
          <w:sz w:val="30"/>
          <w:szCs w:val="30"/>
        </w:rPr>
        <w:t>栏）应等于办公用房出租出借+业务用房出租出借+其他用房出租出借（</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25</w:t>
      </w:r>
      <w:r>
        <w:rPr>
          <w:rFonts w:hint="eastAsia" w:ascii="仿宋_GB2312" w:hAnsi="仿宋" w:eastAsia="仿宋_GB2312"/>
          <w:sz w:val="30"/>
          <w:szCs w:val="30"/>
        </w:rPr>
        <w:t>、</w:t>
      </w:r>
      <w:r>
        <w:rPr>
          <w:rFonts w:ascii="仿宋_GB2312" w:hAnsi="仿宋" w:eastAsia="仿宋_GB2312"/>
          <w:sz w:val="30"/>
          <w:szCs w:val="30"/>
        </w:rPr>
        <w:t>30栏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合计栏的闲置（</w:t>
      </w:r>
      <w:r>
        <w:rPr>
          <w:rFonts w:ascii="仿宋_GB2312" w:hAnsi="仿宋" w:eastAsia="仿宋_GB2312"/>
          <w:sz w:val="30"/>
          <w:szCs w:val="30"/>
        </w:rPr>
        <w:t>15</w:t>
      </w:r>
      <w:r>
        <w:rPr>
          <w:rFonts w:hint="eastAsia" w:ascii="仿宋_GB2312" w:hAnsi="仿宋" w:eastAsia="仿宋_GB2312"/>
          <w:sz w:val="30"/>
          <w:szCs w:val="30"/>
        </w:rPr>
        <w:t>栏）应等于办公用房闲置、业务用房闲置、其他用房闲置各栏之和（</w:t>
      </w:r>
      <w:r>
        <w:rPr>
          <w:rFonts w:ascii="仿宋_GB2312" w:hAnsi="仿宋" w:eastAsia="仿宋_GB2312"/>
          <w:sz w:val="30"/>
          <w:szCs w:val="30"/>
        </w:rPr>
        <w:t>20</w:t>
      </w:r>
      <w:r>
        <w:rPr>
          <w:rFonts w:hint="eastAsia" w:ascii="仿宋_GB2312" w:hAnsi="仿宋" w:eastAsia="仿宋_GB2312"/>
          <w:sz w:val="30"/>
          <w:szCs w:val="30"/>
        </w:rPr>
        <w:t>、</w:t>
      </w:r>
      <w:r>
        <w:rPr>
          <w:rFonts w:ascii="仿宋_GB2312" w:hAnsi="仿宋" w:eastAsia="仿宋_GB2312"/>
          <w:sz w:val="30"/>
          <w:szCs w:val="30"/>
        </w:rPr>
        <w:t>26</w:t>
      </w:r>
      <w:r>
        <w:rPr>
          <w:rFonts w:hint="eastAsia" w:ascii="仿宋_GB2312" w:hAnsi="仿宋" w:eastAsia="仿宋_GB2312"/>
          <w:sz w:val="30"/>
          <w:szCs w:val="30"/>
        </w:rPr>
        <w:t>、</w:t>
      </w:r>
      <w:r>
        <w:rPr>
          <w:rFonts w:ascii="仿宋_GB2312" w:hAnsi="仿宋" w:eastAsia="仿宋_GB2312"/>
          <w:sz w:val="30"/>
          <w:szCs w:val="30"/>
        </w:rPr>
        <w:t>31栏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合计栏待处置（</w:t>
      </w:r>
      <w:r>
        <w:rPr>
          <w:rFonts w:ascii="仿宋_GB2312" w:hAnsi="仿宋" w:eastAsia="仿宋_GB2312"/>
          <w:sz w:val="30"/>
          <w:szCs w:val="30"/>
        </w:rPr>
        <w:t>16</w:t>
      </w:r>
      <w:r>
        <w:rPr>
          <w:rFonts w:hint="eastAsia" w:ascii="仿宋_GB2312" w:hAnsi="仿宋" w:eastAsia="仿宋_GB2312"/>
          <w:sz w:val="30"/>
          <w:szCs w:val="30"/>
        </w:rPr>
        <w:t>栏）应等于办公用房待处置、业务用房待处置、其他用房待处置各栏之和（</w:t>
      </w:r>
      <w:r>
        <w:rPr>
          <w:rFonts w:ascii="仿宋_GB2312" w:hAnsi="仿宋" w:eastAsia="仿宋_GB2312"/>
          <w:sz w:val="30"/>
          <w:szCs w:val="30"/>
        </w:rPr>
        <w:t>21</w:t>
      </w:r>
      <w:r>
        <w:rPr>
          <w:rFonts w:hint="eastAsia" w:ascii="仿宋_GB2312" w:hAnsi="仿宋" w:eastAsia="仿宋_GB2312"/>
          <w:sz w:val="30"/>
          <w:szCs w:val="30"/>
        </w:rPr>
        <w:t>、</w:t>
      </w:r>
      <w:r>
        <w:rPr>
          <w:rFonts w:ascii="仿宋_GB2312" w:hAnsi="仿宋" w:eastAsia="仿宋_GB2312"/>
          <w:sz w:val="30"/>
          <w:szCs w:val="30"/>
        </w:rPr>
        <w:t>27</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办公用房小计（</w:t>
      </w:r>
      <w:r>
        <w:rPr>
          <w:rFonts w:ascii="仿宋_GB2312" w:hAnsi="仿宋" w:eastAsia="仿宋_GB2312"/>
          <w:sz w:val="30"/>
          <w:szCs w:val="30"/>
        </w:rPr>
        <w:t>17栏</w:t>
      </w:r>
      <w:r>
        <w:rPr>
          <w:rFonts w:hint="eastAsia" w:ascii="仿宋_GB2312" w:hAnsi="仿宋" w:eastAsia="仿宋_GB2312"/>
          <w:sz w:val="30"/>
          <w:szCs w:val="30"/>
        </w:rPr>
        <w:t>）应等于办公用房的在用、出租出借、闲置、待处置各栏之和</w:t>
      </w:r>
      <w:r>
        <w:rPr>
          <w:rFonts w:ascii="仿宋_GB2312" w:hAnsi="仿宋" w:eastAsia="仿宋_GB2312"/>
          <w:sz w:val="30"/>
          <w:szCs w:val="30"/>
        </w:rPr>
        <w:t>（</w:t>
      </w:r>
      <w:r>
        <w:rPr>
          <w:rFonts w:hint="eastAsia" w:ascii="仿宋_GB2312" w:hAnsi="仿宋" w:eastAsia="仿宋_GB2312"/>
          <w:sz w:val="30"/>
          <w:szCs w:val="30"/>
        </w:rPr>
        <w:t>1</w:t>
      </w:r>
      <w:r>
        <w:rPr>
          <w:rFonts w:ascii="仿宋_GB2312" w:hAnsi="仿宋" w:eastAsia="仿宋_GB2312"/>
          <w:sz w:val="30"/>
          <w:szCs w:val="30"/>
        </w:rPr>
        <w:t>8</w:t>
      </w:r>
      <w:r>
        <w:rPr>
          <w:rFonts w:hint="eastAsia" w:ascii="华文中宋" w:hAnsi="华文中宋" w:eastAsia="华文中宋"/>
          <w:sz w:val="30"/>
          <w:szCs w:val="30"/>
        </w:rPr>
        <w:t>~</w:t>
      </w:r>
      <w:r>
        <w:rPr>
          <w:rFonts w:ascii="仿宋_GB2312" w:hAnsi="仿宋" w:eastAsia="仿宋_GB2312"/>
          <w:sz w:val="30"/>
          <w:szCs w:val="30"/>
        </w:rPr>
        <w:t>2</w:t>
      </w:r>
      <w:r>
        <w:rPr>
          <w:rFonts w:hint="eastAsia" w:ascii="仿宋_GB2312" w:hAnsi="仿宋" w:eastAsia="仿宋_GB2312"/>
          <w:sz w:val="30"/>
          <w:szCs w:val="30"/>
        </w:rPr>
        <w:t>1</w:t>
      </w:r>
      <w:r>
        <w:rPr>
          <w:rFonts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办公用房小计（</w:t>
      </w:r>
      <w:r>
        <w:rPr>
          <w:rFonts w:ascii="仿宋_GB2312" w:hAnsi="仿宋" w:eastAsia="仿宋_GB2312"/>
          <w:sz w:val="30"/>
          <w:szCs w:val="30"/>
        </w:rPr>
        <w:t>17栏</w:t>
      </w:r>
      <w:r>
        <w:rPr>
          <w:rFonts w:hint="eastAsia" w:ascii="仿宋_GB2312" w:hAnsi="仿宋" w:eastAsia="仿宋_GB2312"/>
          <w:sz w:val="30"/>
          <w:szCs w:val="30"/>
        </w:rPr>
        <w:t>）应大于本单位实际使用办公室用房（</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业务用房小计（</w:t>
      </w:r>
      <w:r>
        <w:rPr>
          <w:rFonts w:ascii="仿宋_GB2312" w:hAnsi="仿宋" w:eastAsia="仿宋_GB2312"/>
          <w:sz w:val="30"/>
          <w:szCs w:val="30"/>
        </w:rPr>
        <w:t>23</w:t>
      </w:r>
      <w:r>
        <w:rPr>
          <w:rFonts w:hint="eastAsia" w:ascii="仿宋_GB2312" w:hAnsi="仿宋" w:eastAsia="仿宋_GB2312"/>
          <w:sz w:val="30"/>
          <w:szCs w:val="30"/>
        </w:rPr>
        <w:t>栏）应等于业务用房的在用、出租出借、闲置、待处置（2</w:t>
      </w:r>
      <w:r>
        <w:rPr>
          <w:rFonts w:ascii="仿宋_GB2312" w:hAnsi="仿宋" w:eastAsia="仿宋_GB2312"/>
          <w:sz w:val="30"/>
          <w:szCs w:val="30"/>
        </w:rPr>
        <w:t>4</w:t>
      </w:r>
      <w:r>
        <w:rPr>
          <w:rFonts w:hint="eastAsia" w:ascii="华文中宋" w:hAnsi="华文中宋" w:eastAsia="华文中宋"/>
          <w:sz w:val="30"/>
          <w:szCs w:val="30"/>
        </w:rPr>
        <w:t>~</w:t>
      </w:r>
      <w:r>
        <w:rPr>
          <w:rFonts w:hint="eastAsia" w:ascii="仿宋_GB2312" w:hAnsi="仿宋" w:eastAsia="仿宋_GB2312"/>
          <w:sz w:val="30"/>
          <w:szCs w:val="30"/>
        </w:rPr>
        <w:t>27栏）；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其他用房小计（</w:t>
      </w:r>
      <w:r>
        <w:rPr>
          <w:rFonts w:ascii="仿宋_GB2312" w:hAnsi="仿宋" w:eastAsia="仿宋_GB2312"/>
          <w:sz w:val="30"/>
          <w:szCs w:val="30"/>
        </w:rPr>
        <w:t>28</w:t>
      </w:r>
      <w:r>
        <w:rPr>
          <w:rFonts w:hint="eastAsia" w:ascii="仿宋_GB2312" w:hAnsi="仿宋" w:eastAsia="仿宋_GB2312"/>
          <w:sz w:val="30"/>
          <w:szCs w:val="30"/>
        </w:rPr>
        <w:t>栏）应等于其他用房的在用、出租出借、闲置、待处置各栏之和（2</w:t>
      </w:r>
      <w:r>
        <w:rPr>
          <w:rFonts w:ascii="仿宋_GB2312" w:hAnsi="仿宋" w:eastAsia="仿宋_GB2312"/>
          <w:sz w:val="30"/>
          <w:szCs w:val="30"/>
        </w:rPr>
        <w:t>9</w:t>
      </w:r>
      <w:r>
        <w:rPr>
          <w:rFonts w:hint="eastAsia" w:ascii="华文中宋" w:hAnsi="华文中宋" w:eastAsia="华文中宋"/>
          <w:sz w:val="30"/>
          <w:szCs w:val="30"/>
        </w:rPr>
        <w:t>~</w:t>
      </w:r>
      <w:r>
        <w:rPr>
          <w:rFonts w:hint="eastAsia" w:ascii="仿宋_GB2312" w:hAnsi="仿宋" w:eastAsia="仿宋_GB2312"/>
          <w:sz w:val="30"/>
          <w:szCs w:val="30"/>
        </w:rPr>
        <w:t>32栏）；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“合计”行的指标（</w:t>
      </w:r>
      <w:r>
        <w:rPr>
          <w:rFonts w:ascii="仿宋_GB2312" w:hAnsi="仿宋" w:eastAsia="仿宋_GB2312"/>
          <w:sz w:val="30"/>
          <w:szCs w:val="30"/>
        </w:rPr>
        <w:t>12</w:t>
      </w:r>
      <w:r>
        <w:rPr>
          <w:rFonts w:ascii="华文中宋" w:hAnsi="华文中宋" w:eastAsia="华文中宋"/>
          <w:sz w:val="30"/>
          <w:szCs w:val="30"/>
        </w:rPr>
        <w:t>~</w:t>
      </w:r>
      <w:r>
        <w:rPr>
          <w:rFonts w:ascii="仿宋_GB2312" w:hAnsi="仿宋" w:eastAsia="仿宋_GB2312"/>
          <w:sz w:val="30"/>
          <w:szCs w:val="30"/>
        </w:rPr>
        <w:t>32</w:t>
      </w:r>
      <w:r>
        <w:rPr>
          <w:rFonts w:hint="eastAsia" w:ascii="仿宋_GB2312" w:hAnsi="仿宋" w:eastAsia="仿宋_GB2312"/>
          <w:sz w:val="30"/>
          <w:szCs w:val="30"/>
        </w:rPr>
        <w:t>栏）应等于“使用其他单位房屋小计”行对应指标（</w:t>
      </w:r>
      <w:r>
        <w:rPr>
          <w:rFonts w:ascii="仿宋_GB2312" w:hAnsi="仿宋" w:eastAsia="仿宋_GB2312"/>
          <w:sz w:val="30"/>
          <w:szCs w:val="30"/>
        </w:rPr>
        <w:t>12</w:t>
      </w:r>
      <w:r>
        <w:rPr>
          <w:rFonts w:ascii="华文中宋" w:hAnsi="华文中宋" w:eastAsia="华文中宋"/>
          <w:sz w:val="30"/>
          <w:szCs w:val="30"/>
        </w:rPr>
        <w:t>~</w:t>
      </w:r>
      <w:r>
        <w:rPr>
          <w:rFonts w:ascii="仿宋_GB2312" w:hAnsi="仿宋" w:eastAsia="仿宋_GB2312"/>
          <w:sz w:val="30"/>
          <w:szCs w:val="30"/>
        </w:rPr>
        <w:t>32</w:t>
      </w:r>
      <w:r>
        <w:rPr>
          <w:rFonts w:hint="eastAsia" w:ascii="仿宋_GB2312" w:hAnsi="仿宋" w:eastAsia="仿宋_GB2312"/>
          <w:sz w:val="30"/>
          <w:szCs w:val="30"/>
        </w:rPr>
        <w:t>栏）、“已投入使用的在建工程未转固房屋小计”行对应指标（</w:t>
      </w:r>
      <w:r>
        <w:rPr>
          <w:rFonts w:ascii="仿宋_GB2312" w:hAnsi="仿宋" w:eastAsia="仿宋_GB2312"/>
          <w:sz w:val="30"/>
          <w:szCs w:val="30"/>
        </w:rPr>
        <w:t>12</w:t>
      </w:r>
      <w:r>
        <w:rPr>
          <w:rFonts w:hint="eastAsia" w:ascii="华文中宋" w:hAnsi="华文中宋" w:eastAsia="华文中宋"/>
          <w:sz w:val="30"/>
          <w:szCs w:val="30"/>
        </w:rPr>
        <w:t>~</w:t>
      </w:r>
      <w:r>
        <w:rPr>
          <w:rFonts w:ascii="仿宋_GB2312" w:hAnsi="仿宋" w:eastAsia="仿宋_GB2312"/>
          <w:sz w:val="30"/>
          <w:szCs w:val="30"/>
        </w:rPr>
        <w:t>32</w:t>
      </w:r>
      <w:r>
        <w:rPr>
          <w:rFonts w:hint="eastAsia" w:ascii="仿宋_GB2312" w:hAnsi="仿宋" w:eastAsia="仿宋_GB2312"/>
          <w:sz w:val="30"/>
          <w:szCs w:val="30"/>
        </w:rPr>
        <w:t>栏）、“本单位房屋小计”行对应指标之和（</w:t>
      </w:r>
      <w:r>
        <w:rPr>
          <w:rFonts w:ascii="仿宋_GB2312" w:hAnsi="仿宋" w:eastAsia="仿宋_GB2312"/>
          <w:sz w:val="30"/>
          <w:szCs w:val="30"/>
        </w:rPr>
        <w:t>12</w:t>
      </w:r>
      <w:r>
        <w:rPr>
          <w:rFonts w:ascii="华文中宋" w:hAnsi="华文中宋" w:eastAsia="华文中宋"/>
          <w:sz w:val="30"/>
          <w:szCs w:val="30"/>
        </w:rPr>
        <w:t>~</w:t>
      </w:r>
      <w:r>
        <w:rPr>
          <w:rFonts w:ascii="仿宋_GB2312" w:hAnsi="仿宋" w:eastAsia="仿宋_GB2312"/>
          <w:sz w:val="30"/>
          <w:szCs w:val="30"/>
        </w:rPr>
        <w:t>32</w:t>
      </w:r>
      <w:r>
        <w:rPr>
          <w:rFonts w:hint="eastAsia" w:ascii="仿宋_GB2312" w:hAnsi="仿宋" w:eastAsia="仿宋_GB2312"/>
          <w:sz w:val="30"/>
          <w:szCs w:val="30"/>
        </w:rPr>
        <w:t>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“使用其他单位房屋小计”行的指标（</w:t>
      </w:r>
      <w:r>
        <w:rPr>
          <w:rFonts w:ascii="仿宋_GB2312" w:hAnsi="仿宋" w:eastAsia="仿宋_GB2312"/>
          <w:sz w:val="30"/>
          <w:szCs w:val="30"/>
        </w:rPr>
        <w:t>12</w:t>
      </w:r>
      <w:r>
        <w:rPr>
          <w:rFonts w:ascii="华文中宋" w:hAnsi="华文中宋" w:eastAsia="华文中宋"/>
          <w:sz w:val="30"/>
          <w:szCs w:val="30"/>
        </w:rPr>
        <w:t>~</w:t>
      </w:r>
      <w:r>
        <w:rPr>
          <w:rFonts w:ascii="仿宋_GB2312" w:hAnsi="仿宋" w:eastAsia="仿宋_GB2312"/>
          <w:sz w:val="30"/>
          <w:szCs w:val="30"/>
        </w:rPr>
        <w:t>32</w:t>
      </w:r>
      <w:r>
        <w:rPr>
          <w:rFonts w:hint="eastAsia" w:ascii="仿宋_GB2312" w:hAnsi="仿宋" w:eastAsia="仿宋_GB2312"/>
          <w:sz w:val="30"/>
          <w:szCs w:val="30"/>
        </w:rPr>
        <w:t>栏）等于对应浮动行对应指标之和；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“已投入使用的在建工程未转固房屋小计”行的指标行（</w:t>
      </w:r>
      <w:r>
        <w:rPr>
          <w:rFonts w:ascii="仿宋_GB2312" w:hAnsi="仿宋" w:eastAsia="仿宋_GB2312"/>
          <w:sz w:val="30"/>
          <w:szCs w:val="30"/>
        </w:rPr>
        <w:t>12</w:t>
      </w:r>
      <w:r>
        <w:rPr>
          <w:rFonts w:ascii="华文中宋" w:hAnsi="华文中宋" w:eastAsia="华文中宋"/>
          <w:sz w:val="30"/>
          <w:szCs w:val="30"/>
        </w:rPr>
        <w:t>~</w:t>
      </w:r>
      <w:r>
        <w:rPr>
          <w:rFonts w:ascii="仿宋_GB2312" w:hAnsi="仿宋" w:eastAsia="仿宋_GB2312"/>
          <w:sz w:val="30"/>
          <w:szCs w:val="30"/>
        </w:rPr>
        <w:t>32</w:t>
      </w:r>
      <w:r>
        <w:rPr>
          <w:rFonts w:hint="eastAsia" w:ascii="仿宋_GB2312" w:hAnsi="仿宋" w:eastAsia="仿宋_GB2312"/>
          <w:sz w:val="30"/>
          <w:szCs w:val="30"/>
        </w:rPr>
        <w:t>栏）等于对应浮动行对应指标之和；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“本单位房屋小计”行的指标（10栏、</w:t>
      </w:r>
      <w:r>
        <w:rPr>
          <w:rFonts w:ascii="仿宋_GB2312" w:hAnsi="仿宋" w:eastAsia="仿宋_GB2312"/>
          <w:sz w:val="30"/>
          <w:szCs w:val="30"/>
        </w:rPr>
        <w:t>12</w:t>
      </w:r>
      <w:r>
        <w:rPr>
          <w:rFonts w:ascii="华文中宋" w:hAnsi="华文中宋" w:eastAsia="华文中宋"/>
          <w:sz w:val="30"/>
          <w:szCs w:val="30"/>
        </w:rPr>
        <w:t>~</w:t>
      </w:r>
      <w:r>
        <w:rPr>
          <w:rFonts w:ascii="仿宋_GB2312" w:hAnsi="仿宋" w:eastAsia="仿宋_GB2312"/>
          <w:sz w:val="30"/>
          <w:szCs w:val="30"/>
        </w:rPr>
        <w:t>3</w:t>
      </w:r>
      <w:r>
        <w:rPr>
          <w:rFonts w:hint="eastAsia" w:ascii="仿宋_GB2312" w:hAnsi="仿宋" w:eastAsia="仿宋_GB2312"/>
          <w:sz w:val="30"/>
          <w:szCs w:val="30"/>
        </w:rPr>
        <w:t>6栏）等于对应浮动行对应指标之和；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“本单位房屋小计”浮动行权属人默认选择“本单位”，可选择其他选项，若选择其他选项时，备注（</w:t>
      </w:r>
      <w:r>
        <w:rPr>
          <w:rFonts w:ascii="仿宋_GB2312" w:hAnsi="仿宋" w:eastAsia="仿宋_GB2312"/>
          <w:sz w:val="30"/>
          <w:szCs w:val="30"/>
        </w:rPr>
        <w:t>3</w:t>
      </w:r>
      <w:r>
        <w:rPr>
          <w:rFonts w:hint="eastAsia" w:ascii="仿宋_GB2312" w:hAnsi="仿宋" w:eastAsia="仿宋_GB2312"/>
          <w:sz w:val="30"/>
          <w:szCs w:val="30"/>
        </w:rPr>
        <w:t>7栏）必填；</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“使用其他单位房屋小计”浮动行的权属人只能选择</w:t>
      </w:r>
      <w:r>
        <w:rPr>
          <w:rFonts w:ascii="仿宋_GB2312" w:hAnsi="仿宋" w:eastAsia="仿宋_GB2312"/>
          <w:sz w:val="30"/>
          <w:szCs w:val="30"/>
        </w:rPr>
        <w:t>“机关事务管理机构</w:t>
      </w:r>
      <w:r>
        <w:rPr>
          <w:rFonts w:hint="eastAsia" w:ascii="仿宋_GB2312" w:hAnsi="仿宋" w:eastAsia="仿宋_GB2312"/>
          <w:sz w:val="30"/>
          <w:szCs w:val="30"/>
        </w:rPr>
        <w:t>”、“除机关事务管理机构外的其他行政事业单位”、“其他”；</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合计行“办公用房在用面积”大于</w:t>
      </w:r>
      <w:r>
        <w:rPr>
          <w:rFonts w:ascii="仿宋_GB2312" w:hAnsi="仿宋" w:eastAsia="仿宋_GB2312"/>
          <w:sz w:val="30"/>
          <w:szCs w:val="30"/>
        </w:rPr>
        <w:t>0</w:t>
      </w:r>
      <w:r>
        <w:rPr>
          <w:rFonts w:hint="eastAsia" w:ascii="仿宋_GB2312" w:hAnsi="仿宋" w:eastAsia="仿宋_GB2312"/>
          <w:sz w:val="30"/>
          <w:szCs w:val="30"/>
        </w:rPr>
        <w:t>，则“其中：本单位实际使用办公室用房（使用面积）”大于</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“本单位房屋小计”行及其浮动行净值（</w:t>
      </w:r>
      <w:r>
        <w:rPr>
          <w:rFonts w:ascii="仿宋_GB2312" w:hAnsi="仿宋" w:eastAsia="仿宋_GB2312"/>
          <w:sz w:val="30"/>
          <w:szCs w:val="30"/>
        </w:rPr>
        <w:t>35</w:t>
      </w:r>
      <w:r>
        <w:rPr>
          <w:rFonts w:hint="eastAsia" w:ascii="仿宋_GB2312" w:hAnsi="仿宋" w:eastAsia="仿宋_GB2312"/>
          <w:sz w:val="30"/>
          <w:szCs w:val="30"/>
        </w:rPr>
        <w:t>栏）应等于原值（</w:t>
      </w:r>
      <w:r>
        <w:rPr>
          <w:rFonts w:ascii="仿宋_GB2312" w:hAnsi="仿宋" w:eastAsia="仿宋_GB2312"/>
          <w:sz w:val="30"/>
          <w:szCs w:val="30"/>
        </w:rPr>
        <w:t>3</w:t>
      </w:r>
      <w:r>
        <w:rPr>
          <w:rFonts w:hint="eastAsia" w:ascii="仿宋_GB2312" w:hAnsi="仿宋" w:eastAsia="仿宋_GB2312"/>
          <w:sz w:val="30"/>
          <w:szCs w:val="30"/>
        </w:rPr>
        <w:t>3栏）减累计折旧/摊销（</w:t>
      </w:r>
      <w:r>
        <w:rPr>
          <w:rFonts w:ascii="仿宋_GB2312" w:hAnsi="仿宋" w:eastAsia="仿宋_GB2312"/>
          <w:sz w:val="30"/>
          <w:szCs w:val="30"/>
        </w:rPr>
        <w:t>34</w:t>
      </w:r>
      <w:r>
        <w:rPr>
          <w:rFonts w:hint="eastAsia" w:ascii="仿宋_GB2312" w:hAnsi="仿宋" w:eastAsia="仿宋_GB2312"/>
          <w:sz w:val="30"/>
          <w:szCs w:val="30"/>
        </w:rPr>
        <w:t>栏）。</w:t>
      </w:r>
    </w:p>
    <w:bookmarkEnd w:id="7"/>
    <w:p>
      <w:pPr>
        <w:spacing w:line="360" w:lineRule="auto"/>
        <w:ind w:firstLine="602" w:firstLineChars="200"/>
        <w:rPr>
          <w:rFonts w:hint="eastAsia" w:ascii="仿宋_GB2312" w:hAnsi="等线" w:eastAsia="仿宋_GB2312"/>
          <w:b/>
          <w:sz w:val="30"/>
          <w:szCs w:val="30"/>
        </w:rPr>
      </w:pPr>
      <w:r>
        <w:rPr>
          <w:rFonts w:hint="eastAsia" w:ascii="仿宋_GB2312" w:hAnsi="等线" w:eastAsia="仿宋_GB2312"/>
          <w:b/>
          <w:sz w:val="30"/>
          <w:szCs w:val="30"/>
        </w:rPr>
        <w:t>表间审核公式：</w:t>
      </w:r>
    </w:p>
    <w:p>
      <w:pPr>
        <w:numPr>
          <w:ilvl w:val="0"/>
          <w:numId w:val="2"/>
        </w:numPr>
        <w:adjustRightInd w:val="0"/>
        <w:snapToGrid w:val="0"/>
        <w:spacing w:line="360" w:lineRule="auto"/>
        <w:ind w:left="0" w:firstLine="600"/>
        <w:rPr>
          <w:rFonts w:hint="eastAsia" w:ascii="仿宋_GB2312" w:hAnsi="仿宋" w:eastAsia="仿宋_GB2312"/>
          <w:sz w:val="30"/>
          <w:szCs w:val="30"/>
        </w:rPr>
      </w:pPr>
      <w:bookmarkStart w:id="8" w:name="_Hlk22763427"/>
      <w:r>
        <w:rPr>
          <w:rFonts w:hint="eastAsia" w:ascii="仿宋_GB2312" w:hAnsi="仿宋" w:eastAsia="仿宋_GB2312"/>
          <w:sz w:val="30"/>
          <w:szCs w:val="30"/>
        </w:rPr>
        <w:t>“本单位房屋小计”行建筑面积合计数（</w:t>
      </w:r>
      <w:r>
        <w:rPr>
          <w:rFonts w:ascii="仿宋_GB2312" w:hAnsi="仿宋" w:eastAsia="仿宋_GB2312"/>
          <w:sz w:val="30"/>
          <w:szCs w:val="30"/>
        </w:rPr>
        <w:t>12</w:t>
      </w:r>
      <w:r>
        <w:rPr>
          <w:rFonts w:hint="eastAsia" w:ascii="仿宋_GB2312" w:hAnsi="仿宋" w:eastAsia="仿宋_GB2312"/>
          <w:sz w:val="30"/>
          <w:szCs w:val="30"/>
        </w:rPr>
        <w:t>栏）、在用（13栏）、出租出借（14栏）、闲置（15栏）、待处置（16栏）应分别等于财资03固定和无形资产存量情况表中房屋的期末账面合计数、在用数量、出租出借数量、闲置数量、待处置数量之和（</w:t>
      </w:r>
      <w:r>
        <w:rPr>
          <w:rFonts w:ascii="仿宋_GB2312" w:hAnsi="仿宋" w:eastAsia="仿宋_GB2312"/>
          <w:sz w:val="30"/>
          <w:szCs w:val="30"/>
        </w:rPr>
        <w:t>5</w:t>
      </w:r>
      <w:r>
        <w:rPr>
          <w:rFonts w:hint="eastAsia" w:ascii="仿宋_GB2312" w:hAnsi="仿宋" w:eastAsia="仿宋_GB2312"/>
          <w:sz w:val="30"/>
          <w:szCs w:val="30"/>
        </w:rPr>
        <w:t>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“本单位房屋小计”行建筑面积办公用房小计数（</w:t>
      </w:r>
      <w:r>
        <w:rPr>
          <w:rFonts w:ascii="仿宋_GB2312" w:hAnsi="仿宋" w:eastAsia="仿宋_GB2312"/>
          <w:sz w:val="30"/>
          <w:szCs w:val="30"/>
        </w:rPr>
        <w:t>1</w:t>
      </w:r>
      <w:r>
        <w:rPr>
          <w:rFonts w:hint="eastAsia" w:ascii="仿宋_GB2312" w:hAnsi="仿宋" w:eastAsia="仿宋_GB2312"/>
          <w:sz w:val="30"/>
          <w:szCs w:val="30"/>
        </w:rPr>
        <w:t>7栏）、在用（18栏）、出租出借（19栏）、闲置（20栏）、待处置（21栏）应分别等于财资03固定和无形资产存量情况表中办公用房的期末账面合计数、在用数量、出租出借数量、闲置数量、待处置数量之和（6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“本单位房屋小计”行本单位实际使用办公室用房（使用面积）（22栏）应等于财资03固定和无形资产存量情况表中本单位实际使用办公用房的期末账面数合计数（</w:t>
      </w:r>
      <w:r>
        <w:rPr>
          <w:rFonts w:ascii="仿宋_GB2312" w:hAnsi="仿宋" w:eastAsia="仿宋_GB2312"/>
          <w:sz w:val="30"/>
          <w:szCs w:val="30"/>
        </w:rPr>
        <w:t>7</w:t>
      </w:r>
      <w:r>
        <w:rPr>
          <w:rFonts w:hint="eastAsia" w:ascii="仿宋_GB2312" w:hAnsi="仿宋" w:eastAsia="仿宋_GB2312"/>
          <w:sz w:val="30"/>
          <w:szCs w:val="30"/>
        </w:rPr>
        <w:t>行5栏）；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建筑面积业务用房小计数（23栏）、在用（24栏）、出租出借（25栏）、闲置（26栏）、待处置（27栏）应分别等于财资03固定和无形资产存量情况表中业务用房的期末账面合计数、在用数量、出租出借数量、闲置数量、待处置数量之和（8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建筑面积其他用房小计数（28栏）、在用（29栏）、出租出借（30栏）、闲置（31栏）、待处置（32栏）应分别等于财资03固定和无形资产存量情况表中其他用房的期末账面合计数、在用数量、出租出借数量、闲置数量、待处置数量之和（9行5、9、13、17、25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“本单位房屋小计”行价值栏的原值、累计折旧、净值（33</w:t>
      </w:r>
      <w:r>
        <w:rPr>
          <w:rFonts w:ascii="华文中宋" w:hAnsi="华文中宋" w:eastAsia="华文中宋"/>
          <w:sz w:val="30"/>
          <w:szCs w:val="30"/>
        </w:rPr>
        <w:t>~</w:t>
      </w:r>
      <w:r>
        <w:rPr>
          <w:rFonts w:hint="eastAsia" w:ascii="仿宋_GB2312" w:hAnsi="仿宋" w:eastAsia="仿宋_GB2312"/>
          <w:sz w:val="30"/>
          <w:szCs w:val="30"/>
        </w:rPr>
        <w:t>35栏）应等于财资03固定和无形资产存量情况表中房屋的期末账面数原值、累计折旧、净值（</w:t>
      </w:r>
      <w:r>
        <w:rPr>
          <w:rFonts w:ascii="仿宋_GB2312" w:hAnsi="仿宋" w:eastAsia="仿宋_GB2312"/>
          <w:sz w:val="30"/>
          <w:szCs w:val="30"/>
        </w:rPr>
        <w:t>5</w:t>
      </w:r>
      <w:r>
        <w:rPr>
          <w:rFonts w:hint="eastAsia" w:ascii="仿宋_GB2312" w:hAnsi="仿宋" w:eastAsia="仿宋_GB2312"/>
          <w:sz w:val="30"/>
          <w:szCs w:val="30"/>
        </w:rPr>
        <w:t>行6</w:t>
      </w:r>
      <w:r>
        <w:rPr>
          <w:rFonts w:ascii="华文中宋" w:hAnsi="华文中宋" w:eastAsia="华文中宋"/>
          <w:sz w:val="30"/>
          <w:szCs w:val="30"/>
        </w:rPr>
        <w:t>~</w:t>
      </w:r>
      <w:r>
        <w:rPr>
          <w:rFonts w:hint="eastAsia" w:ascii="仿宋_GB2312" w:hAnsi="仿宋" w:eastAsia="仿宋_GB2312"/>
          <w:sz w:val="30"/>
          <w:szCs w:val="30"/>
        </w:rPr>
        <w:t>8栏）；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“已投入使用的在建工程未转固房屋小计”的期末账面数建筑面积小计（</w:t>
      </w:r>
      <w:r>
        <w:rPr>
          <w:rFonts w:ascii="仿宋_GB2312" w:hAnsi="仿宋" w:eastAsia="仿宋_GB2312"/>
          <w:sz w:val="30"/>
          <w:szCs w:val="30"/>
        </w:rPr>
        <w:t>12</w:t>
      </w:r>
      <w:r>
        <w:rPr>
          <w:rFonts w:hint="eastAsia" w:ascii="仿宋_GB2312" w:hAnsi="仿宋" w:eastAsia="仿宋_GB2312"/>
          <w:sz w:val="30"/>
          <w:szCs w:val="30"/>
        </w:rPr>
        <w:t>栏）应小于等于财资0</w:t>
      </w:r>
      <w:r>
        <w:rPr>
          <w:rFonts w:ascii="仿宋_GB2312" w:hAnsi="仿宋" w:eastAsia="仿宋_GB2312"/>
          <w:sz w:val="30"/>
          <w:szCs w:val="30"/>
        </w:rPr>
        <w:t>7</w:t>
      </w:r>
      <w:r>
        <w:rPr>
          <w:rFonts w:hint="eastAsia" w:ascii="仿宋_GB2312" w:hAnsi="仿宋" w:eastAsia="仿宋_GB2312"/>
          <w:sz w:val="30"/>
          <w:szCs w:val="30"/>
        </w:rPr>
        <w:t>表项目类型为“房屋类在建工程项目”的已投入使用未转固房屋类在建工程建筑面积合计数（12栏）；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当财资02表机构人员情况表中在职及其他人员年末实有人数（2行+9行 2栏）不为0时，房屋情况表的期末账面数建筑面积（12栏）合计不得为0。</w:t>
      </w:r>
    </w:p>
    <w:bookmarkEnd w:id="8"/>
    <w:p>
      <w:pPr>
        <w:spacing w:line="360" w:lineRule="auto"/>
        <w:ind w:firstLine="602" w:firstLineChars="200"/>
        <w:rPr>
          <w:rFonts w:hint="eastAsia" w:ascii="仿宋_GB2312" w:hAnsi="等线" w:eastAsia="仿宋_GB2312"/>
          <w:b/>
          <w:sz w:val="30"/>
          <w:szCs w:val="30"/>
        </w:rPr>
      </w:pPr>
      <w:r>
        <w:rPr>
          <w:rFonts w:hint="eastAsia" w:ascii="仿宋_GB2312" w:hAnsi="等线"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（有错修改，无错说明）：当房屋权属证明选择“</w:t>
      </w:r>
      <w:r>
        <w:rPr>
          <w:rFonts w:hint="eastAsia" w:ascii="仿宋_GB2312" w:eastAsia="仿宋_GB2312"/>
          <w:sz w:val="30"/>
          <w:szCs w:val="30"/>
        </w:rPr>
        <w:t>不动产权证、</w:t>
      </w:r>
      <w:r>
        <w:rPr>
          <w:rFonts w:hint="eastAsia" w:ascii="仿宋_GB2312" w:hAnsi="仿宋" w:eastAsia="仿宋_GB2312"/>
          <w:sz w:val="30"/>
          <w:szCs w:val="30"/>
        </w:rPr>
        <w:t>房屋所有权证、有</w:t>
      </w:r>
      <w:r>
        <w:rPr>
          <w:rFonts w:hint="eastAsia" w:ascii="仿宋_GB2312" w:eastAsia="仿宋_GB2312"/>
          <w:sz w:val="30"/>
          <w:szCs w:val="30"/>
        </w:rPr>
        <w:t>房屋权属批准文件</w:t>
      </w:r>
      <w:r>
        <w:rPr>
          <w:rFonts w:hint="eastAsia" w:ascii="仿宋_GB2312" w:hAnsi="仿宋" w:eastAsia="仿宋_GB2312"/>
          <w:sz w:val="30"/>
          <w:szCs w:val="30"/>
        </w:rPr>
        <w:t>”时，权属面积、账面面积两者不一致，即</w:t>
      </w:r>
      <w:r>
        <w:rPr>
          <w:rFonts w:ascii="仿宋_GB2312" w:hAnsi="仿宋" w:eastAsia="仿宋_GB2312"/>
          <w:sz w:val="30"/>
          <w:szCs w:val="30"/>
        </w:rPr>
        <w:t>10</w:t>
      </w:r>
      <w:r>
        <w:rPr>
          <w:rFonts w:hint="eastAsia" w:ascii="仿宋_GB2312" w:hAnsi="仿宋" w:eastAsia="仿宋_GB2312"/>
          <w:sz w:val="30"/>
          <w:szCs w:val="30"/>
        </w:rPr>
        <w:t>栏≠1</w:t>
      </w:r>
      <w:r>
        <w:rPr>
          <w:rFonts w:ascii="仿宋_GB2312" w:hAnsi="仿宋" w:eastAsia="仿宋_GB2312"/>
          <w:sz w:val="30"/>
          <w:szCs w:val="30"/>
        </w:rPr>
        <w:t>2</w:t>
      </w:r>
      <w:r>
        <w:rPr>
          <w:rFonts w:hint="eastAsia" w:ascii="仿宋_GB2312" w:hAnsi="仿宋" w:eastAsia="仿宋_GB2312"/>
          <w:sz w:val="30"/>
          <w:szCs w:val="30"/>
        </w:rPr>
        <w:t>栏，提示核实性错误，需结合实际情况修改或填写情况说明；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（有错修改，无错说明）：当单位未填写办公用房情况，即“合计行”1</w:t>
      </w:r>
      <w:r>
        <w:rPr>
          <w:rFonts w:ascii="仿宋_GB2312" w:hAnsi="仿宋" w:eastAsia="仿宋_GB2312"/>
          <w:sz w:val="30"/>
          <w:szCs w:val="30"/>
        </w:rPr>
        <w:t>7</w:t>
      </w:r>
      <w:r>
        <w:rPr>
          <w:rFonts w:hint="eastAsia" w:ascii="仿宋_GB2312" w:hAnsi="仿宋" w:eastAsia="仿宋_GB2312"/>
          <w:sz w:val="30"/>
          <w:szCs w:val="30"/>
        </w:rPr>
        <w:t>栏=0时，提示核实性错误，需结合实际情况修改或填写情况说明；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（有错修改，无错说明）：对人均占有本单位实际使用的办公室用房面积过高或过低的异常情况，即：当本单位实际使用办公室用房（使用面积）（2</w:t>
      </w:r>
      <w:r>
        <w:rPr>
          <w:rFonts w:ascii="仿宋_GB2312" w:hAnsi="仿宋" w:eastAsia="仿宋_GB2312"/>
          <w:sz w:val="30"/>
          <w:szCs w:val="30"/>
        </w:rPr>
        <w:t>2</w:t>
      </w:r>
      <w:r>
        <w:rPr>
          <w:rFonts w:hint="eastAsia" w:ascii="仿宋_GB2312" w:hAnsi="仿宋" w:eastAsia="仿宋_GB2312"/>
          <w:sz w:val="30"/>
          <w:szCs w:val="30"/>
        </w:rPr>
        <w:t>栏）除以财资02机构人员情况表在职及其他年末实有人数（2行+9行 2栏）大于30平方米或小于3平方米时，提示核实性错误，需结合实际情况修改或填写情况说明；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（有错修改，无错说明）：人均占用办公用房面积超过参考值100平方米，即：当办公用房面积小计（1</w:t>
      </w:r>
      <w:r>
        <w:rPr>
          <w:rFonts w:ascii="仿宋_GB2312" w:hAnsi="仿宋" w:eastAsia="仿宋_GB2312"/>
          <w:sz w:val="30"/>
          <w:szCs w:val="30"/>
        </w:rPr>
        <w:t>7</w:t>
      </w:r>
      <w:r>
        <w:rPr>
          <w:rFonts w:hint="eastAsia" w:ascii="仿宋_GB2312" w:hAnsi="仿宋" w:eastAsia="仿宋_GB2312"/>
          <w:sz w:val="30"/>
          <w:szCs w:val="30"/>
        </w:rPr>
        <w:t>栏）除以财资02机构人员情况表在职及其他年末实有人数（2行+9行 2栏）大于100</w:t>
      </w:r>
      <w:r>
        <w:rPr>
          <w:rFonts w:ascii="仿宋_GB2312" w:hAnsi="仿宋" w:eastAsia="仿宋_GB2312"/>
          <w:sz w:val="30"/>
          <w:szCs w:val="30"/>
        </w:rPr>
        <w:t>平方米</w:t>
      </w:r>
      <w:r>
        <w:rPr>
          <w:rFonts w:hint="eastAsia" w:ascii="仿宋_GB2312" w:hAnsi="仿宋" w:eastAsia="仿宋_GB2312"/>
          <w:sz w:val="30"/>
          <w:szCs w:val="30"/>
        </w:rPr>
        <w:t>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（有错修改，无错说明）：当使用其他单位房屋、已投入使用的在建工程未转固房屋、本单位房屋浮动行期末账面数建筑面积小计（</w:t>
      </w:r>
      <w:r>
        <w:rPr>
          <w:rFonts w:ascii="仿宋_GB2312" w:hAnsi="仿宋" w:eastAsia="仿宋_GB2312"/>
          <w:sz w:val="30"/>
          <w:szCs w:val="30"/>
        </w:rPr>
        <w:t>12</w:t>
      </w:r>
      <w:r>
        <w:rPr>
          <w:rFonts w:hint="eastAsia" w:ascii="仿宋_GB2312" w:hAnsi="仿宋" w:eastAsia="仿宋_GB2312"/>
          <w:sz w:val="30"/>
          <w:szCs w:val="30"/>
        </w:rPr>
        <w:t>栏）小于1时，提示核实性错误，需结合实际情况修改或填写情况说明；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若已投入使用的在建工程未转固房屋小计（12栏）大于0，则财资07表在建工程情况表浮动行4栏工程建设情况为“已投入使用”且</w:t>
      </w:r>
      <w:bookmarkStart w:id="9" w:name="_Hlk214633271"/>
      <w:r>
        <w:rPr>
          <w:rFonts w:hint="eastAsia" w:ascii="仿宋_GB2312" w:hAnsi="仿宋" w:eastAsia="仿宋_GB2312"/>
          <w:sz w:val="30"/>
          <w:szCs w:val="30"/>
        </w:rPr>
        <w:t>项目类型为“房屋类在建工程项目”的已投入使用未转固房屋类在建工程建筑面积合计数（12栏）</w:t>
      </w:r>
      <w:bookmarkEnd w:id="9"/>
      <w:r>
        <w:rPr>
          <w:rFonts w:hint="eastAsia" w:ascii="仿宋_GB2312" w:hAnsi="仿宋" w:eastAsia="仿宋_GB2312"/>
          <w:sz w:val="30"/>
          <w:szCs w:val="30"/>
        </w:rPr>
        <w:t>应大于等于已投入使用的在建工程未转固房屋小计（12栏），否则，需结合实际情况修改或填写情况说明；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当房屋期末账面数原值（33栏）为1时（以名义价值记账），提示核实性错误，需结合实际情况修改或填写情况说明。</w:t>
      </w:r>
    </w:p>
    <w:p>
      <w:pPr>
        <w:pStyle w:val="2"/>
        <w:rPr>
          <w:rFonts w:hint="eastAsia"/>
          <w:b/>
          <w:color w:val="auto"/>
        </w:rPr>
      </w:pPr>
      <w:r>
        <w:rPr>
          <w:rFonts w:hint="eastAsia"/>
          <w:color w:val="auto"/>
        </w:rPr>
        <w:t>（七）车辆情况表（财资0</w:t>
      </w:r>
      <w:r>
        <w:rPr>
          <w:color w:val="auto"/>
        </w:rPr>
        <w:t>6</w:t>
      </w:r>
      <w:r>
        <w:rPr>
          <w:rFonts w:hint="eastAsia"/>
          <w:color w:val="auto"/>
        </w:rPr>
        <w:t>表）</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本表反映行政事业单位年末占有使用的机动车辆（不含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、电动自行车、轮椅车以及其他非机动车辆等）的明细情况，其中账面数取自资产模块相关车辆数据。</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主要</w:t>
      </w:r>
      <w:r>
        <w:rPr>
          <w:rFonts w:ascii="仿宋_GB2312" w:hAnsi="仿宋" w:eastAsia="仿宋_GB2312"/>
          <w:b/>
          <w:sz w:val="30"/>
          <w:szCs w:val="30"/>
        </w:rPr>
        <w:t>指标说明：</w:t>
      </w:r>
    </w:p>
    <w:p>
      <w:pPr>
        <w:snapToGrid w:val="0"/>
        <w:spacing w:line="360" w:lineRule="auto"/>
        <w:ind w:firstLine="600" w:firstLineChars="200"/>
      </w:pPr>
      <w:r>
        <w:rPr>
          <w:rFonts w:hint="eastAsia" w:ascii="仿宋_GB2312" w:hAnsi="仿宋" w:eastAsia="仿宋_GB2312"/>
          <w:sz w:val="30"/>
          <w:szCs w:val="30"/>
        </w:rPr>
        <w:t>1</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编制情况：根据车改情况填列“在编”、“不在编”、“未核定车编”。事业单位车改保留车辆选择“在编”，尚未完成公车改革单位选择“未核定车编”。</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排气量：按“</w:t>
      </w:r>
      <w:r>
        <w:rPr>
          <w:rFonts w:ascii="仿宋_GB2312" w:hAnsi="仿宋" w:eastAsia="仿宋_GB2312"/>
          <w:sz w:val="30"/>
          <w:szCs w:val="30"/>
        </w:rPr>
        <w:t>1.6（含）升以下”、“1.6-1.8（含）升”、“2.0（含）-2.5升”、“2.5（含）升以上”、“</w:t>
      </w:r>
      <w:r>
        <w:rPr>
          <w:rFonts w:hint="eastAsia" w:ascii="仿宋_GB2312" w:hAnsi="仿宋" w:eastAsia="仿宋_GB2312"/>
          <w:sz w:val="30"/>
          <w:szCs w:val="30"/>
        </w:rPr>
        <w:t>新能源</w:t>
      </w:r>
      <w:r>
        <w:rPr>
          <w:rFonts w:ascii="仿宋_GB2312" w:hAnsi="仿宋" w:eastAsia="仿宋_GB2312"/>
          <w:sz w:val="30"/>
          <w:szCs w:val="30"/>
        </w:rPr>
        <w:t>”</w:t>
      </w:r>
      <w:r>
        <w:rPr>
          <w:rFonts w:hint="eastAsia" w:ascii="仿宋_GB2312" w:hAnsi="仿宋" w:eastAsia="仿宋_GB2312"/>
          <w:sz w:val="30"/>
          <w:szCs w:val="30"/>
        </w:rPr>
        <w:t>、</w:t>
      </w:r>
      <w:r>
        <w:rPr>
          <w:rFonts w:ascii="仿宋_GB2312" w:hAnsi="仿宋" w:eastAsia="仿宋_GB2312"/>
          <w:sz w:val="30"/>
          <w:szCs w:val="30"/>
        </w:rPr>
        <w:t>“</w:t>
      </w:r>
      <w:r>
        <w:rPr>
          <w:rFonts w:hint="eastAsia" w:ascii="仿宋_GB2312" w:hAnsi="仿宋" w:eastAsia="仿宋_GB2312"/>
          <w:sz w:val="30"/>
          <w:szCs w:val="30"/>
        </w:rPr>
        <w:t>柴油车</w:t>
      </w:r>
      <w:r>
        <w:rPr>
          <w:rFonts w:ascii="仿宋_GB2312" w:hAnsi="仿宋" w:eastAsia="仿宋_GB2312"/>
          <w:sz w:val="30"/>
          <w:szCs w:val="30"/>
        </w:rPr>
        <w:t>”</w:t>
      </w:r>
      <w:r>
        <w:rPr>
          <w:rFonts w:hint="eastAsia" w:ascii="仿宋_GB2312" w:hAnsi="仿宋" w:eastAsia="仿宋_GB2312"/>
          <w:sz w:val="30"/>
          <w:szCs w:val="30"/>
        </w:rPr>
        <w:t>选择</w:t>
      </w:r>
      <w:r>
        <w:rPr>
          <w:rFonts w:ascii="仿宋_GB2312" w:hAnsi="仿宋" w:eastAsia="仿宋_GB2312"/>
          <w:sz w:val="30"/>
          <w:szCs w:val="30"/>
        </w:rPr>
        <w:t>填列</w:t>
      </w:r>
      <w:r>
        <w:rPr>
          <w:rFonts w:hint="eastAsia" w:ascii="仿宋_GB2312" w:hAnsi="仿宋" w:eastAsia="仿宋_GB2312"/>
          <w:sz w:val="30"/>
          <w:szCs w:val="30"/>
        </w:rPr>
        <w:t>。</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车辆行驶证：根据卡片机动车辆行驶证取得情况填列“有”或“无”，</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车辆行驶证</w:t>
      </w:r>
      <w:r>
        <w:rPr>
          <w:rFonts w:hint="eastAsia" w:ascii="仿宋_GB2312" w:eastAsia="仿宋_GB2312"/>
          <w:sz w:val="30"/>
          <w:szCs w:val="30"/>
        </w:rPr>
        <w:t>”数据</w:t>
      </w:r>
      <w:r>
        <w:rPr>
          <w:rFonts w:hint="eastAsia" w:ascii="仿宋_GB2312" w:hAnsi="仿宋" w:eastAsia="仿宋_GB2312"/>
          <w:sz w:val="30"/>
          <w:szCs w:val="30"/>
        </w:rPr>
        <w:t>。</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持证人：根据卡片机动车辆行驶证上的所有人自动提取“本单位”或“非本单位”；若选择“非本单位”则需在“备注”栏中填写实际持证人名称。</w:t>
      </w:r>
    </w:p>
    <w:p>
      <w:pPr>
        <w:spacing w:line="360" w:lineRule="auto"/>
        <w:ind w:firstLine="576" w:firstLineChars="192"/>
        <w:rPr>
          <w:rFonts w:hint="eastAsia"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注册日期：</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w:t>
      </w:r>
      <w:r>
        <w:rPr>
          <w:rFonts w:ascii="仿宋_GB2312" w:hAnsi="仿宋" w:eastAsia="仿宋_GB2312"/>
          <w:sz w:val="30"/>
          <w:szCs w:val="30"/>
        </w:rPr>
        <w:t>登记日期</w:t>
      </w:r>
      <w:r>
        <w:rPr>
          <w:rFonts w:hint="eastAsia" w:ascii="仿宋_GB2312" w:hAnsi="仿宋" w:eastAsia="仿宋_GB2312"/>
          <w:sz w:val="30"/>
          <w:szCs w:val="30"/>
        </w:rPr>
        <w:t>。</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注册登记日期</w:t>
      </w:r>
      <w:r>
        <w:rPr>
          <w:rFonts w:hint="eastAsia" w:ascii="仿宋_GB2312" w:eastAsia="仿宋_GB2312"/>
          <w:sz w:val="30"/>
          <w:szCs w:val="30"/>
        </w:rPr>
        <w:t>”数据</w:t>
      </w:r>
      <w:r>
        <w:rPr>
          <w:rFonts w:hint="eastAsia" w:ascii="仿宋_GB2312" w:hAnsi="仿宋" w:eastAsia="仿宋_GB2312"/>
          <w:sz w:val="30"/>
          <w:szCs w:val="30"/>
        </w:rPr>
        <w:t>。</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车牌类型：根据车牌颜色填写，分为蓝牌、绿牌、黄牌、白牌、黑牌、无。</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车牌号：</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的车牌号码。</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车牌号</w:t>
      </w:r>
      <w:r>
        <w:rPr>
          <w:rFonts w:hint="eastAsia" w:ascii="仿宋_GB2312" w:eastAsia="仿宋_GB2312"/>
          <w:sz w:val="30"/>
          <w:szCs w:val="30"/>
        </w:rPr>
        <w:t>”数据</w:t>
      </w:r>
      <w:r>
        <w:rPr>
          <w:rFonts w:hint="eastAsia" w:ascii="仿宋_GB2312" w:hAnsi="仿宋" w:eastAsia="仿宋_GB2312"/>
          <w:sz w:val="30"/>
          <w:szCs w:val="30"/>
        </w:rPr>
        <w:t>。</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使用状况：选择填列“在用”、“出租出借”、“闲置”或“</w:t>
      </w:r>
      <w:r>
        <w:rPr>
          <w:rFonts w:hint="eastAsia" w:ascii="仿宋_GB2312" w:eastAsia="仿宋_GB2312"/>
          <w:sz w:val="30"/>
          <w:szCs w:val="30"/>
        </w:rPr>
        <w:t>待处置（待报废、毁损等）</w:t>
      </w:r>
      <w:r>
        <w:rPr>
          <w:rFonts w:hint="eastAsia" w:ascii="仿宋_GB2312" w:hAnsi="仿宋" w:eastAsia="仿宋_GB2312"/>
          <w:sz w:val="30"/>
          <w:szCs w:val="30"/>
        </w:rPr>
        <w:t>”</w:t>
      </w:r>
      <w:r>
        <w:rPr>
          <w:rFonts w:ascii="仿宋_GB2312" w:hAnsi="仿宋" w:eastAsia="仿宋_GB2312"/>
          <w:sz w:val="30"/>
          <w:szCs w:val="30"/>
        </w:rPr>
        <w:t>，</w:t>
      </w:r>
      <w:r>
        <w:rPr>
          <w:rFonts w:hint="eastAsia" w:ascii="仿宋_GB2312" w:hAnsi="仿宋" w:eastAsia="仿宋_GB2312"/>
          <w:sz w:val="30"/>
          <w:szCs w:val="30"/>
        </w:rPr>
        <w:t>单位</w:t>
      </w:r>
      <w:r>
        <w:rPr>
          <w:rFonts w:ascii="仿宋_GB2312" w:hAnsi="仿宋" w:eastAsia="仿宋_GB2312"/>
          <w:sz w:val="30"/>
          <w:szCs w:val="30"/>
        </w:rPr>
        <w:t>应</w:t>
      </w:r>
      <w:r>
        <w:rPr>
          <w:rFonts w:hint="eastAsia" w:ascii="仿宋_GB2312" w:hAnsi="仿宋" w:eastAsia="仿宋_GB2312"/>
          <w:sz w:val="30"/>
          <w:szCs w:val="30"/>
        </w:rPr>
        <w:t>按照年末实际使用状况选择</w:t>
      </w:r>
      <w:r>
        <w:rPr>
          <w:rFonts w:ascii="仿宋_GB2312" w:hAnsi="仿宋" w:eastAsia="仿宋_GB2312"/>
          <w:sz w:val="30"/>
          <w:szCs w:val="30"/>
        </w:rPr>
        <w:t>填列</w:t>
      </w:r>
      <w:r>
        <w:rPr>
          <w:rFonts w:hint="eastAsia" w:ascii="仿宋_GB2312" w:hAnsi="仿宋" w:eastAsia="仿宋_GB2312"/>
          <w:sz w:val="30"/>
          <w:szCs w:val="30"/>
        </w:rPr>
        <w:t>。针对公车改革情况为取消待处置的车辆，使用状况选择“</w:t>
      </w:r>
      <w:r>
        <w:rPr>
          <w:rFonts w:hint="eastAsia" w:ascii="仿宋_GB2312" w:eastAsia="仿宋_GB2312"/>
          <w:sz w:val="30"/>
          <w:szCs w:val="30"/>
        </w:rPr>
        <w:t>待处置（待报废、毁损等）</w:t>
      </w:r>
      <w:r>
        <w:rPr>
          <w:rFonts w:hint="eastAsia" w:ascii="仿宋_GB2312" w:hAnsi="仿宋" w:eastAsia="仿宋_GB2312"/>
          <w:sz w:val="30"/>
          <w:szCs w:val="30"/>
        </w:rPr>
        <w:t>”。</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9.闲置开始时间：非房屋类：当前资产状态为闲置的资产，其最近一次业务变动的时间。房屋类：当前闲置面积不为0，且业务变动中闲置面积持续大于当前闲置面积的最早时间。</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车辆用途：单位应按照年末实际车辆用途选择填列。车改方案未批复的，按实际车辆用途对照最新车辆用途分类填写，无对应分类的填写到“其他用车”，如主要负责人用车、事业单位业务用车等。</w:t>
      </w:r>
    </w:p>
    <w:p>
      <w:pPr>
        <w:snapToGrid w:val="0"/>
        <w:spacing w:before="120" w:beforeLines="50"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执法执勤用车是否喷涂标识：执法执勤用车是否按规定喷涂标识，如未喷涂，需说明原因。</w:t>
      </w:r>
    </w:p>
    <w:p>
      <w:pPr>
        <w:snapToGrid w:val="0"/>
        <w:spacing w:before="120" w:beforeLines="50"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12.车辆累计里程（公里）：截至2025年12月31日车辆实际行驶累计里程。</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其他指标数据由资产模块从车辆卡片对应字段中自动提取。</w:t>
      </w:r>
    </w:p>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资产分类、资产编号、资产名称、编制情况、规格型号、排气量、取得方式、取得日期、车辆行驶证 、原值、累计折旧、净值、使用状况、车辆用途（</w:t>
      </w:r>
      <w:r>
        <w:rPr>
          <w:rFonts w:ascii="仿宋_GB2312" w:eastAsia="仿宋_GB2312"/>
          <w:sz w:val="30"/>
          <w:szCs w:val="30"/>
        </w:rPr>
        <w:t>1</w:t>
      </w:r>
      <w:r>
        <w:rPr>
          <w:rFonts w:ascii="华文中宋" w:hAnsi="华文中宋" w:eastAsia="华文中宋"/>
          <w:sz w:val="30"/>
          <w:szCs w:val="30"/>
        </w:rPr>
        <w:t>~</w:t>
      </w:r>
      <w:r>
        <w:rPr>
          <w:rFonts w:hint="eastAsia" w:ascii="仿宋_GB2312" w:eastAsia="仿宋_GB2312"/>
          <w:sz w:val="30"/>
          <w:szCs w:val="30"/>
        </w:rPr>
        <w:t>9、</w:t>
      </w:r>
      <w:r>
        <w:rPr>
          <w:rFonts w:ascii="仿宋_GB2312" w:eastAsia="仿宋_GB2312"/>
          <w:sz w:val="30"/>
          <w:szCs w:val="30"/>
        </w:rPr>
        <w:t>1</w:t>
      </w:r>
      <w:r>
        <w:rPr>
          <w:rFonts w:hint="eastAsia" w:ascii="仿宋_GB2312" w:eastAsia="仿宋_GB2312"/>
          <w:sz w:val="30"/>
          <w:szCs w:val="30"/>
        </w:rPr>
        <w:t>4</w:t>
      </w:r>
      <w:r>
        <w:rPr>
          <w:rFonts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7、19栏）不能为空；</w:t>
      </w:r>
    </w:p>
    <w:p>
      <w:pPr>
        <w:numPr>
          <w:ilvl w:val="0"/>
          <w:numId w:val="4"/>
        </w:numPr>
        <w:spacing w:line="360" w:lineRule="auto"/>
        <w:rPr>
          <w:rFonts w:ascii="仿宋_GB2312" w:eastAsia="仿宋_GB2312"/>
          <w:sz w:val="30"/>
          <w:szCs w:val="30"/>
        </w:rPr>
      </w:pPr>
      <w:r>
        <w:rPr>
          <w:rFonts w:hint="eastAsia" w:ascii="仿宋_GB2312" w:hAnsi="仿宋" w:eastAsia="仿宋_GB2312"/>
          <w:sz w:val="30"/>
          <w:szCs w:val="30"/>
        </w:rPr>
        <w:t>当编制情况（4栏）选择“不在编”时，备注（22栏）必填；</w:t>
      </w:r>
    </w:p>
    <w:p>
      <w:pPr>
        <w:numPr>
          <w:ilvl w:val="0"/>
          <w:numId w:val="4"/>
        </w:numPr>
        <w:spacing w:line="360" w:lineRule="auto"/>
        <w:rPr>
          <w:rFonts w:ascii="仿宋_GB2312" w:eastAsia="仿宋_GB2312"/>
          <w:sz w:val="30"/>
        </w:rPr>
      </w:pPr>
      <w:r>
        <w:rPr>
          <w:rFonts w:hint="eastAsia" w:ascii="仿宋_GB2312" w:hAnsi="仿宋" w:eastAsia="仿宋_GB2312"/>
          <w:sz w:val="30"/>
          <w:szCs w:val="30"/>
        </w:rPr>
        <w:t>当车辆行驶证（</w:t>
      </w:r>
      <w:r>
        <w:rPr>
          <w:rFonts w:hint="eastAsia" w:ascii="仿宋_GB2312" w:eastAsia="仿宋_GB2312"/>
          <w:sz w:val="30"/>
          <w:szCs w:val="30"/>
        </w:rPr>
        <w:t>9</w:t>
      </w:r>
      <w:r>
        <w:rPr>
          <w:rFonts w:hint="eastAsia" w:ascii="仿宋_GB2312" w:eastAsia="仿宋_GB2312"/>
          <w:sz w:val="30"/>
        </w:rPr>
        <w:t>栏）为“有”时，持证人、注册日期、车牌类型、车牌号（</w:t>
      </w:r>
      <w:r>
        <w:rPr>
          <w:rFonts w:hint="eastAsia" w:ascii="仿宋_GB2312" w:eastAsia="仿宋_GB2312"/>
          <w:sz w:val="30"/>
          <w:szCs w:val="30"/>
        </w:rPr>
        <w:t>10-13栏）必填；</w:t>
      </w:r>
    </w:p>
    <w:p>
      <w:pPr>
        <w:numPr>
          <w:ilvl w:val="0"/>
          <w:numId w:val="4"/>
        </w:numPr>
        <w:spacing w:line="360" w:lineRule="auto"/>
        <w:rPr>
          <w:rFonts w:ascii="仿宋_GB2312" w:eastAsia="仿宋_GB2312"/>
          <w:sz w:val="30"/>
        </w:rPr>
      </w:pPr>
      <w:r>
        <w:rPr>
          <w:rFonts w:hint="eastAsia" w:ascii="仿宋_GB2312" w:hAnsi="仿宋" w:eastAsia="仿宋_GB2312"/>
          <w:sz w:val="30"/>
          <w:szCs w:val="30"/>
        </w:rPr>
        <w:t>当车辆行驶证（</w:t>
      </w:r>
      <w:r>
        <w:rPr>
          <w:rFonts w:hint="eastAsia" w:ascii="仿宋_GB2312" w:eastAsia="仿宋_GB2312"/>
          <w:sz w:val="30"/>
          <w:szCs w:val="30"/>
        </w:rPr>
        <w:t>9</w:t>
      </w:r>
      <w:r>
        <w:rPr>
          <w:rFonts w:hint="eastAsia" w:ascii="仿宋_GB2312" w:eastAsia="仿宋_GB2312"/>
          <w:sz w:val="30"/>
        </w:rPr>
        <w:t>栏）为“有”时，注册日期（</w:t>
      </w:r>
      <w:r>
        <w:rPr>
          <w:rFonts w:hint="eastAsia" w:ascii="仿宋_GB2312" w:eastAsia="仿宋_GB2312"/>
          <w:sz w:val="30"/>
          <w:szCs w:val="30"/>
        </w:rPr>
        <w:t>11</w:t>
      </w:r>
      <w:r>
        <w:rPr>
          <w:rFonts w:hint="eastAsia" w:ascii="仿宋_GB2312" w:eastAsia="仿宋_GB2312"/>
          <w:sz w:val="30"/>
        </w:rPr>
        <w:t>栏）应小于等于</w:t>
      </w:r>
      <w:r>
        <w:rPr>
          <w:rFonts w:hint="eastAsia" w:ascii="仿宋_GB2312" w:eastAsia="仿宋_GB2312"/>
          <w:sz w:val="30"/>
          <w:szCs w:val="30"/>
        </w:rPr>
        <w:t>2025年12月31日</w:t>
      </w:r>
      <w:r>
        <w:rPr>
          <w:rFonts w:hint="eastAsia" w:ascii="仿宋_GB2312" w:eastAsia="仿宋_GB2312"/>
          <w:sz w:val="30"/>
        </w:rPr>
        <w:t>；</w:t>
      </w:r>
    </w:p>
    <w:p>
      <w:pPr>
        <w:numPr>
          <w:ilvl w:val="0"/>
          <w:numId w:val="4"/>
        </w:numPr>
        <w:spacing w:line="360" w:lineRule="auto"/>
        <w:rPr>
          <w:rFonts w:ascii="仿宋_GB2312" w:eastAsia="仿宋_GB2312"/>
          <w:sz w:val="30"/>
          <w:szCs w:val="30"/>
        </w:rPr>
      </w:pPr>
      <w:r>
        <w:rPr>
          <w:rFonts w:hint="eastAsia" w:ascii="仿宋_GB2312" w:hAnsi="仿宋" w:eastAsia="仿宋_GB2312"/>
          <w:sz w:val="30"/>
          <w:szCs w:val="30"/>
        </w:rPr>
        <w:t>当车辆行驶证（</w:t>
      </w:r>
      <w:r>
        <w:rPr>
          <w:rFonts w:hint="eastAsia" w:ascii="仿宋_GB2312" w:eastAsia="仿宋_GB2312"/>
          <w:sz w:val="30"/>
          <w:szCs w:val="30"/>
        </w:rPr>
        <w:t>9</w:t>
      </w:r>
      <w:r>
        <w:rPr>
          <w:rFonts w:hint="eastAsia" w:ascii="仿宋_GB2312" w:eastAsia="仿宋_GB2312"/>
          <w:sz w:val="30"/>
        </w:rPr>
        <w:t>栏）为“无”时，持证人、注册日期、车牌类型、车牌号（</w:t>
      </w:r>
      <w:r>
        <w:rPr>
          <w:rFonts w:hint="eastAsia" w:ascii="仿宋_GB2312" w:eastAsia="仿宋_GB2312"/>
          <w:sz w:val="30"/>
          <w:szCs w:val="30"/>
        </w:rPr>
        <w:t>10-13栏）为空 ，且</w:t>
      </w:r>
      <w:r>
        <w:rPr>
          <w:rFonts w:hint="eastAsia" w:ascii="仿宋_GB2312" w:eastAsia="仿宋_GB2312"/>
          <w:sz w:val="30"/>
        </w:rPr>
        <w:t>备注（</w:t>
      </w:r>
      <w:r>
        <w:rPr>
          <w:rFonts w:ascii="仿宋_GB2312" w:eastAsia="仿宋_GB2312"/>
          <w:sz w:val="30"/>
          <w:szCs w:val="30"/>
        </w:rPr>
        <w:t>2</w:t>
      </w:r>
      <w:r>
        <w:rPr>
          <w:rFonts w:hint="eastAsia" w:ascii="仿宋_GB2312" w:eastAsia="仿宋_GB2312"/>
          <w:sz w:val="30"/>
          <w:szCs w:val="30"/>
        </w:rPr>
        <w:t>2</w:t>
      </w:r>
      <w:r>
        <w:rPr>
          <w:rFonts w:hint="eastAsia" w:ascii="仿宋_GB2312" w:eastAsia="仿宋_GB2312"/>
          <w:sz w:val="30"/>
        </w:rPr>
        <w:t>栏）必填；</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当持证人（10栏）为“非本单位”时，</w:t>
      </w:r>
      <w:r>
        <w:rPr>
          <w:rFonts w:hint="eastAsia" w:ascii="仿宋_GB2312" w:eastAsia="仿宋_GB2312"/>
          <w:sz w:val="30"/>
        </w:rPr>
        <w:t>备注（</w:t>
      </w:r>
      <w:r>
        <w:rPr>
          <w:rFonts w:ascii="仿宋_GB2312" w:eastAsia="仿宋_GB2312"/>
          <w:sz w:val="30"/>
          <w:szCs w:val="30"/>
        </w:rPr>
        <w:t>2</w:t>
      </w:r>
      <w:r>
        <w:rPr>
          <w:rFonts w:hint="eastAsia" w:ascii="仿宋_GB2312" w:eastAsia="仿宋_GB2312"/>
          <w:sz w:val="30"/>
          <w:szCs w:val="30"/>
        </w:rPr>
        <w:t>2</w:t>
      </w:r>
      <w:r>
        <w:rPr>
          <w:rFonts w:hint="eastAsia" w:ascii="仿宋_GB2312" w:eastAsia="仿宋_GB2312"/>
          <w:sz w:val="30"/>
        </w:rPr>
        <w:t>栏）必填</w:t>
      </w:r>
      <w:r>
        <w:rPr>
          <w:rFonts w:hint="eastAsia" w:ascii="仿宋_GB2312" w:eastAsia="仿宋_GB2312"/>
          <w:sz w:val="30"/>
          <w:szCs w:val="30"/>
        </w:rPr>
        <w:t>；</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净值=原值-累计折旧（</w:t>
      </w:r>
      <w:r>
        <w:rPr>
          <w:rFonts w:ascii="仿宋_GB2312" w:eastAsia="仿宋_GB2312"/>
          <w:sz w:val="30"/>
          <w:szCs w:val="30"/>
        </w:rPr>
        <w:t>1</w:t>
      </w:r>
      <w:r>
        <w:rPr>
          <w:rFonts w:hint="eastAsia" w:ascii="仿宋_GB2312" w:eastAsia="仿宋_GB2312"/>
          <w:sz w:val="30"/>
          <w:szCs w:val="30"/>
        </w:rPr>
        <w:t>6栏=14-</w:t>
      </w:r>
      <w:r>
        <w:rPr>
          <w:rFonts w:ascii="仿宋_GB2312" w:eastAsia="仿宋_GB2312"/>
          <w:sz w:val="30"/>
          <w:szCs w:val="30"/>
        </w:rPr>
        <w:t>1</w:t>
      </w:r>
      <w:r>
        <w:rPr>
          <w:rFonts w:hint="eastAsia" w:ascii="仿宋_GB2312" w:eastAsia="仿宋_GB2312"/>
          <w:sz w:val="30"/>
          <w:szCs w:val="30"/>
        </w:rPr>
        <w:t>5栏）；</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合计行的原值、累计折旧、净值、车辆累计里程（公里）（1行14</w:t>
      </w:r>
      <w:r>
        <w:rPr>
          <w:rFonts w:hint="eastAsia" w:ascii="华文中宋" w:hAnsi="华文中宋" w:eastAsia="华文中宋"/>
          <w:sz w:val="30"/>
          <w:szCs w:val="30"/>
        </w:rPr>
        <w:t>~</w:t>
      </w:r>
      <w:r>
        <w:rPr>
          <w:rFonts w:hint="eastAsia" w:ascii="仿宋_GB2312" w:eastAsia="仿宋_GB2312"/>
          <w:sz w:val="30"/>
          <w:szCs w:val="30"/>
        </w:rPr>
        <w:t>16、21栏）分别等于各浮动行对应指标（14</w:t>
      </w:r>
      <w:r>
        <w:rPr>
          <w:rFonts w:hint="eastAsia" w:ascii="华文中宋" w:hAnsi="华文中宋" w:eastAsia="华文中宋"/>
          <w:sz w:val="30"/>
          <w:szCs w:val="30"/>
        </w:rPr>
        <w:t>~</w:t>
      </w:r>
      <w:r>
        <w:rPr>
          <w:rFonts w:hint="eastAsia" w:ascii="仿宋_GB2312" w:eastAsia="仿宋_GB2312"/>
          <w:sz w:val="30"/>
          <w:szCs w:val="30"/>
        </w:rPr>
        <w:t>16、21栏）之和；</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当车辆用途（19栏）选择“其他用车”时，</w:t>
      </w:r>
      <w:r>
        <w:rPr>
          <w:rFonts w:hint="eastAsia" w:ascii="仿宋_GB2312" w:eastAsia="仿宋_GB2312"/>
          <w:sz w:val="30"/>
        </w:rPr>
        <w:t>备注（</w:t>
      </w:r>
      <w:r>
        <w:rPr>
          <w:rFonts w:ascii="仿宋_GB2312" w:eastAsia="仿宋_GB2312"/>
          <w:sz w:val="30"/>
          <w:szCs w:val="30"/>
        </w:rPr>
        <w:t>2</w:t>
      </w:r>
      <w:r>
        <w:rPr>
          <w:rFonts w:hint="eastAsia" w:ascii="仿宋_GB2312" w:eastAsia="仿宋_GB2312"/>
          <w:sz w:val="30"/>
          <w:szCs w:val="30"/>
        </w:rPr>
        <w:t>2</w:t>
      </w:r>
      <w:r>
        <w:rPr>
          <w:rFonts w:hint="eastAsia" w:ascii="仿宋_GB2312" w:eastAsia="仿宋_GB2312"/>
          <w:sz w:val="30"/>
        </w:rPr>
        <w:t>栏）必填</w:t>
      </w:r>
      <w:r>
        <w:rPr>
          <w:rFonts w:hint="eastAsia" w:ascii="仿宋_GB2312" w:eastAsia="仿宋_GB2312"/>
          <w:sz w:val="30"/>
          <w:szCs w:val="30"/>
        </w:rPr>
        <w:t>；</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原值、累计折旧、净值、车辆累计里程（公里）（14</w:t>
      </w:r>
      <w:r>
        <w:rPr>
          <w:rFonts w:hint="eastAsia" w:ascii="华文中宋" w:hAnsi="华文中宋" w:eastAsia="华文中宋"/>
          <w:sz w:val="30"/>
          <w:szCs w:val="30"/>
        </w:rPr>
        <w:t>~</w:t>
      </w:r>
      <w:r>
        <w:rPr>
          <w:rFonts w:hint="eastAsia" w:ascii="仿宋_GB2312" w:eastAsia="仿宋_GB2312"/>
          <w:sz w:val="30"/>
          <w:szCs w:val="30"/>
        </w:rPr>
        <w:t>16、21栏）均应大于等于0；</w:t>
      </w:r>
    </w:p>
    <w:p>
      <w:pPr>
        <w:numPr>
          <w:ilvl w:val="0"/>
          <w:numId w:val="4"/>
        </w:numPr>
        <w:spacing w:line="360" w:lineRule="auto"/>
        <w:rPr>
          <w:rFonts w:ascii="仿宋_GB2312" w:eastAsia="仿宋_GB2312"/>
          <w:sz w:val="30"/>
          <w:szCs w:val="30"/>
        </w:rPr>
      </w:pPr>
      <w:r>
        <w:rPr>
          <w:rFonts w:hint="eastAsia" w:ascii="仿宋_GB2312" w:eastAsia="仿宋_GB2312"/>
          <w:sz w:val="30"/>
          <w:szCs w:val="30"/>
        </w:rPr>
        <w:t>同车牌类型的车牌号不可重复，校验唯一性；</w:t>
      </w:r>
    </w:p>
    <w:p>
      <w:pPr>
        <w:numPr>
          <w:ilvl w:val="0"/>
          <w:numId w:val="4"/>
        </w:numPr>
        <w:spacing w:line="360" w:lineRule="auto"/>
        <w:ind w:firstLine="600" w:firstLineChars="200"/>
        <w:rPr>
          <w:rFonts w:hint="eastAsia" w:ascii="仿宋_GB2312" w:hAnsi="仿宋" w:eastAsia="仿宋_GB2312"/>
          <w:sz w:val="30"/>
          <w:szCs w:val="30"/>
        </w:rPr>
      </w:pPr>
      <w:r>
        <w:rPr>
          <w:rFonts w:hint="eastAsia" w:ascii="仿宋_GB2312" w:eastAsia="仿宋_GB2312"/>
          <w:sz w:val="30"/>
          <w:szCs w:val="30"/>
        </w:rPr>
        <w:t>当车辆用途（19栏）</w:t>
      </w:r>
      <w:r>
        <w:rPr>
          <w:rFonts w:hint="eastAsia" w:ascii="仿宋_GB2312" w:hAnsi="仿宋" w:eastAsia="仿宋_GB2312"/>
          <w:sz w:val="30"/>
          <w:szCs w:val="30"/>
        </w:rPr>
        <w:t>选择“执法执勤用车”时，执法执勤用车是否喷涂标识（20</w:t>
      </w:r>
      <w:r>
        <w:rPr>
          <w:rFonts w:ascii="仿宋_GB2312" w:hAnsi="仿宋" w:eastAsia="仿宋_GB2312"/>
          <w:sz w:val="30"/>
          <w:szCs w:val="30"/>
        </w:rPr>
        <w:t>栏</w:t>
      </w:r>
      <w:r>
        <w:rPr>
          <w:rFonts w:hint="eastAsia" w:ascii="仿宋_GB2312" w:hAnsi="仿宋" w:eastAsia="仿宋_GB2312"/>
          <w:sz w:val="30"/>
          <w:szCs w:val="30"/>
        </w:rPr>
        <w:t>）</w:t>
      </w:r>
      <w:r>
        <w:rPr>
          <w:rFonts w:ascii="仿宋_GB2312" w:hAnsi="仿宋" w:eastAsia="仿宋_GB2312"/>
          <w:sz w:val="30"/>
          <w:szCs w:val="30"/>
        </w:rPr>
        <w:t>必填，</w:t>
      </w:r>
      <w:r>
        <w:rPr>
          <w:rFonts w:hint="eastAsia" w:ascii="仿宋_GB2312" w:hAnsi="仿宋" w:eastAsia="仿宋_GB2312"/>
          <w:sz w:val="30"/>
          <w:szCs w:val="30"/>
        </w:rPr>
        <w:t>反之必须为空；</w:t>
      </w:r>
    </w:p>
    <w:p>
      <w:pPr>
        <w:numPr>
          <w:ilvl w:val="0"/>
          <w:numId w:val="5"/>
        </w:numPr>
        <w:spacing w:line="360" w:lineRule="auto"/>
        <w:rPr>
          <w:rFonts w:hint="eastAsia" w:ascii="仿宋_GB2312" w:hAnsi="仿宋" w:eastAsia="仿宋_GB2312"/>
          <w:sz w:val="30"/>
          <w:szCs w:val="30"/>
        </w:rPr>
      </w:pPr>
      <w:r>
        <w:rPr>
          <w:rFonts w:hint="eastAsia" w:ascii="仿宋_GB2312" w:eastAsia="仿宋_GB2312"/>
          <w:sz w:val="30"/>
          <w:szCs w:val="30"/>
        </w:rPr>
        <w:t>当使用状况（17栏）为闲置时，闲置开始时间（18栏）必填。</w:t>
      </w:r>
    </w:p>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原值、累计折旧、净值（1行14</w:t>
      </w:r>
      <w:r>
        <w:rPr>
          <w:rFonts w:hint="eastAsia" w:ascii="华文中宋" w:hAnsi="华文中宋" w:eastAsia="华文中宋"/>
          <w:sz w:val="30"/>
          <w:szCs w:val="30"/>
        </w:rPr>
        <w:t>~</w:t>
      </w:r>
      <w:r>
        <w:rPr>
          <w:rFonts w:hint="eastAsia" w:ascii="仿宋_GB2312" w:eastAsia="仿宋_GB2312"/>
          <w:sz w:val="30"/>
          <w:szCs w:val="30"/>
        </w:rPr>
        <w:t>16栏）应等于财资03固定和无形资产存量情况表车辆的原值、累计折旧、净值（1</w:t>
      </w:r>
      <w:r>
        <w:rPr>
          <w:rFonts w:ascii="仿宋_GB2312" w:eastAsia="仿宋_GB2312"/>
          <w:sz w:val="30"/>
          <w:szCs w:val="30"/>
        </w:rPr>
        <w:t>1</w:t>
      </w:r>
      <w:r>
        <w:rPr>
          <w:rFonts w:hint="eastAsia" w:ascii="仿宋_GB2312" w:eastAsia="仿宋_GB2312"/>
          <w:sz w:val="30"/>
          <w:szCs w:val="30"/>
        </w:rPr>
        <w:t>行6</w:t>
      </w:r>
      <w:r>
        <w:rPr>
          <w:rFonts w:hint="eastAsia" w:ascii="华文中宋" w:hAnsi="华文中宋" w:eastAsia="华文中宋"/>
          <w:sz w:val="30"/>
          <w:szCs w:val="30"/>
        </w:rPr>
        <w:t>~</w:t>
      </w:r>
      <w:r>
        <w:rPr>
          <w:rFonts w:hint="eastAsia" w:ascii="仿宋_GB2312" w:eastAsia="仿宋_GB2312"/>
          <w:sz w:val="30"/>
          <w:szCs w:val="30"/>
        </w:rPr>
        <w:t>8栏）；</w:t>
      </w:r>
    </w:p>
    <w:p>
      <w:pPr>
        <w:numPr>
          <w:ilvl w:val="0"/>
          <w:numId w:val="5"/>
        </w:numPr>
        <w:spacing w:line="360" w:lineRule="auto"/>
        <w:rPr>
          <w:rFonts w:ascii="仿宋_GB2312" w:eastAsia="仿宋_GB2312"/>
          <w:sz w:val="30"/>
          <w:szCs w:val="30"/>
        </w:rPr>
      </w:pPr>
      <w:bookmarkStart w:id="10" w:name="_Hlk22767253"/>
      <w:r>
        <w:rPr>
          <w:rFonts w:hint="eastAsia" w:ascii="仿宋_GB2312" w:eastAsia="仿宋_GB2312"/>
          <w:sz w:val="30"/>
          <w:szCs w:val="30"/>
        </w:rPr>
        <w:t>车辆使用情况为“在用”车辆的原值、累计折旧、净值的浮动行（14</w:t>
      </w:r>
      <w:r>
        <w:rPr>
          <w:rFonts w:hint="eastAsia" w:ascii="华文中宋" w:hAnsi="华文中宋" w:eastAsia="华文中宋"/>
          <w:sz w:val="30"/>
          <w:szCs w:val="30"/>
        </w:rPr>
        <w:t>~</w:t>
      </w:r>
      <w:r>
        <w:rPr>
          <w:rFonts w:hint="eastAsia" w:ascii="仿宋_GB2312" w:eastAsia="仿宋_GB2312"/>
          <w:sz w:val="30"/>
          <w:szCs w:val="30"/>
        </w:rPr>
        <w:t>16栏）之和分别对应等于财资03固定和无形资产存量情况表在用车辆的原值、累计折旧、净值（1</w:t>
      </w:r>
      <w:r>
        <w:rPr>
          <w:rFonts w:ascii="仿宋_GB2312" w:eastAsia="仿宋_GB2312"/>
          <w:sz w:val="30"/>
          <w:szCs w:val="30"/>
        </w:rPr>
        <w:t>1</w:t>
      </w:r>
      <w:r>
        <w:rPr>
          <w:rFonts w:hint="eastAsia" w:ascii="仿宋_GB2312" w:eastAsia="仿宋_GB2312"/>
          <w:sz w:val="30"/>
          <w:szCs w:val="30"/>
        </w:rPr>
        <w:t>行10</w:t>
      </w:r>
      <w:r>
        <w:rPr>
          <w:rFonts w:hint="eastAsia" w:ascii="华文中宋" w:hAnsi="华文中宋" w:eastAsia="华文中宋"/>
          <w:sz w:val="30"/>
          <w:szCs w:val="30"/>
        </w:rPr>
        <w:t>~</w:t>
      </w:r>
      <w:r>
        <w:rPr>
          <w:rFonts w:hint="eastAsia" w:ascii="仿宋_GB2312" w:eastAsia="仿宋_GB2312"/>
          <w:sz w:val="30"/>
          <w:szCs w:val="30"/>
        </w:rPr>
        <w:t>12栏）；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车辆使用情况为“出租出借”车辆的原值、累计折旧、净值的浮动行（14</w:t>
      </w:r>
      <w:r>
        <w:rPr>
          <w:rFonts w:hint="eastAsia" w:ascii="华文中宋" w:hAnsi="华文中宋" w:eastAsia="华文中宋"/>
          <w:sz w:val="30"/>
          <w:szCs w:val="30"/>
        </w:rPr>
        <w:t>~</w:t>
      </w:r>
      <w:r>
        <w:rPr>
          <w:rFonts w:hint="eastAsia" w:ascii="仿宋_GB2312" w:eastAsia="仿宋_GB2312"/>
          <w:sz w:val="30"/>
          <w:szCs w:val="30"/>
        </w:rPr>
        <w:t>16栏）之和分别对应等于财资03固定和无形资产存量情况表出租出借车辆的原值、累计折旧、净值（1</w:t>
      </w:r>
      <w:r>
        <w:rPr>
          <w:rFonts w:ascii="仿宋_GB2312" w:eastAsia="仿宋_GB2312"/>
          <w:sz w:val="30"/>
          <w:szCs w:val="30"/>
        </w:rPr>
        <w:t>1</w:t>
      </w:r>
      <w:r>
        <w:rPr>
          <w:rFonts w:hint="eastAsia" w:ascii="仿宋_GB2312" w:eastAsia="仿宋_GB2312"/>
          <w:sz w:val="30"/>
          <w:szCs w:val="30"/>
        </w:rPr>
        <w:t>行14</w:t>
      </w:r>
      <w:r>
        <w:rPr>
          <w:rFonts w:hint="eastAsia" w:ascii="华文中宋" w:hAnsi="华文中宋" w:eastAsia="华文中宋"/>
          <w:sz w:val="30"/>
          <w:szCs w:val="30"/>
        </w:rPr>
        <w:t>~</w:t>
      </w:r>
      <w:r>
        <w:rPr>
          <w:rFonts w:hint="eastAsia" w:ascii="仿宋_GB2312" w:eastAsia="仿宋_GB2312"/>
          <w:sz w:val="30"/>
          <w:szCs w:val="30"/>
        </w:rPr>
        <w:t>16栏）；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车辆使用情况为“闲置”车辆的原值、累计折旧、净值的浮动行（14</w:t>
      </w:r>
      <w:r>
        <w:rPr>
          <w:rFonts w:hint="eastAsia" w:ascii="华文中宋" w:hAnsi="华文中宋" w:eastAsia="华文中宋"/>
          <w:sz w:val="30"/>
          <w:szCs w:val="30"/>
        </w:rPr>
        <w:t>~</w:t>
      </w:r>
      <w:r>
        <w:rPr>
          <w:rFonts w:hint="eastAsia" w:ascii="仿宋_GB2312" w:eastAsia="仿宋_GB2312"/>
          <w:sz w:val="30"/>
          <w:szCs w:val="30"/>
        </w:rPr>
        <w:t>16栏）之和分别对应等于财资03固定和无形资产存量情况表闲置车辆的原值、累计折旧、净值（1</w:t>
      </w:r>
      <w:r>
        <w:rPr>
          <w:rFonts w:ascii="仿宋_GB2312" w:eastAsia="仿宋_GB2312"/>
          <w:sz w:val="30"/>
          <w:szCs w:val="30"/>
        </w:rPr>
        <w:t>1</w:t>
      </w:r>
      <w:r>
        <w:rPr>
          <w:rFonts w:hint="eastAsia" w:ascii="仿宋_GB2312" w:eastAsia="仿宋_GB2312"/>
          <w:sz w:val="30"/>
          <w:szCs w:val="30"/>
        </w:rPr>
        <w:t>行18</w:t>
      </w:r>
      <w:r>
        <w:rPr>
          <w:rFonts w:hint="eastAsia" w:ascii="华文中宋" w:hAnsi="华文中宋" w:eastAsia="华文中宋"/>
          <w:sz w:val="30"/>
          <w:szCs w:val="30"/>
        </w:rPr>
        <w:t>~</w:t>
      </w:r>
      <w:r>
        <w:rPr>
          <w:rFonts w:hint="eastAsia" w:ascii="仿宋_GB2312" w:eastAsia="仿宋_GB2312"/>
          <w:sz w:val="30"/>
          <w:szCs w:val="30"/>
        </w:rPr>
        <w:t>20栏）；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车辆使用情况为“待处置”车辆的原值、累计折旧、净值的浮动行（14</w:t>
      </w:r>
      <w:r>
        <w:rPr>
          <w:rFonts w:hint="eastAsia" w:ascii="华文中宋" w:hAnsi="华文中宋" w:eastAsia="华文中宋"/>
          <w:sz w:val="30"/>
          <w:szCs w:val="30"/>
        </w:rPr>
        <w:t>~</w:t>
      </w:r>
      <w:r>
        <w:rPr>
          <w:rFonts w:hint="eastAsia" w:ascii="仿宋_GB2312" w:eastAsia="仿宋_GB2312"/>
          <w:sz w:val="30"/>
          <w:szCs w:val="30"/>
        </w:rPr>
        <w:t>16栏）之和分别对应等于财资03固定和无形资产存量情况表待处置车辆的原值、累计折旧、净值（1</w:t>
      </w:r>
      <w:r>
        <w:rPr>
          <w:rFonts w:ascii="仿宋_GB2312" w:eastAsia="仿宋_GB2312"/>
          <w:sz w:val="30"/>
          <w:szCs w:val="30"/>
        </w:rPr>
        <w:t>1</w:t>
      </w:r>
      <w:r>
        <w:rPr>
          <w:rFonts w:hint="eastAsia" w:ascii="仿宋_GB2312" w:eastAsia="仿宋_GB2312"/>
          <w:sz w:val="30"/>
          <w:szCs w:val="30"/>
        </w:rPr>
        <w:t>行26</w:t>
      </w:r>
      <w:r>
        <w:rPr>
          <w:rFonts w:hint="eastAsia" w:ascii="华文中宋" w:hAnsi="华文中宋" w:eastAsia="华文中宋"/>
          <w:sz w:val="30"/>
          <w:szCs w:val="30"/>
        </w:rPr>
        <w:t>~</w:t>
      </w:r>
      <w:r>
        <w:rPr>
          <w:rFonts w:hint="eastAsia" w:ascii="仿宋_GB2312" w:eastAsia="仿宋_GB2312"/>
          <w:sz w:val="30"/>
          <w:szCs w:val="30"/>
        </w:rPr>
        <w:t>28栏）；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编制情况（4栏）为“在编”时，机构人员情况表中对应车辆用途的车辆编制情况需大于</w:t>
      </w:r>
      <w:r>
        <w:rPr>
          <w:rFonts w:ascii="仿宋_GB2312" w:eastAsia="仿宋_GB2312"/>
          <w:sz w:val="30"/>
          <w:szCs w:val="30"/>
        </w:rPr>
        <w:t>0</w:t>
      </w:r>
      <w:r>
        <w:rPr>
          <w:rFonts w:hint="eastAsia" w:ascii="仿宋_GB2312" w:eastAsia="仿宋_GB2312"/>
          <w:sz w:val="30"/>
          <w:szCs w:val="30"/>
        </w:rPr>
        <w:t>（车辆用途</w:t>
      </w:r>
      <w:r>
        <w:rPr>
          <w:rFonts w:hint="eastAsia" w:ascii="仿宋_GB2312" w:hAnsi="仿宋" w:eastAsia="仿宋_GB2312"/>
          <w:sz w:val="30"/>
          <w:szCs w:val="30"/>
        </w:rPr>
        <w:t>无对应分类的对应至“其他用车”</w:t>
      </w:r>
      <w:r>
        <w:rPr>
          <w:rFonts w:hint="eastAsia" w:ascii="仿宋_GB2312" w:eastAsia="仿宋_GB2312"/>
          <w:sz w:val="30"/>
          <w:szCs w:val="30"/>
        </w:rPr>
        <w:t>）。</w:t>
      </w:r>
    </w:p>
    <w:bookmarkEnd w:id="10"/>
    <w:p>
      <w:pPr>
        <w:spacing w:line="360" w:lineRule="auto"/>
        <w:ind w:firstLine="578" w:firstLineChars="192"/>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使用状况（17栏）为“闲置”车辆数量合计/所有车辆数量合计大于20%,提示核实性错误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车辆用途（19栏）</w:t>
      </w:r>
      <w:r>
        <w:rPr>
          <w:rFonts w:ascii="仿宋_GB2312" w:eastAsia="仿宋_GB2312"/>
          <w:sz w:val="30"/>
          <w:szCs w:val="30"/>
        </w:rPr>
        <w:t>为</w:t>
      </w:r>
      <w:r>
        <w:rPr>
          <w:rFonts w:hint="eastAsia" w:ascii="仿宋_GB2312" w:eastAsia="仿宋_GB2312"/>
          <w:sz w:val="30"/>
          <w:szCs w:val="30"/>
        </w:rPr>
        <w:t>“</w:t>
      </w:r>
      <w:r>
        <w:rPr>
          <w:rFonts w:hint="eastAsia" w:ascii="仿宋_GB2312" w:hAnsi="仿宋" w:eastAsia="仿宋_GB2312"/>
          <w:sz w:val="30"/>
          <w:szCs w:val="30"/>
        </w:rPr>
        <w:t>副部（省）级及以上领导用车</w:t>
      </w:r>
      <w:r>
        <w:rPr>
          <w:rFonts w:hint="eastAsia" w:ascii="仿宋_GB2312" w:eastAsia="仿宋_GB2312"/>
          <w:sz w:val="30"/>
          <w:szCs w:val="30"/>
        </w:rPr>
        <w:t>”车辆</w:t>
      </w:r>
      <w:r>
        <w:rPr>
          <w:rFonts w:ascii="仿宋_GB2312" w:eastAsia="仿宋_GB2312"/>
          <w:sz w:val="30"/>
          <w:szCs w:val="30"/>
        </w:rPr>
        <w:t>数量合计</w:t>
      </w:r>
      <w:r>
        <w:rPr>
          <w:rFonts w:hint="eastAsia" w:ascii="仿宋_GB2312" w:eastAsia="仿宋_GB2312"/>
          <w:sz w:val="30"/>
          <w:szCs w:val="30"/>
        </w:rPr>
        <w:t>大于50，提示核实性错误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单个车辆原值（浮动行14栏）小于</w:t>
      </w:r>
      <w:r>
        <w:rPr>
          <w:rFonts w:ascii="仿宋_GB2312" w:eastAsia="仿宋_GB2312"/>
          <w:sz w:val="30"/>
          <w:szCs w:val="30"/>
        </w:rPr>
        <w:t>10000</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车牌号（13栏）应大于等于7个字符小于等于9个字符，否则提示核实性错误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当车辆用途（19栏）</w:t>
      </w:r>
      <w:r>
        <w:rPr>
          <w:rFonts w:hint="eastAsia" w:ascii="仿宋_GB2312" w:hAnsi="仿宋" w:eastAsia="仿宋_GB2312"/>
          <w:sz w:val="30"/>
          <w:szCs w:val="30"/>
        </w:rPr>
        <w:t>选择“执法执勤用车”且执法执勤用车是否喷涂标识（20</w:t>
      </w:r>
      <w:r>
        <w:rPr>
          <w:rFonts w:ascii="仿宋_GB2312" w:hAnsi="仿宋" w:eastAsia="仿宋_GB2312"/>
          <w:sz w:val="30"/>
          <w:szCs w:val="30"/>
        </w:rPr>
        <w:t>栏</w:t>
      </w:r>
      <w:r>
        <w:rPr>
          <w:rFonts w:hint="eastAsia" w:ascii="仿宋_GB2312" w:hAnsi="仿宋" w:eastAsia="仿宋_GB2312"/>
          <w:sz w:val="30"/>
          <w:szCs w:val="30"/>
        </w:rPr>
        <w:t>）选择“否”时，提示核实性错误，需结合实际情况修改或填写情况说明；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当车辆编制情况（4栏）为在编，且车辆用途（19栏）同类之和大于财资02机构人员情况表中对应编制数时，提示核实性错误，需结合实际情况修改或填写情况说明；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当车辆编制情况（4栏）为未核定车编，提示核实性错误，需结合实际情况修改或填写情况说明；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当车辆期末账面数原值（14栏）为1时（以名义价值记账），提示核实性错误，需结合实际情况修改或填写情况说明；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当车辆用途（19栏）为执法执勤用车时且不属于中央批准的执法执勤部门范围内的，提示核实性错误，需结合实际情况修改或填写情况说明。</w:t>
      </w:r>
    </w:p>
    <w:p>
      <w:pPr>
        <w:pStyle w:val="2"/>
        <w:rPr>
          <w:rFonts w:hint="eastAsia"/>
          <w:b/>
          <w:color w:val="auto"/>
        </w:rPr>
      </w:pPr>
      <w:r>
        <w:rPr>
          <w:rFonts w:hint="eastAsia"/>
          <w:color w:val="auto"/>
        </w:rPr>
        <w:t>（八）在建工程情况表（财资0</w:t>
      </w:r>
      <w:r>
        <w:rPr>
          <w:color w:val="auto"/>
        </w:rPr>
        <w:t>7</w:t>
      </w:r>
      <w:r>
        <w:rPr>
          <w:rFonts w:hint="eastAsia"/>
          <w:color w:val="auto"/>
        </w:rPr>
        <w:t>表）</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年末在建工程情况，包括基本建设项目以及不属于基本建设项目的各种建筑工程、设备安装工程、信息系统建设等，包含收储土地。本表从上年该表提取（删除上年已转固或期末账面数为0），并根据在建工程项目本期实际情况逐项手工修改。当年投建当年转固的无需填报。</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已转固包括在建工程转为固定资产、无形资产或公共基础设施等。</w:t>
      </w:r>
    </w:p>
    <w:p>
      <w:pPr>
        <w:pStyle w:val="7"/>
        <w:spacing w:line="360" w:lineRule="auto"/>
        <w:ind w:firstLine="648" w:firstLineChars="0"/>
        <w:rPr>
          <w:rFonts w:hint="eastAsia"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bCs/>
          <w:sz w:val="30"/>
          <w:szCs w:val="30"/>
        </w:rPr>
        <w:t>项目名称：填列在建工程项目名称。</w:t>
      </w:r>
    </w:p>
    <w:p>
      <w:pPr>
        <w:spacing w:line="360" w:lineRule="auto"/>
        <w:ind w:firstLine="600" w:firstLineChars="200"/>
        <w:rPr>
          <w:rFonts w:hint="eastAsia" w:ascii="仿宋_GB2312" w:hAnsi="仿宋" w:eastAsia="仿宋_GB2312"/>
          <w:b/>
          <w:bCs/>
          <w:sz w:val="30"/>
          <w:szCs w:val="30"/>
        </w:rPr>
      </w:pPr>
      <w:r>
        <w:rPr>
          <w:rFonts w:hint="eastAsia" w:ascii="仿宋_GB2312" w:hAnsi="仿宋" w:eastAsia="仿宋_GB2312"/>
          <w:bCs/>
          <w:sz w:val="30"/>
          <w:szCs w:val="30"/>
        </w:rPr>
        <w:t>2</w:t>
      </w:r>
      <w:r>
        <w:rPr>
          <w:rFonts w:ascii="仿宋_GB2312" w:hAnsi="仿宋" w:eastAsia="仿宋_GB2312"/>
          <w:bCs/>
          <w:sz w:val="30"/>
          <w:szCs w:val="30"/>
        </w:rPr>
        <w:t>.</w:t>
      </w:r>
      <w:r>
        <w:rPr>
          <w:rFonts w:hint="eastAsia" w:ascii="仿宋_GB2312" w:hAnsi="仿宋" w:eastAsia="仿宋_GB2312"/>
          <w:bCs/>
          <w:sz w:val="30"/>
          <w:szCs w:val="30"/>
        </w:rPr>
        <w:t>开工日期：《建筑工程施工许可证》或已批准的开工报告注明的开工日期；无施工许可证或无相关批复的，填写实际开工日期。</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bCs/>
          <w:sz w:val="30"/>
          <w:szCs w:val="30"/>
        </w:rPr>
        <w:t>3</w:t>
      </w:r>
      <w:r>
        <w:rPr>
          <w:rFonts w:ascii="仿宋_GB2312" w:hAnsi="仿宋" w:eastAsia="仿宋_GB2312"/>
          <w:bCs/>
          <w:sz w:val="30"/>
          <w:szCs w:val="30"/>
        </w:rPr>
        <w:t>.</w:t>
      </w:r>
      <w:r>
        <w:rPr>
          <w:rFonts w:hint="eastAsia" w:ascii="仿宋_GB2312" w:hAnsi="仿宋" w:eastAsia="仿宋_GB2312"/>
          <w:bCs/>
          <w:sz w:val="30"/>
          <w:szCs w:val="30"/>
        </w:rPr>
        <w:t>工程建设情况：</w:t>
      </w:r>
      <w:r>
        <w:rPr>
          <w:rFonts w:hint="eastAsia" w:ascii="仿宋_GB2312" w:hAnsi="仿宋" w:eastAsia="仿宋_GB2312"/>
          <w:sz w:val="30"/>
          <w:szCs w:val="30"/>
        </w:rPr>
        <w:t>按在建、停建、建成未使用、已投入使用、已转固、其他选择填列。如该在建工程已处置、移交、账务调整等，可选择其他。如选填“建成未使用”则需在备注栏填写未使用原因；若选填“已投入使用”，则需同时填写“投入使用日期”和“未转固原因”。如该在建工程已部分转固，需拆分为多条填列，已转固部分选择已转固填列，未转固根据实际情况选择在建、停建、建成未使用、已投入使用、其他填列。</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bCs/>
          <w:sz w:val="30"/>
          <w:szCs w:val="30"/>
        </w:rPr>
        <w:t>计划投资总额：根据在建工程项目总概算数额填列，如有调整，按调整后的金额填列。</w:t>
      </w:r>
    </w:p>
    <w:p>
      <w:pPr>
        <w:spacing w:line="360" w:lineRule="auto"/>
        <w:ind w:firstLine="600" w:firstLineChars="200"/>
        <w:rPr>
          <w:rFonts w:hint="eastAsia" w:ascii="仿宋_GB2312" w:hAnsi="仿宋" w:eastAsia="仿宋_GB2312"/>
          <w:b/>
          <w:bCs/>
          <w:sz w:val="30"/>
          <w:szCs w:val="30"/>
        </w:rPr>
      </w:pPr>
      <w:r>
        <w:rPr>
          <w:rFonts w:hint="eastAsia" w:ascii="仿宋_GB2312" w:hAnsi="仿宋" w:eastAsia="仿宋_GB2312"/>
          <w:bCs/>
          <w:sz w:val="30"/>
          <w:szCs w:val="30"/>
        </w:rPr>
        <w:t>5</w:t>
      </w:r>
      <w:r>
        <w:rPr>
          <w:rFonts w:ascii="仿宋_GB2312" w:hAnsi="仿宋" w:eastAsia="仿宋_GB2312"/>
          <w:bCs/>
          <w:sz w:val="30"/>
          <w:szCs w:val="30"/>
        </w:rPr>
        <w:t>.</w:t>
      </w:r>
      <w:r>
        <w:rPr>
          <w:rFonts w:hint="eastAsia" w:ascii="仿宋_GB2312" w:hAnsi="仿宋" w:eastAsia="仿宋_GB2312"/>
          <w:bCs/>
          <w:sz w:val="30"/>
          <w:szCs w:val="30"/>
        </w:rPr>
        <w:t>累计完成投资：根据在建工程项目历年累计已到位的投资金额填列。</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6.当年投资额：根据在建工程项目当年已到位的投资金额填列。</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7</w:t>
      </w:r>
      <w:r>
        <w:rPr>
          <w:rFonts w:ascii="仿宋_GB2312" w:hAnsi="仿宋" w:eastAsia="仿宋_GB2312"/>
          <w:bCs/>
          <w:sz w:val="30"/>
          <w:szCs w:val="30"/>
        </w:rPr>
        <w:t>.</w:t>
      </w:r>
      <w:r>
        <w:rPr>
          <w:rFonts w:hint="eastAsia" w:ascii="仿宋_GB2312" w:hAnsi="仿宋" w:eastAsia="仿宋_GB2312"/>
          <w:bCs/>
          <w:sz w:val="30"/>
          <w:szCs w:val="30"/>
        </w:rPr>
        <w:t>期初账面数：反映在建工程项目本期期初财务账面数，</w:t>
      </w:r>
      <w:r>
        <w:rPr>
          <w:rFonts w:hint="eastAsia" w:ascii="仿宋_GB2312" w:hAnsi="仿宋" w:eastAsia="仿宋_GB2312"/>
          <w:sz w:val="30"/>
          <w:szCs w:val="30"/>
        </w:rPr>
        <w:t>取自上年在建工程情况表期末账面数。</w:t>
      </w:r>
    </w:p>
    <w:p>
      <w:pPr>
        <w:spacing w:line="360" w:lineRule="auto"/>
        <w:ind w:firstLine="600" w:firstLineChars="200"/>
        <w:rPr>
          <w:rFonts w:hint="eastAsia" w:ascii="仿宋_GB2312" w:hAnsi="仿宋" w:eastAsia="仿宋_GB2312"/>
          <w:bCs/>
          <w:sz w:val="30"/>
          <w:szCs w:val="30"/>
        </w:rPr>
      </w:pPr>
      <w:r>
        <w:rPr>
          <w:rFonts w:ascii="仿宋_GB2312" w:hAnsi="仿宋" w:eastAsia="仿宋_GB2312"/>
          <w:bCs/>
          <w:sz w:val="30"/>
          <w:szCs w:val="30"/>
        </w:rPr>
        <w:t>8.</w:t>
      </w:r>
      <w:r>
        <w:rPr>
          <w:rFonts w:hint="eastAsia" w:ascii="仿宋_GB2312" w:hAnsi="仿宋" w:eastAsia="仿宋_GB2312"/>
          <w:bCs/>
          <w:sz w:val="30"/>
          <w:szCs w:val="30"/>
        </w:rPr>
        <w:t>期末账面数：反映在建工程项目期末财务账面数，暂未实行基建并账的单位，参照有关会计制度的并账要求填报。</w:t>
      </w:r>
    </w:p>
    <w:p>
      <w:pPr>
        <w:spacing w:line="360" w:lineRule="auto"/>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9.项目类型：包括房屋类在建工程项目、土地收储项目和其他。</w:t>
      </w:r>
    </w:p>
    <w:p>
      <w:pPr>
        <w:spacing w:line="360" w:lineRule="auto"/>
        <w:ind w:firstLine="600" w:firstLineChars="200"/>
      </w:pPr>
      <w:r>
        <w:rPr>
          <w:rFonts w:hint="eastAsia" w:ascii="仿宋_GB2312" w:hAnsi="仿宋" w:eastAsia="仿宋_GB2312"/>
          <w:bCs/>
          <w:sz w:val="30"/>
          <w:szCs w:val="30"/>
        </w:rPr>
        <w:t>10</w:t>
      </w:r>
      <w:r>
        <w:rPr>
          <w:rFonts w:ascii="仿宋_GB2312" w:hAnsi="仿宋" w:eastAsia="仿宋_GB2312"/>
          <w:bCs/>
          <w:sz w:val="30"/>
          <w:szCs w:val="30"/>
        </w:rPr>
        <w:t>.</w:t>
      </w:r>
      <w:r>
        <w:rPr>
          <w:rFonts w:hint="eastAsia" w:ascii="仿宋_GB2312" w:hAnsi="仿宋" w:eastAsia="仿宋_GB2312"/>
          <w:bCs/>
          <w:sz w:val="30"/>
          <w:szCs w:val="30"/>
        </w:rPr>
        <w:t>已投入使用未转固房屋类在建工程建筑面积/土地收储项目收储面积：反映已投入使用未转固在建工程中房屋类项目建筑面积或土地收储项目收储面积。</w:t>
      </w:r>
    </w:p>
    <w:p>
      <w:pPr>
        <w:spacing w:line="360" w:lineRule="auto"/>
        <w:ind w:firstLine="600" w:firstLineChars="200"/>
        <w:rPr>
          <w:rFonts w:hint="eastAsia" w:ascii="仿宋_GB2312" w:hAnsi="仿宋" w:eastAsia="仿宋_GB2312"/>
          <w:bCs/>
          <w:sz w:val="30"/>
          <w:szCs w:val="30"/>
        </w:rPr>
      </w:pPr>
      <w:bookmarkStart w:id="11" w:name="_Hlk22770300"/>
      <w:r>
        <w:rPr>
          <w:rFonts w:ascii="仿宋_GB2312" w:hAnsi="仿宋" w:eastAsia="仿宋_GB2312"/>
          <w:bCs/>
          <w:sz w:val="30"/>
          <w:szCs w:val="30"/>
        </w:rPr>
        <w:t>1</w:t>
      </w: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bCs/>
          <w:sz w:val="30"/>
          <w:szCs w:val="30"/>
        </w:rPr>
        <w:t>未转固年限（月）：反映已投入使用的在建工程从投入使用时间到20</w:t>
      </w:r>
      <w:r>
        <w:rPr>
          <w:rFonts w:ascii="仿宋_GB2312" w:hAnsi="仿宋" w:eastAsia="仿宋_GB2312"/>
          <w:bCs/>
          <w:sz w:val="30"/>
          <w:szCs w:val="30"/>
        </w:rPr>
        <w:t>2</w:t>
      </w:r>
      <w:r>
        <w:rPr>
          <w:rFonts w:hint="eastAsia" w:ascii="仿宋_GB2312" w:hAnsi="仿宋" w:eastAsia="仿宋_GB2312"/>
          <w:bCs/>
          <w:sz w:val="30"/>
          <w:szCs w:val="30"/>
        </w:rPr>
        <w:t>5年末的月数，由系统自动计算生成。</w:t>
      </w:r>
    </w:p>
    <w:bookmarkEnd w:id="11"/>
    <w:p>
      <w:pPr>
        <w:spacing w:line="360" w:lineRule="auto"/>
        <w:ind w:firstLine="600" w:firstLineChars="200"/>
        <w:rPr>
          <w:rFonts w:hint="eastAsia" w:ascii="仿宋_GB2312" w:hAnsi="仿宋"/>
          <w:sz w:val="32"/>
        </w:rPr>
      </w:pPr>
      <w:r>
        <w:rPr>
          <w:rFonts w:ascii="仿宋_GB2312" w:hAnsi="仿宋" w:eastAsia="仿宋_GB2312"/>
          <w:bCs/>
          <w:sz w:val="30"/>
          <w:szCs w:val="30"/>
        </w:rPr>
        <w:t>1</w:t>
      </w:r>
      <w:r>
        <w:rPr>
          <w:rFonts w:hint="eastAsia" w:ascii="仿宋_GB2312" w:hAnsi="仿宋" w:eastAsia="仿宋_GB2312"/>
          <w:bCs/>
          <w:sz w:val="30"/>
          <w:szCs w:val="30"/>
        </w:rPr>
        <w:t>2</w:t>
      </w:r>
      <w:r>
        <w:rPr>
          <w:rFonts w:ascii="仿宋_GB2312" w:hAnsi="仿宋" w:eastAsia="仿宋_GB2312"/>
          <w:bCs/>
          <w:sz w:val="30"/>
          <w:szCs w:val="30"/>
        </w:rPr>
        <w:t>.</w:t>
      </w:r>
      <w:r>
        <w:rPr>
          <w:rFonts w:hint="eastAsia" w:ascii="仿宋_GB2312" w:hAnsi="仿宋" w:eastAsia="仿宋_GB2312"/>
          <w:bCs/>
          <w:sz w:val="30"/>
          <w:szCs w:val="30"/>
        </w:rPr>
        <w:t>未转固原因：按未完成项目竣工验收、未办理资产交付手续、未取得相关证件（主要是指因无法确权问题及办理手续等原因造成的未取得证件，如房产证、土地证等）、账务处理问题、无权属资产的改扩建、其他填列，若选填“其他”，则需同时填写“备注”</w:t>
      </w:r>
      <w:r>
        <w:rPr>
          <w:rFonts w:hint="eastAsia" w:ascii="仿宋_GB2312" w:hAnsi="仿宋" w:eastAsia="仿宋_GB2312"/>
          <w:bCs/>
          <w:sz w:val="32"/>
          <w:szCs w:val="32"/>
        </w:rPr>
        <w:t>。</w:t>
      </w:r>
    </w:p>
    <w:p>
      <w:pPr>
        <w:pStyle w:val="7"/>
        <w:spacing w:line="360" w:lineRule="auto"/>
        <w:ind w:firstLine="614"/>
        <w:rPr>
          <w:rFonts w:hint="eastAsia" w:hAnsi="仿宋"/>
          <w:b/>
          <w:sz w:val="30"/>
          <w:szCs w:val="30"/>
        </w:rPr>
      </w:pPr>
      <w:r>
        <w:rPr>
          <w:rFonts w:hint="eastAsia" w:hAnsi="仿宋"/>
          <w:b/>
          <w:sz w:val="30"/>
          <w:szCs w:val="30"/>
        </w:rPr>
        <w:t>逻辑性审核公式：</w:t>
      </w:r>
    </w:p>
    <w:p>
      <w:pPr>
        <w:pStyle w:val="7"/>
        <w:spacing w:line="360" w:lineRule="auto"/>
        <w:ind w:firstLine="614"/>
        <w:rPr>
          <w:rFonts w:hint="eastAsia"/>
        </w:rPr>
      </w:pPr>
      <w:r>
        <w:rPr>
          <w:rFonts w:hint="eastAsia" w:hAnsi="仿宋"/>
          <w:b/>
          <w:sz w:val="30"/>
          <w:szCs w:val="30"/>
        </w:rPr>
        <w:t>表内公式：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项目名称、工程建设情况、项目类型（1、</w:t>
      </w:r>
      <w:r>
        <w:rPr>
          <w:rFonts w:ascii="仿宋_GB2312" w:eastAsia="仿宋_GB2312"/>
          <w:sz w:val="30"/>
          <w:szCs w:val="30"/>
        </w:rPr>
        <w:t>4</w:t>
      </w:r>
      <w:r>
        <w:rPr>
          <w:rFonts w:hint="eastAsia" w:ascii="仿宋_GB2312" w:eastAsia="仿宋_GB2312"/>
          <w:sz w:val="30"/>
          <w:szCs w:val="30"/>
        </w:rPr>
        <w:t>、11栏）不能为空；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开工日期（</w:t>
      </w:r>
      <w:r>
        <w:rPr>
          <w:rFonts w:ascii="仿宋_GB2312" w:eastAsia="仿宋_GB2312"/>
          <w:sz w:val="30"/>
          <w:szCs w:val="30"/>
        </w:rPr>
        <w:t>3</w:t>
      </w:r>
      <w:r>
        <w:rPr>
          <w:rFonts w:hint="eastAsia" w:ascii="仿宋_GB2312" w:eastAsia="仿宋_GB2312"/>
          <w:sz w:val="30"/>
          <w:szCs w:val="30"/>
        </w:rPr>
        <w:t>栏）大于2025年12月31日，备注（15栏）需填写原因；</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栏）为在建时，期末账面数（</w:t>
      </w:r>
      <w:r>
        <w:rPr>
          <w:rFonts w:ascii="仿宋_GB2312" w:eastAsia="仿宋_GB2312"/>
          <w:sz w:val="30"/>
          <w:szCs w:val="30"/>
        </w:rPr>
        <w:t>9</w:t>
      </w:r>
      <w:r>
        <w:rPr>
          <w:rFonts w:hint="eastAsia" w:ascii="仿宋_GB2312" w:eastAsia="仿宋_GB2312"/>
          <w:sz w:val="30"/>
          <w:szCs w:val="30"/>
        </w:rPr>
        <w:t>栏）大于0；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栏）选择“在建”、“停建”、“建成未使用”的，投入使用日期（</w:t>
      </w:r>
      <w:r>
        <w:rPr>
          <w:rFonts w:ascii="仿宋_GB2312" w:eastAsia="仿宋_GB2312"/>
          <w:sz w:val="30"/>
          <w:szCs w:val="30"/>
        </w:rPr>
        <w:t>10</w:t>
      </w:r>
      <w:r>
        <w:rPr>
          <w:rFonts w:hint="eastAsia" w:ascii="仿宋_GB2312" w:eastAsia="仿宋_GB2312"/>
          <w:sz w:val="30"/>
          <w:szCs w:val="30"/>
        </w:rPr>
        <w:t>栏）必须为空；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栏）选择“在建、停建、建成未使用、已投入使用”时，计划投资总额、累计完成投资、当年投资额、期初账面数、期末账面数（5</w:t>
      </w:r>
      <w:r>
        <w:rPr>
          <w:rFonts w:hint="eastAsia" w:ascii="华文中宋" w:hAnsi="华文中宋" w:eastAsia="华文中宋"/>
          <w:sz w:val="30"/>
          <w:szCs w:val="30"/>
        </w:rPr>
        <w:t>~</w:t>
      </w:r>
      <w:r>
        <w:rPr>
          <w:rFonts w:hint="eastAsia" w:ascii="仿宋_GB2312" w:eastAsia="仿宋_GB2312"/>
          <w:sz w:val="30"/>
          <w:szCs w:val="30"/>
        </w:rPr>
        <w:t>9栏）不能为空。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栏）选择“已投入使用”的，投入使用日期（</w:t>
      </w:r>
      <w:r>
        <w:rPr>
          <w:rFonts w:ascii="仿宋_GB2312" w:eastAsia="仿宋_GB2312"/>
          <w:sz w:val="30"/>
          <w:szCs w:val="30"/>
        </w:rPr>
        <w:t>10</w:t>
      </w:r>
      <w:r>
        <w:rPr>
          <w:rFonts w:hint="eastAsia" w:ascii="仿宋_GB2312" w:eastAsia="仿宋_GB2312"/>
          <w:sz w:val="30"/>
          <w:szCs w:val="30"/>
        </w:rPr>
        <w:t>栏）必填且应小于等于报表基准日2025年12月31日;</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栏）选择“已投入使用”时，未转固原因（14栏）不能为空；</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工程建设情况（4栏）选择“已转固”时，期末账面数（9栏）、已投入使用未转固房屋类在建工程建筑面积/土地收储项目收储面积（12栏）等于0；</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工程建设情况（4栏）选择“建成未使用”时，需在备注（15栏）填写具体原因；</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工程建设情况（4栏）选择“其他”时，期末账面数（9栏）等于0，并同时在备注（15栏）填写具体情况；</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开工日期+10年小于等于</w:t>
      </w:r>
      <w:r>
        <w:rPr>
          <w:rFonts w:ascii="仿宋_GB2312" w:eastAsia="仿宋_GB2312"/>
          <w:sz w:val="30"/>
          <w:szCs w:val="30"/>
        </w:rPr>
        <w:t>202</w:t>
      </w:r>
      <w:r>
        <w:rPr>
          <w:rFonts w:hint="eastAsia" w:ascii="仿宋_GB2312" w:eastAsia="仿宋_GB2312"/>
          <w:sz w:val="30"/>
          <w:szCs w:val="30"/>
        </w:rPr>
        <w:t>5年，且工程建设情况为“在建”、“建成未使用”，未转固原因（14栏）不能为空，并在填报说明中进行详细说明；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未转固年限（月）（13栏）=2025年12月-投入使用月；</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未转固原因（14栏）选填“其他”时，须在备注（15栏）填写具体情况；</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累计完成投资（</w:t>
      </w:r>
      <w:r>
        <w:rPr>
          <w:rFonts w:ascii="仿宋_GB2312" w:eastAsia="仿宋_GB2312"/>
          <w:sz w:val="30"/>
          <w:szCs w:val="30"/>
        </w:rPr>
        <w:t>6</w:t>
      </w:r>
      <w:r>
        <w:rPr>
          <w:rFonts w:hint="eastAsia" w:ascii="仿宋_GB2312" w:eastAsia="仿宋_GB2312"/>
          <w:sz w:val="30"/>
          <w:szCs w:val="30"/>
        </w:rPr>
        <w:t>栏）大于等于当年投资额（</w:t>
      </w:r>
      <w:r>
        <w:rPr>
          <w:rFonts w:ascii="仿宋_GB2312" w:eastAsia="仿宋_GB2312"/>
          <w:sz w:val="30"/>
          <w:szCs w:val="30"/>
        </w:rPr>
        <w:t>7</w:t>
      </w:r>
      <w:r>
        <w:rPr>
          <w:rFonts w:hint="eastAsia" w:ascii="仿宋_GB2312" w:eastAsia="仿宋_GB2312"/>
          <w:sz w:val="30"/>
          <w:szCs w:val="30"/>
        </w:rPr>
        <w:t>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工程建设情况（</w:t>
      </w:r>
      <w:r>
        <w:rPr>
          <w:rFonts w:ascii="仿宋_GB2312" w:eastAsia="仿宋_GB2312"/>
          <w:sz w:val="30"/>
          <w:szCs w:val="30"/>
        </w:rPr>
        <w:t>4</w:t>
      </w:r>
      <w:r>
        <w:rPr>
          <w:rFonts w:hint="eastAsia" w:ascii="仿宋_GB2312" w:eastAsia="仿宋_GB2312"/>
          <w:sz w:val="30"/>
          <w:szCs w:val="30"/>
        </w:rPr>
        <w:t>栏）选择“已投入使用”时，投入使用日期（1</w:t>
      </w:r>
      <w:r>
        <w:rPr>
          <w:rFonts w:ascii="仿宋_GB2312" w:eastAsia="仿宋_GB2312"/>
          <w:sz w:val="30"/>
          <w:szCs w:val="30"/>
        </w:rPr>
        <w:t>0</w:t>
      </w:r>
      <w:r>
        <w:rPr>
          <w:rFonts w:hint="eastAsia" w:ascii="仿宋_GB2312" w:eastAsia="仿宋_GB2312"/>
          <w:sz w:val="30"/>
          <w:szCs w:val="30"/>
        </w:rPr>
        <w:t>栏）大于开工日期（</w:t>
      </w:r>
      <w:r>
        <w:rPr>
          <w:rFonts w:ascii="仿宋_GB2312" w:eastAsia="仿宋_GB2312"/>
          <w:sz w:val="30"/>
          <w:szCs w:val="30"/>
        </w:rPr>
        <w:t>3</w:t>
      </w:r>
      <w:r>
        <w:rPr>
          <w:rFonts w:hint="eastAsia" w:ascii="仿宋_GB2312" w:eastAsia="仿宋_GB2312"/>
          <w:sz w:val="30"/>
          <w:szCs w:val="30"/>
        </w:rPr>
        <w:t>栏）；</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工程建设情况（4栏）选择“已投入使用”且项目类型（11栏）选择“房屋类在建工程项目”时，已投入使用未转固房屋类在建工程建筑面积/土地收储项目收储面积（12栏）大于等于0；</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项目类型（11栏）选择“土地收储项目”时，已投入使用未转固房屋类在建工程建筑面积/土地收储项目收储面积（12栏）大于等于0；</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项目类型（11栏）选择“其他”时，已投入使用未转固房屋类在建工程建筑面积/土地收储项目收储面积（12栏）必为空；</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工程建设情况（4栏）选择“在建、停建、建成未使用、已转固、其他”，且项目类型（11栏）选择“房屋类在建工程项目”时，已投入使用未转固房屋类在建工程建筑面积/土地收储项目收储面积（12栏）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合计行当年投资额（1行</w:t>
      </w:r>
      <w:r>
        <w:rPr>
          <w:rFonts w:ascii="仿宋_GB2312" w:eastAsia="仿宋_GB2312"/>
          <w:sz w:val="30"/>
          <w:szCs w:val="30"/>
        </w:rPr>
        <w:t>7</w:t>
      </w:r>
      <w:r>
        <w:rPr>
          <w:rFonts w:hint="eastAsia" w:ascii="仿宋_GB2312" w:eastAsia="仿宋_GB2312"/>
          <w:sz w:val="30"/>
          <w:szCs w:val="30"/>
        </w:rPr>
        <w:t>栏）大于等于0；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合计行各指标=各浮动行对应指标之和（1行</w:t>
      </w:r>
      <w:r>
        <w:rPr>
          <w:rFonts w:ascii="仿宋_GB2312" w:eastAsia="仿宋_GB2312"/>
          <w:sz w:val="30"/>
          <w:szCs w:val="30"/>
        </w:rPr>
        <w:t>5</w:t>
      </w:r>
      <w:r>
        <w:rPr>
          <w:rFonts w:hint="eastAsia" w:ascii="华文中宋" w:hAnsi="华文中宋" w:eastAsia="华文中宋"/>
          <w:sz w:val="30"/>
          <w:szCs w:val="30"/>
        </w:rPr>
        <w:t>~</w:t>
      </w:r>
      <w:r>
        <w:rPr>
          <w:rFonts w:ascii="仿宋_GB2312" w:eastAsia="仿宋_GB2312"/>
          <w:sz w:val="30"/>
          <w:szCs w:val="30"/>
        </w:rPr>
        <w:t>9</w:t>
      </w:r>
      <w:r>
        <w:rPr>
          <w:rFonts w:hint="eastAsia" w:ascii="仿宋_GB2312" w:eastAsia="仿宋_GB2312"/>
          <w:sz w:val="30"/>
          <w:szCs w:val="30"/>
        </w:rPr>
        <w:t>、12栏=2行</w:t>
      </w:r>
      <w:r>
        <w:rPr>
          <w:rFonts w:ascii="仿宋_GB2312" w:eastAsia="仿宋_GB2312"/>
          <w:sz w:val="30"/>
          <w:szCs w:val="30"/>
        </w:rPr>
        <w:t>5</w:t>
      </w:r>
      <w:r>
        <w:rPr>
          <w:rFonts w:hint="eastAsia" w:ascii="华文中宋" w:hAnsi="华文中宋" w:eastAsia="华文中宋"/>
          <w:sz w:val="30"/>
          <w:szCs w:val="30"/>
        </w:rPr>
        <w:t>~</w:t>
      </w:r>
      <w:r>
        <w:rPr>
          <w:rFonts w:ascii="仿宋_GB2312" w:eastAsia="仿宋_GB2312"/>
          <w:sz w:val="30"/>
          <w:szCs w:val="30"/>
        </w:rPr>
        <w:t>9</w:t>
      </w:r>
      <w:r>
        <w:rPr>
          <w:rFonts w:hint="eastAsia" w:ascii="仿宋_GB2312" w:eastAsia="仿宋_GB2312"/>
          <w:sz w:val="30"/>
          <w:szCs w:val="30"/>
        </w:rPr>
        <w:t>、12栏浮动行之和）；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当期初账面数（</w:t>
      </w:r>
      <w:r>
        <w:rPr>
          <w:rFonts w:ascii="仿宋_GB2312" w:eastAsia="仿宋_GB2312"/>
          <w:sz w:val="30"/>
          <w:szCs w:val="30"/>
        </w:rPr>
        <w:t>8</w:t>
      </w:r>
      <w:r>
        <w:rPr>
          <w:rFonts w:hint="eastAsia" w:ascii="仿宋_GB2312" w:eastAsia="仿宋_GB2312"/>
          <w:sz w:val="30"/>
          <w:szCs w:val="30"/>
        </w:rPr>
        <w:t>栏）大于</w:t>
      </w:r>
      <w:r>
        <w:rPr>
          <w:rFonts w:ascii="仿宋_GB2312" w:eastAsia="仿宋_GB2312"/>
          <w:sz w:val="30"/>
          <w:szCs w:val="30"/>
        </w:rPr>
        <w:t>0</w:t>
      </w:r>
      <w:r>
        <w:rPr>
          <w:rFonts w:hint="eastAsia" w:ascii="仿宋_GB2312" w:eastAsia="仿宋_GB2312"/>
          <w:sz w:val="30"/>
          <w:szCs w:val="30"/>
        </w:rPr>
        <w:t>，期末账面数（</w:t>
      </w:r>
      <w:r>
        <w:rPr>
          <w:rFonts w:ascii="仿宋_GB2312" w:eastAsia="仿宋_GB2312"/>
          <w:sz w:val="30"/>
          <w:szCs w:val="30"/>
        </w:rPr>
        <w:t>9</w:t>
      </w:r>
      <w:r>
        <w:rPr>
          <w:rFonts w:hint="eastAsia" w:ascii="仿宋_GB2312" w:eastAsia="仿宋_GB2312"/>
          <w:sz w:val="30"/>
          <w:szCs w:val="30"/>
        </w:rPr>
        <w:t>栏）等于0时，工程建设情况（4栏）应为“已转固或其他”；</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计划投资总额、累计完成投资、当年投资额、期初账面数、期末账面数、已投入使用未转固房屋类在建工程建筑面积/土地收储项目收储面积（5</w:t>
      </w:r>
      <w:r>
        <w:rPr>
          <w:rFonts w:hint="eastAsia" w:ascii="华文中宋" w:hAnsi="华文中宋" w:eastAsia="华文中宋"/>
          <w:sz w:val="30"/>
          <w:szCs w:val="30"/>
        </w:rPr>
        <w:t>~</w:t>
      </w:r>
      <w:r>
        <w:rPr>
          <w:rFonts w:hint="eastAsia" w:ascii="仿宋_GB2312" w:eastAsia="仿宋_GB2312"/>
          <w:sz w:val="30"/>
          <w:szCs w:val="30"/>
        </w:rPr>
        <w:t>9、12栏）大于等于0。</w:t>
      </w:r>
    </w:p>
    <w:p>
      <w:pPr>
        <w:snapToGrid w:val="0"/>
        <w:spacing w:line="360" w:lineRule="auto"/>
        <w:ind w:firstLine="570"/>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hint="eastAsia" w:ascii="仿宋_GB2312" w:hAnsi="仿宋" w:eastAsia="仿宋_GB2312"/>
          <w:bCs/>
          <w:sz w:val="30"/>
          <w:szCs w:val="30"/>
        </w:rPr>
      </w:pPr>
      <w:r>
        <w:rPr>
          <w:rFonts w:hint="eastAsia" w:ascii="仿宋_GB2312" w:hAnsi="仿宋" w:eastAsia="仿宋_GB2312"/>
          <w:bCs/>
          <w:sz w:val="30"/>
          <w:szCs w:val="30"/>
        </w:rPr>
        <w:t>合计行期初账面数、期末账面数（1行</w:t>
      </w:r>
      <w:r>
        <w:rPr>
          <w:rFonts w:ascii="仿宋_GB2312" w:hAnsi="仿宋" w:eastAsia="仿宋_GB2312"/>
          <w:bCs/>
          <w:sz w:val="30"/>
          <w:szCs w:val="30"/>
        </w:rPr>
        <w:t>8</w:t>
      </w:r>
      <w:r>
        <w:rPr>
          <w:rFonts w:hint="eastAsia" w:ascii="仿宋_GB2312" w:hAnsi="仿宋" w:eastAsia="仿宋_GB2312"/>
          <w:bCs/>
          <w:sz w:val="30"/>
          <w:szCs w:val="30"/>
        </w:rPr>
        <w:t>、9栏）分别等于财资01表资产负债表的在建工程期初数、期末数（2</w:t>
      </w:r>
      <w:r>
        <w:rPr>
          <w:rFonts w:ascii="仿宋_GB2312" w:hAnsi="仿宋" w:eastAsia="仿宋_GB2312"/>
          <w:bCs/>
          <w:sz w:val="30"/>
          <w:szCs w:val="30"/>
        </w:rPr>
        <w:t>3</w:t>
      </w:r>
      <w:r>
        <w:rPr>
          <w:rFonts w:hint="eastAsia" w:ascii="仿宋_GB2312" w:hAnsi="仿宋" w:eastAsia="仿宋_GB2312"/>
          <w:bCs/>
          <w:sz w:val="30"/>
          <w:szCs w:val="30"/>
        </w:rPr>
        <w:t>行1、2栏）。</w:t>
      </w:r>
    </w:p>
    <w:p>
      <w:pPr>
        <w:snapToGrid w:val="0"/>
        <w:spacing w:line="360" w:lineRule="auto"/>
        <w:ind w:firstLine="570"/>
        <w:rPr>
          <w:rFonts w:hint="eastAsia" w:ascii="仿宋_GB2312" w:hAnsi="仿宋" w:eastAsia="仿宋_GB2312"/>
          <w:b/>
          <w:sz w:val="30"/>
          <w:szCs w:val="30"/>
        </w:rPr>
      </w:pPr>
      <w:r>
        <w:rPr>
          <w:rFonts w:hint="eastAsia" w:ascii="仿宋_GB2312" w:hAnsi="仿宋" w:eastAsia="仿宋_GB2312"/>
          <w:b/>
          <w:sz w:val="30"/>
          <w:szCs w:val="30"/>
        </w:rPr>
        <w:t>核实性公式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当工程建设情况（</w:t>
      </w:r>
      <w:r>
        <w:rPr>
          <w:rFonts w:ascii="仿宋_GB2312" w:eastAsia="仿宋_GB2312"/>
          <w:sz w:val="30"/>
          <w:szCs w:val="30"/>
        </w:rPr>
        <w:t>4</w:t>
      </w:r>
      <w:r>
        <w:rPr>
          <w:rFonts w:hint="eastAsia" w:ascii="仿宋_GB2312" w:eastAsia="仿宋_GB2312"/>
          <w:sz w:val="30"/>
          <w:szCs w:val="30"/>
        </w:rPr>
        <w:t>栏）选择“停建、建成未使用或其他”时，提示核实性错误，需结合实际情况修改或填写情况说明具体工程建设情况；</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当工程建设情况（</w:t>
      </w:r>
      <w:r>
        <w:rPr>
          <w:rFonts w:ascii="仿宋_GB2312" w:eastAsia="仿宋_GB2312"/>
          <w:sz w:val="30"/>
          <w:szCs w:val="30"/>
        </w:rPr>
        <w:t>4</w:t>
      </w:r>
      <w:r>
        <w:rPr>
          <w:rFonts w:hint="eastAsia" w:ascii="仿宋_GB2312" w:eastAsia="仿宋_GB2312"/>
          <w:sz w:val="30"/>
          <w:szCs w:val="30"/>
        </w:rPr>
        <w:t>栏）选择“已投入使用”，且未转固年限大于6个月时，请提供实际情况说明；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当开工日期（3栏）为空时，提示核实性错误，需结合实际情况修改或填写情况说明；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当期初或期末账面数（8或9栏）等于1时，提示核实性错误，需填写核实性说明。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当计划投资总额（5栏）等于</w:t>
      </w:r>
      <w:r>
        <w:rPr>
          <w:rFonts w:ascii="仿宋_GB2312" w:eastAsia="仿宋_GB2312"/>
          <w:sz w:val="30"/>
          <w:szCs w:val="30"/>
        </w:rPr>
        <w:t>0</w:t>
      </w:r>
      <w:r>
        <w:rPr>
          <w:rFonts w:hint="eastAsia" w:ascii="仿宋_GB2312" w:eastAsia="仿宋_GB2312"/>
          <w:sz w:val="30"/>
          <w:szCs w:val="30"/>
        </w:rPr>
        <w:t>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当工程建设情况（4栏）为“</w:t>
      </w:r>
      <w:r>
        <w:rPr>
          <w:rFonts w:hint="eastAsia" w:ascii="仿宋_GB2312" w:hAnsi="仿宋" w:eastAsia="仿宋_GB2312"/>
          <w:sz w:val="30"/>
          <w:szCs w:val="30"/>
        </w:rPr>
        <w:t>在建、停建、建成未使用、已投入使用、其他</w:t>
      </w:r>
      <w:r>
        <w:rPr>
          <w:rFonts w:hint="eastAsia" w:ascii="仿宋_GB2312" w:eastAsia="仿宋_GB2312"/>
          <w:sz w:val="30"/>
          <w:szCs w:val="30"/>
        </w:rPr>
        <w:t>”时，期初账面数（8栏）+当年投资额（7栏）=期末账面数（9栏），否则提示核实性错误，需结合实际情况修改或填写情况说明；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当工程建设情况（4栏）不为“</w:t>
      </w:r>
      <w:r>
        <w:rPr>
          <w:rFonts w:hint="eastAsia" w:ascii="仿宋_GB2312" w:hAnsi="仿宋" w:eastAsia="仿宋_GB2312"/>
          <w:sz w:val="30"/>
          <w:szCs w:val="30"/>
        </w:rPr>
        <w:t>在建、停建、建成未使用、已投入使用、其他</w:t>
      </w:r>
      <w:r>
        <w:rPr>
          <w:rFonts w:hint="eastAsia" w:ascii="仿宋_GB2312" w:eastAsia="仿宋_GB2312"/>
          <w:sz w:val="30"/>
          <w:szCs w:val="30"/>
        </w:rPr>
        <w:t>”时，且当年投资额（7栏）大于0，则期末账面数大于期初账面数（9栏＞8栏），否则提示核实性错误，需结合实际情况修改或填写情况说明；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期初账面数（8栏）、期末账面数（9栏）不得同时为0，否则提示核实性错误，需结合实际情况修改或填写情况说明。</w:t>
      </w:r>
    </w:p>
    <w:p>
      <w:pPr>
        <w:pStyle w:val="2"/>
        <w:rPr>
          <w:rFonts w:hint="eastAsia"/>
          <w:b/>
          <w:color w:val="auto"/>
        </w:rPr>
      </w:pPr>
      <w:r>
        <w:rPr>
          <w:rFonts w:hint="eastAsia"/>
          <w:color w:val="auto"/>
        </w:rPr>
        <w:t>（九）固定和无形资产配置情况表（财资</w:t>
      </w:r>
      <w:r>
        <w:rPr>
          <w:color w:val="auto"/>
        </w:rPr>
        <w:t>08</w:t>
      </w:r>
      <w:r>
        <w:rPr>
          <w:rFonts w:hint="eastAsia"/>
          <w:color w:val="auto"/>
        </w:rPr>
        <w:t>表</w:t>
      </w:r>
      <w:r>
        <w:rPr>
          <w:rFonts w:hint="eastAsia"/>
          <w:color w:val="auto"/>
          <w:spacing w:val="6"/>
        </w:rPr>
        <w:t>）</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本表反映行政事业单位通过不同配置方式</w:t>
      </w:r>
      <w:r>
        <w:rPr>
          <w:rFonts w:ascii="仿宋_GB2312" w:eastAsia="仿宋_GB2312"/>
          <w:kern w:val="0"/>
          <w:sz w:val="30"/>
          <w:szCs w:val="30"/>
        </w:rPr>
        <w:t>本年</w:t>
      </w:r>
      <w:r>
        <w:rPr>
          <w:rFonts w:hint="eastAsia" w:ascii="仿宋_GB2312" w:eastAsia="仿宋_GB2312"/>
          <w:kern w:val="0"/>
          <w:sz w:val="30"/>
          <w:szCs w:val="30"/>
        </w:rPr>
        <w:t>增加</w:t>
      </w:r>
      <w:r>
        <w:rPr>
          <w:rFonts w:ascii="仿宋_GB2312" w:eastAsia="仿宋_GB2312"/>
          <w:kern w:val="0"/>
          <w:sz w:val="30"/>
          <w:szCs w:val="30"/>
        </w:rPr>
        <w:t>固定</w:t>
      </w:r>
      <w:r>
        <w:rPr>
          <w:rFonts w:hint="eastAsia" w:ascii="仿宋_GB2312" w:eastAsia="仿宋_GB2312"/>
          <w:kern w:val="0"/>
          <w:sz w:val="30"/>
          <w:szCs w:val="30"/>
        </w:rPr>
        <w:t>和无形</w:t>
      </w:r>
      <w:r>
        <w:rPr>
          <w:rFonts w:ascii="仿宋_GB2312" w:eastAsia="仿宋_GB2312"/>
          <w:kern w:val="0"/>
          <w:sz w:val="30"/>
          <w:szCs w:val="30"/>
        </w:rPr>
        <w:t>资产</w:t>
      </w:r>
      <w:r>
        <w:rPr>
          <w:rFonts w:hint="eastAsia" w:ascii="仿宋_GB2312" w:eastAsia="仿宋_GB2312"/>
          <w:kern w:val="0"/>
          <w:sz w:val="30"/>
          <w:szCs w:val="30"/>
        </w:rPr>
        <w:t>的账面数情况，由资产模块中资产卡片相关数据提取填报。</w:t>
      </w:r>
    </w:p>
    <w:p>
      <w:pPr>
        <w:spacing w:line="360" w:lineRule="auto"/>
        <w:ind w:firstLine="602" w:firstLineChars="200"/>
        <w:rPr>
          <w:rFonts w:ascii="仿宋_GB2312" w:eastAsia="仿宋_GB2312"/>
          <w:b/>
          <w:bCs/>
          <w:kern w:val="0"/>
          <w:sz w:val="30"/>
          <w:szCs w:val="30"/>
        </w:rPr>
      </w:pPr>
      <w:r>
        <w:rPr>
          <w:rFonts w:hint="eastAsia" w:ascii="仿宋_GB2312" w:eastAsia="仿宋_GB2312"/>
          <w:b/>
          <w:bCs/>
          <w:kern w:val="0"/>
          <w:sz w:val="30"/>
          <w:szCs w:val="30"/>
        </w:rPr>
        <w:t>主要指标说明：</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1</w:t>
      </w:r>
      <w:r>
        <w:rPr>
          <w:rFonts w:ascii="仿宋_GB2312" w:eastAsia="仿宋_GB2312"/>
          <w:kern w:val="0"/>
          <w:sz w:val="30"/>
          <w:szCs w:val="30"/>
        </w:rPr>
        <w:t>.</w:t>
      </w:r>
      <w:r>
        <w:rPr>
          <w:rFonts w:hint="eastAsia" w:ascii="仿宋_GB2312" w:eastAsia="仿宋_GB2312"/>
          <w:kern w:val="0"/>
          <w:sz w:val="30"/>
          <w:szCs w:val="30"/>
        </w:rPr>
        <w:t>本年账面增加数：该指标按照配置方式分别提取。</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配置</w:t>
      </w:r>
      <w:r>
        <w:rPr>
          <w:rFonts w:ascii="仿宋_GB2312" w:eastAsia="仿宋_GB2312"/>
          <w:kern w:val="0"/>
          <w:sz w:val="30"/>
          <w:szCs w:val="30"/>
        </w:rPr>
        <w:t>方</w:t>
      </w:r>
      <w:r>
        <w:rPr>
          <w:rFonts w:hint="eastAsia" w:ascii="仿宋_GB2312" w:eastAsia="仿宋_GB2312"/>
          <w:kern w:val="0"/>
          <w:sz w:val="30"/>
          <w:szCs w:val="30"/>
        </w:rPr>
        <w:t>式</w:t>
      </w:r>
      <w:r>
        <w:rPr>
          <w:rFonts w:ascii="仿宋_GB2312" w:eastAsia="仿宋_GB2312"/>
          <w:kern w:val="0"/>
          <w:sz w:val="30"/>
          <w:szCs w:val="30"/>
        </w:rPr>
        <w:t>分为</w:t>
      </w:r>
      <w:r>
        <w:rPr>
          <w:rFonts w:hint="eastAsia" w:ascii="仿宋_GB2312" w:eastAsia="仿宋_GB2312"/>
          <w:kern w:val="0"/>
          <w:sz w:val="30"/>
          <w:szCs w:val="30"/>
        </w:rPr>
        <w:t>建设、新购</w:t>
      </w:r>
      <w:r>
        <w:rPr>
          <w:rFonts w:ascii="仿宋_GB2312" w:eastAsia="仿宋_GB2312"/>
          <w:kern w:val="0"/>
          <w:sz w:val="30"/>
          <w:szCs w:val="30"/>
        </w:rPr>
        <w:t>、调拨、接受捐赠、</w:t>
      </w:r>
      <w:r>
        <w:rPr>
          <w:rFonts w:hint="eastAsia" w:ascii="仿宋_GB2312" w:eastAsia="仿宋_GB2312"/>
          <w:kern w:val="0"/>
          <w:sz w:val="30"/>
          <w:szCs w:val="30"/>
        </w:rPr>
        <w:t>置换</w:t>
      </w:r>
      <w:r>
        <w:rPr>
          <w:rFonts w:ascii="仿宋_GB2312" w:eastAsia="仿宋_GB2312"/>
          <w:kern w:val="0"/>
          <w:sz w:val="30"/>
          <w:szCs w:val="30"/>
        </w:rPr>
        <w:t>、其他等五种方式</w:t>
      </w:r>
      <w:r>
        <w:rPr>
          <w:rFonts w:hint="eastAsia" w:ascii="仿宋_GB2312" w:eastAsia="仿宋_GB2312"/>
          <w:kern w:val="0"/>
          <w:sz w:val="30"/>
          <w:szCs w:val="30"/>
        </w:rPr>
        <w:t>。其中：</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建设是指以自建或自行研制等方式配置资产的行为配置的资产。</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新购是指以购买的方式配置资产的行为、以融资租入方式配置</w:t>
      </w:r>
      <w:r>
        <w:rPr>
          <w:rFonts w:ascii="仿宋_GB2312" w:eastAsia="仿宋_GB2312"/>
          <w:kern w:val="0"/>
          <w:sz w:val="30"/>
          <w:szCs w:val="30"/>
        </w:rPr>
        <w:t>资产的行为</w:t>
      </w:r>
      <w:r>
        <w:rPr>
          <w:rFonts w:hint="eastAsia" w:ascii="仿宋_GB2312" w:eastAsia="仿宋_GB2312"/>
          <w:kern w:val="0"/>
          <w:sz w:val="30"/>
          <w:szCs w:val="30"/>
        </w:rPr>
        <w:t>等。</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调拨是</w:t>
      </w:r>
      <w:r>
        <w:rPr>
          <w:rFonts w:ascii="仿宋_GB2312" w:eastAsia="仿宋_GB2312"/>
          <w:kern w:val="0"/>
          <w:sz w:val="30"/>
          <w:szCs w:val="30"/>
        </w:rPr>
        <w:t>指</w:t>
      </w:r>
      <w:r>
        <w:rPr>
          <w:rFonts w:hint="eastAsia" w:ascii="仿宋_GB2312" w:eastAsia="仿宋_GB2312"/>
          <w:kern w:val="0"/>
          <w:sz w:val="30"/>
          <w:szCs w:val="30"/>
        </w:rPr>
        <w:t>以无偿调入的方式配置资产的</w:t>
      </w:r>
      <w:r>
        <w:rPr>
          <w:rFonts w:ascii="仿宋_GB2312" w:eastAsia="仿宋_GB2312"/>
          <w:kern w:val="0"/>
          <w:sz w:val="30"/>
          <w:szCs w:val="30"/>
        </w:rPr>
        <w:t>行为</w:t>
      </w:r>
      <w:r>
        <w:rPr>
          <w:rFonts w:hint="eastAsia" w:ascii="仿宋_GB2312" w:eastAsia="仿宋_GB2312"/>
          <w:kern w:val="0"/>
          <w:sz w:val="30"/>
          <w:szCs w:val="30"/>
        </w:rPr>
        <w:t>，机构合并涉及的资产划转不作为调拨配置资产。</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接</w:t>
      </w:r>
      <w:r>
        <w:rPr>
          <w:rFonts w:ascii="仿宋_GB2312" w:eastAsia="仿宋_GB2312"/>
          <w:kern w:val="0"/>
          <w:sz w:val="30"/>
          <w:szCs w:val="30"/>
        </w:rPr>
        <w:t>受捐赠是</w:t>
      </w:r>
      <w:r>
        <w:rPr>
          <w:rFonts w:hint="eastAsia" w:ascii="仿宋_GB2312" w:eastAsia="仿宋_GB2312"/>
          <w:kern w:val="0"/>
          <w:sz w:val="30"/>
          <w:szCs w:val="30"/>
        </w:rPr>
        <w:t>指单位通过接受捐赠的方式配置资产的</w:t>
      </w:r>
      <w:r>
        <w:rPr>
          <w:rFonts w:ascii="仿宋_GB2312" w:eastAsia="仿宋_GB2312"/>
          <w:kern w:val="0"/>
          <w:sz w:val="30"/>
          <w:szCs w:val="30"/>
        </w:rPr>
        <w:t>行为</w:t>
      </w:r>
      <w:r>
        <w:rPr>
          <w:rFonts w:hint="eastAsia" w:ascii="仿宋_GB2312" w:eastAsia="仿宋_GB2312"/>
          <w:kern w:val="0"/>
          <w:sz w:val="30"/>
          <w:szCs w:val="30"/>
        </w:rPr>
        <w:t>。</w:t>
      </w:r>
    </w:p>
    <w:p>
      <w:pPr>
        <w:spacing w:line="360" w:lineRule="auto"/>
        <w:ind w:firstLine="600"/>
        <w:rPr>
          <w:rFonts w:ascii="仿宋_GB2312" w:eastAsia="仿宋_GB2312"/>
          <w:kern w:val="0"/>
          <w:sz w:val="30"/>
          <w:szCs w:val="30"/>
        </w:rPr>
      </w:pPr>
      <w:bookmarkStart w:id="12" w:name="_Hlk22747900"/>
      <w:r>
        <w:rPr>
          <w:rFonts w:hint="eastAsia" w:ascii="仿宋_GB2312" w:eastAsia="仿宋_GB2312"/>
          <w:kern w:val="0"/>
          <w:sz w:val="30"/>
          <w:szCs w:val="30"/>
        </w:rPr>
        <w:t>置换是指单位与其他单位以非货币性资产为主进行资产交换的行为，此交换不涉及或只涉及少量的货币性资产（即补价）。</w:t>
      </w:r>
    </w:p>
    <w:bookmarkEnd w:id="12"/>
    <w:p>
      <w:pPr>
        <w:spacing w:line="360" w:lineRule="auto"/>
        <w:ind w:firstLine="600"/>
        <w:rPr>
          <w:rFonts w:ascii="仿宋_GB2312" w:eastAsia="仿宋_GB2312"/>
          <w:kern w:val="0"/>
          <w:sz w:val="30"/>
          <w:szCs w:val="30"/>
        </w:rPr>
      </w:pPr>
      <w:r>
        <w:rPr>
          <w:rFonts w:hint="eastAsia" w:ascii="仿宋_GB2312" w:eastAsia="仿宋_GB2312"/>
          <w:kern w:val="0"/>
          <w:sz w:val="30"/>
          <w:szCs w:val="30"/>
        </w:rPr>
        <w:t>其他是指价值变动增加和盘盈等情况。</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数量、原值、累计折旧/摊销、净值：由资产模块中资产卡片相关数据提取。</w:t>
      </w:r>
      <w:r>
        <w:rPr>
          <w:rFonts w:ascii="仿宋_GB2312" w:eastAsia="仿宋_GB2312"/>
          <w:kern w:val="0"/>
          <w:sz w:val="30"/>
          <w:szCs w:val="30"/>
        </w:rPr>
        <w:t>按照有关规定并报经有关部门批准</w:t>
      </w:r>
      <w:r>
        <w:rPr>
          <w:rFonts w:hint="eastAsia" w:ascii="仿宋_GB2312" w:eastAsia="仿宋_GB2312"/>
          <w:kern w:val="0"/>
          <w:sz w:val="30"/>
          <w:szCs w:val="30"/>
        </w:rPr>
        <w:t>接受捐赠、</w:t>
      </w:r>
      <w:r>
        <w:rPr>
          <w:rFonts w:ascii="仿宋_GB2312" w:eastAsia="仿宋_GB2312"/>
          <w:kern w:val="0"/>
          <w:sz w:val="30"/>
          <w:szCs w:val="30"/>
        </w:rPr>
        <w:t>无偿调入或置换进来的资产，</w:t>
      </w:r>
      <w:r>
        <w:rPr>
          <w:rFonts w:hint="eastAsia" w:ascii="仿宋_GB2312" w:eastAsia="仿宋_GB2312"/>
          <w:kern w:val="0"/>
          <w:sz w:val="30"/>
          <w:szCs w:val="30"/>
        </w:rPr>
        <w:t>应按照政府会计准则制度相关规定确定入账价值。</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r>
        <w:rPr>
          <w:rFonts w:ascii="仿宋_GB2312" w:hAnsi="仿宋" w:eastAsia="仿宋_GB2312"/>
          <w:b/>
          <w:sz w:val="30"/>
          <w:szCs w:val="30"/>
        </w:rPr>
        <w:t>：</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合计（1行）各栏应等于固定资产（2行）和无形资产（20行）对应栏次之和；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固定资产（2行）各栏应等于房屋和构筑物（3行）、设备（10行）、陈列品（16行）、图书和档案（17行）、家具和用具（18行）、特种动植物（19行）对应栏次之和；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房屋和构筑物（3行）应大于等于土地（4行）和房屋（5行）对应栏次之和；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房屋（</w:t>
      </w:r>
      <w:r>
        <w:rPr>
          <w:rFonts w:ascii="仿宋_GB2312" w:hAnsi="仿宋" w:eastAsia="仿宋_GB2312"/>
          <w:sz w:val="30"/>
          <w:szCs w:val="30"/>
        </w:rPr>
        <w:t>5</w:t>
      </w:r>
      <w:r>
        <w:rPr>
          <w:rFonts w:hint="eastAsia" w:ascii="仿宋_GB2312" w:hAnsi="仿宋" w:eastAsia="仿宋_GB2312"/>
          <w:sz w:val="30"/>
          <w:szCs w:val="30"/>
        </w:rPr>
        <w:t>行）各栏次应等于办公用房（6行）、业务用房（8行）和其他用房（9行）对应栏次之和；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设备（10行）各栏次应大于等于车辆（11行）和单价100万（含）以上（不含车辆）（12行）对应栏次之和；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单价100万（含）以上（不含车辆）（12行）各栏次应大于等于医疗设备（13行）和科研设备（14行）对应栏次之和；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科研设备（14行）各栏次应大于等于共享共用（15行）各栏次；</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无形资产（20行）各栏应大于等于专利（21行）、非专利技术（22行）、土地使用权（23行）、计算机软件（24行）对应栏次之和；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合计栏各行次等于新购、调拨、接受捐赠、置换和其他对应行次之和；</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所有指标大于等于0；</w:t>
      </w:r>
    </w:p>
    <w:p>
      <w:pPr>
        <w:numPr>
          <w:ilvl w:val="0"/>
          <w:numId w:val="6"/>
        </w:numPr>
        <w:adjustRightInd w:val="0"/>
        <w:snapToGrid w:val="0"/>
        <w:spacing w:line="360" w:lineRule="auto"/>
        <w:ind w:left="-142" w:firstLine="568"/>
        <w:jc w:val="left"/>
        <w:rPr>
          <w:rFonts w:hint="eastAsia" w:ascii="仿宋_GB2312" w:hAnsi="仿宋" w:eastAsia="仿宋_GB2312"/>
          <w:sz w:val="30"/>
          <w:szCs w:val="30"/>
        </w:rPr>
      </w:pPr>
      <w:r>
        <w:rPr>
          <w:rFonts w:hint="eastAsia" w:ascii="仿宋_GB2312" w:hAnsi="仿宋" w:eastAsia="仿宋_GB2312"/>
          <w:sz w:val="30"/>
          <w:szCs w:val="30"/>
        </w:rPr>
        <w:t>净值=原值-累计折旧/摊销。</w:t>
      </w:r>
    </w:p>
    <w:p>
      <w:pPr>
        <w:pStyle w:val="2"/>
        <w:rPr>
          <w:rFonts w:hint="eastAsia"/>
          <w:b/>
          <w:color w:val="auto"/>
        </w:rPr>
      </w:pPr>
      <w:r>
        <w:rPr>
          <w:rFonts w:hint="eastAsia"/>
          <w:color w:val="auto"/>
        </w:rPr>
        <w:t>（十）出租出借情况表（财资09表）</w:t>
      </w:r>
    </w:p>
    <w:p>
      <w:pPr>
        <w:pStyle w:val="7"/>
        <w:spacing w:line="360" w:lineRule="auto"/>
        <w:ind w:firstLine="612"/>
        <w:rPr>
          <w:rFonts w:hint="eastAsia" w:hAnsi="仿宋"/>
          <w:sz w:val="30"/>
          <w:szCs w:val="30"/>
        </w:rPr>
      </w:pPr>
      <w:r>
        <w:rPr>
          <w:rFonts w:hint="eastAsia" w:hAnsi="仿宋"/>
          <w:sz w:val="30"/>
          <w:szCs w:val="30"/>
        </w:rPr>
        <w:t>本表反映行政事业单位本期账面资产出租出借的相关情况，包括</w:t>
      </w:r>
      <w:r>
        <w:rPr>
          <w:rFonts w:hAnsi="仿宋"/>
          <w:sz w:val="30"/>
          <w:szCs w:val="30"/>
        </w:rPr>
        <w:t>期末</w:t>
      </w:r>
      <w:r>
        <w:rPr>
          <w:rFonts w:hint="eastAsia" w:hAnsi="仿宋"/>
          <w:sz w:val="30"/>
          <w:szCs w:val="30"/>
        </w:rPr>
        <w:t>尚在</w:t>
      </w:r>
      <w:r>
        <w:rPr>
          <w:rFonts w:hAnsi="仿宋"/>
          <w:sz w:val="30"/>
          <w:szCs w:val="30"/>
        </w:rPr>
        <w:t>出租出借</w:t>
      </w:r>
      <w:r>
        <w:rPr>
          <w:rFonts w:hint="eastAsia" w:hAnsi="仿宋"/>
          <w:sz w:val="30"/>
          <w:szCs w:val="30"/>
        </w:rPr>
        <w:t>资产和本期内结束出租出借资产。单位在资产模块中执行出租出借申请并得到批复的，</w:t>
      </w:r>
      <w:bookmarkStart w:id="13" w:name="_Hlk51839059"/>
      <w:r>
        <w:rPr>
          <w:rFonts w:hint="eastAsia" w:hAnsi="仿宋"/>
          <w:sz w:val="30"/>
          <w:szCs w:val="30"/>
        </w:rPr>
        <w:t>本表</w:t>
      </w:r>
      <w:bookmarkStart w:id="14" w:name="_Hlk20425460"/>
      <w:r>
        <w:rPr>
          <w:rFonts w:hint="eastAsia" w:hAnsi="仿宋"/>
          <w:sz w:val="30"/>
          <w:szCs w:val="30"/>
        </w:rPr>
        <w:t>从</w:t>
      </w:r>
      <w:bookmarkEnd w:id="13"/>
      <w:r>
        <w:rPr>
          <w:rFonts w:hint="eastAsia" w:hAnsi="仿宋"/>
          <w:sz w:val="30"/>
          <w:szCs w:val="30"/>
        </w:rPr>
        <w:t>出租出借执行单自动提取</w:t>
      </w:r>
      <w:bookmarkEnd w:id="14"/>
      <w:r>
        <w:rPr>
          <w:rFonts w:hint="eastAsia" w:hAnsi="仿宋"/>
          <w:sz w:val="30"/>
          <w:szCs w:val="30"/>
        </w:rPr>
        <w:t>；由于历史原因未在资产模块中执行出租出借申请的，应据实补录历史出租出借登记单后自动提取。为避免重复统计出租出借资产价值，同一资产（房屋、土地等资产以拆分后出租出借部分为准）本期多次出租出借的，应合并作为一条记录填写，其中“承租(借)方”、“出租(借)期限”、“审批情况”按照最新合同信息填写，“本期实收出租（借）收益”按照合并后的当年总收益进行填列。</w:t>
      </w:r>
    </w:p>
    <w:p>
      <w:pPr>
        <w:pStyle w:val="7"/>
        <w:spacing w:line="360" w:lineRule="auto"/>
        <w:ind w:firstLine="648" w:firstLineChars="0"/>
        <w:rPr>
          <w:rFonts w:hint="eastAsia"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1.资产编号、资产名称：从出租出借执行单自动提取或手工填列。</w:t>
      </w:r>
    </w:p>
    <w:p>
      <w:pPr>
        <w:pStyle w:val="7"/>
        <w:spacing w:line="360" w:lineRule="auto"/>
        <w:ind w:firstLine="612"/>
        <w:rPr>
          <w:rFonts w:hint="eastAsia" w:hAnsi="仿宋"/>
          <w:sz w:val="30"/>
          <w:szCs w:val="30"/>
        </w:rPr>
      </w:pPr>
      <w:r>
        <w:rPr>
          <w:rFonts w:hint="eastAsia" w:hAnsi="仿宋"/>
          <w:sz w:val="30"/>
          <w:szCs w:val="30"/>
        </w:rPr>
        <w:t>2.资产分类：根据出租资产类别，分别选择固定资产、无形资产、流动资产、在建工程和其他资产填列，其中固定资产依据《固定资产等资产基础分类与代码》（GB/T 14885-20</w:t>
      </w:r>
      <w:r>
        <w:rPr>
          <w:rFonts w:hAnsi="仿宋"/>
          <w:sz w:val="30"/>
          <w:szCs w:val="30"/>
        </w:rPr>
        <w:t>22</w:t>
      </w:r>
      <w:r>
        <w:rPr>
          <w:rFonts w:hint="eastAsia" w:hAnsi="仿宋"/>
          <w:sz w:val="30"/>
          <w:szCs w:val="30"/>
        </w:rPr>
        <w:t>）标准编码的选项，按固定资产分类代码进行填列；无形资产依据《无形资产分类与代码》（GB</w:t>
      </w:r>
      <w:r>
        <w:rPr>
          <w:rFonts w:hAnsi="仿宋"/>
          <w:sz w:val="30"/>
          <w:szCs w:val="30"/>
        </w:rPr>
        <w:t>/</w:t>
      </w:r>
      <w:r>
        <w:rPr>
          <w:rFonts w:hint="eastAsia" w:hAnsi="仿宋"/>
          <w:sz w:val="30"/>
          <w:szCs w:val="30"/>
        </w:rPr>
        <w:t>T 35416-2017）标准编码的选项，按无形资产分类代码进行填列；流动资产按货币资金、其他流动资产选择填列；在建工程按实际情况填列；不属于上述资产范围的出租出借事项按其他资产填列，如户外附属设施等。</w:t>
      </w:r>
    </w:p>
    <w:p>
      <w:pPr>
        <w:pStyle w:val="7"/>
        <w:spacing w:line="360" w:lineRule="auto"/>
        <w:ind w:firstLine="612"/>
        <w:rPr>
          <w:rFonts w:hint="eastAsia" w:hAnsi="仿宋"/>
          <w:sz w:val="30"/>
          <w:szCs w:val="30"/>
        </w:rPr>
      </w:pPr>
      <w:r>
        <w:rPr>
          <w:rFonts w:hAnsi="仿宋"/>
          <w:sz w:val="30"/>
          <w:szCs w:val="30"/>
        </w:rPr>
        <w:t>3.</w:t>
      </w:r>
      <w:r>
        <w:rPr>
          <w:rFonts w:hint="eastAsia" w:hAnsi="仿宋"/>
          <w:sz w:val="30"/>
          <w:szCs w:val="30"/>
        </w:rPr>
        <w:t>取得日期：反映固定（无形）资产的取得日期，从卡片自动提取。</w:t>
      </w:r>
    </w:p>
    <w:p>
      <w:pPr>
        <w:pStyle w:val="7"/>
        <w:spacing w:line="360" w:lineRule="auto"/>
        <w:ind w:firstLine="612"/>
        <w:rPr>
          <w:rFonts w:hint="eastAsia" w:hAnsi="仿宋"/>
          <w:sz w:val="30"/>
          <w:szCs w:val="30"/>
        </w:rPr>
      </w:pPr>
      <w:r>
        <w:rPr>
          <w:rFonts w:hAnsi="仿宋"/>
          <w:sz w:val="30"/>
          <w:szCs w:val="30"/>
        </w:rPr>
        <w:t>4.</w:t>
      </w:r>
      <w:r>
        <w:rPr>
          <w:rFonts w:hint="eastAsia" w:hAnsi="仿宋"/>
          <w:sz w:val="30"/>
          <w:szCs w:val="30"/>
        </w:rPr>
        <w:t>账面数量/面积：指用于出租出借资产实际取得时的数量</w:t>
      </w:r>
      <w:r>
        <w:rPr>
          <w:rFonts w:hAnsi="仿宋"/>
          <w:sz w:val="30"/>
          <w:szCs w:val="30"/>
        </w:rPr>
        <w:t>/面积。</w:t>
      </w:r>
    </w:p>
    <w:p>
      <w:pPr>
        <w:pStyle w:val="7"/>
        <w:spacing w:line="360" w:lineRule="auto"/>
        <w:ind w:firstLine="612"/>
        <w:rPr>
          <w:rFonts w:hint="eastAsia" w:hAnsi="仿宋"/>
          <w:sz w:val="30"/>
          <w:szCs w:val="30"/>
        </w:rPr>
      </w:pPr>
      <w:r>
        <w:rPr>
          <w:rFonts w:hAnsi="仿宋"/>
          <w:sz w:val="30"/>
          <w:szCs w:val="30"/>
        </w:rPr>
        <w:t>5.账面原值：指用于出租出借资产实际取得时原值。</w:t>
      </w:r>
    </w:p>
    <w:p>
      <w:pPr>
        <w:pStyle w:val="7"/>
        <w:spacing w:line="360" w:lineRule="auto"/>
        <w:ind w:firstLine="612"/>
        <w:rPr>
          <w:rFonts w:hint="eastAsia" w:hAnsi="仿宋"/>
          <w:sz w:val="30"/>
          <w:szCs w:val="30"/>
        </w:rPr>
      </w:pPr>
      <w:r>
        <w:rPr>
          <w:rFonts w:hAnsi="仿宋"/>
          <w:sz w:val="30"/>
          <w:szCs w:val="30"/>
        </w:rPr>
        <w:t>6.</w:t>
      </w:r>
      <w:r>
        <w:rPr>
          <w:rFonts w:hint="eastAsia" w:hAnsi="仿宋"/>
          <w:sz w:val="30"/>
          <w:szCs w:val="30"/>
        </w:rPr>
        <w:t>出租出借方式：包括出租、出借。从出租出借执行单直接提取，其中出租映射为“出租”，出借映射为“出借”。</w:t>
      </w:r>
    </w:p>
    <w:p>
      <w:pPr>
        <w:pStyle w:val="7"/>
        <w:spacing w:line="360" w:lineRule="auto"/>
        <w:ind w:firstLine="612"/>
        <w:rPr>
          <w:rFonts w:hint="eastAsia" w:hAnsi="仿宋"/>
          <w:sz w:val="30"/>
          <w:szCs w:val="30"/>
        </w:rPr>
      </w:pPr>
      <w:r>
        <w:rPr>
          <w:rFonts w:hint="eastAsia" w:hAnsi="仿宋"/>
          <w:sz w:val="30"/>
          <w:szCs w:val="30"/>
        </w:rPr>
        <w:t>7</w:t>
      </w:r>
      <w:r>
        <w:rPr>
          <w:rFonts w:hAnsi="仿宋"/>
          <w:sz w:val="30"/>
          <w:szCs w:val="30"/>
        </w:rPr>
        <w:t>.出租出借数量/</w:t>
      </w:r>
      <w:r>
        <w:rPr>
          <w:rFonts w:hint="eastAsia" w:hAnsi="仿宋"/>
          <w:sz w:val="30"/>
          <w:szCs w:val="30"/>
        </w:rPr>
        <w:t>面积：出租出借设备和车辆等按实际出租出借的数量填列。出租出借房屋按实际出租出借的面积填列。</w:t>
      </w:r>
    </w:p>
    <w:p>
      <w:pPr>
        <w:pStyle w:val="7"/>
        <w:spacing w:line="360" w:lineRule="auto"/>
        <w:ind w:firstLine="612"/>
        <w:rPr>
          <w:rFonts w:hint="eastAsia" w:hAnsi="仿宋"/>
          <w:sz w:val="30"/>
          <w:szCs w:val="30"/>
        </w:rPr>
      </w:pPr>
      <w:r>
        <w:rPr>
          <w:rFonts w:hint="eastAsia" w:hAnsi="仿宋"/>
          <w:sz w:val="30"/>
          <w:szCs w:val="30"/>
        </w:rPr>
        <w:t>8</w:t>
      </w:r>
      <w:r>
        <w:rPr>
          <w:rFonts w:hAnsi="仿宋"/>
          <w:sz w:val="30"/>
          <w:szCs w:val="30"/>
        </w:rPr>
        <w:t>.出租出借资产价值：</w:t>
      </w:r>
      <w:r>
        <w:rPr>
          <w:rFonts w:hint="eastAsia" w:hAnsi="仿宋"/>
          <w:sz w:val="30"/>
          <w:szCs w:val="30"/>
        </w:rPr>
        <w:t>如出租出借房屋和构筑物，</w:t>
      </w:r>
      <w:r>
        <w:rPr>
          <w:rFonts w:hAnsi="仿宋"/>
          <w:sz w:val="30"/>
          <w:szCs w:val="30"/>
        </w:rPr>
        <w:t>由软件自动计算</w:t>
      </w:r>
      <w:r>
        <w:rPr>
          <w:rFonts w:hint="eastAsia" w:hAnsi="仿宋"/>
          <w:sz w:val="30"/>
          <w:szCs w:val="30"/>
        </w:rPr>
        <w:t>得出</w:t>
      </w:r>
      <w:r>
        <w:rPr>
          <w:rFonts w:hAnsi="仿宋"/>
          <w:sz w:val="30"/>
          <w:szCs w:val="30"/>
        </w:rPr>
        <w:t>，</w:t>
      </w:r>
      <w:r>
        <w:rPr>
          <w:rFonts w:hint="eastAsia" w:hAnsi="仿宋"/>
          <w:sz w:val="30"/>
          <w:szCs w:val="30"/>
        </w:rPr>
        <w:t>出租出借资产</w:t>
      </w:r>
      <w:r>
        <w:rPr>
          <w:rFonts w:hAnsi="仿宋"/>
          <w:sz w:val="30"/>
          <w:szCs w:val="30"/>
        </w:rPr>
        <w:t>价值=</w:t>
      </w:r>
      <w:r>
        <w:rPr>
          <w:rFonts w:hint="eastAsia" w:hAnsi="仿宋"/>
          <w:sz w:val="30"/>
          <w:szCs w:val="30"/>
        </w:rPr>
        <w:t>“</w:t>
      </w:r>
      <w:r>
        <w:rPr>
          <w:rFonts w:hAnsi="仿宋"/>
          <w:sz w:val="30"/>
          <w:szCs w:val="30"/>
        </w:rPr>
        <w:t>出租出借数量/面积”/“</w:t>
      </w:r>
      <w:r>
        <w:rPr>
          <w:rFonts w:hint="eastAsia" w:hAnsi="仿宋"/>
          <w:sz w:val="30"/>
          <w:szCs w:val="30"/>
        </w:rPr>
        <w:t>出租出借</w:t>
      </w:r>
      <w:r>
        <w:rPr>
          <w:rFonts w:hAnsi="仿宋"/>
          <w:sz w:val="30"/>
          <w:szCs w:val="30"/>
        </w:rPr>
        <w:t>资产</w:t>
      </w:r>
      <w:r>
        <w:rPr>
          <w:rFonts w:hint="eastAsia" w:hAnsi="仿宋"/>
          <w:sz w:val="30"/>
          <w:szCs w:val="30"/>
        </w:rPr>
        <w:t>的</w:t>
      </w:r>
      <w:r>
        <w:rPr>
          <w:rFonts w:hAnsi="仿宋"/>
          <w:sz w:val="30"/>
          <w:szCs w:val="30"/>
        </w:rPr>
        <w:t>总</w:t>
      </w:r>
      <w:r>
        <w:rPr>
          <w:rFonts w:hint="eastAsia" w:hAnsi="仿宋"/>
          <w:sz w:val="30"/>
          <w:szCs w:val="30"/>
        </w:rPr>
        <w:t>数量</w:t>
      </w:r>
      <w:r>
        <w:rPr>
          <w:rFonts w:hAnsi="仿宋"/>
          <w:sz w:val="30"/>
          <w:szCs w:val="30"/>
        </w:rPr>
        <w:t>/</w:t>
      </w:r>
      <w:r>
        <w:rPr>
          <w:rFonts w:hint="eastAsia" w:hAnsi="仿宋"/>
          <w:sz w:val="30"/>
          <w:szCs w:val="30"/>
        </w:rPr>
        <w:t>面积</w:t>
      </w:r>
      <w:r>
        <w:rPr>
          <w:rFonts w:hAnsi="仿宋"/>
          <w:sz w:val="30"/>
          <w:szCs w:val="30"/>
        </w:rPr>
        <w:t>”</w:t>
      </w:r>
      <w:r>
        <w:rPr>
          <w:rFonts w:hint="eastAsia" w:hAnsi="仿宋"/>
          <w:sz w:val="30"/>
          <w:szCs w:val="30"/>
        </w:rPr>
        <w:t>×</w:t>
      </w:r>
      <w:r>
        <w:rPr>
          <w:rFonts w:hAnsi="仿宋"/>
          <w:sz w:val="30"/>
          <w:szCs w:val="30"/>
        </w:rPr>
        <w:t>账面原值。</w:t>
      </w:r>
      <w:r>
        <w:rPr>
          <w:rFonts w:hint="eastAsia" w:hAnsi="仿宋"/>
          <w:sz w:val="30"/>
          <w:szCs w:val="30"/>
        </w:rPr>
        <w:t>如出租出借除房屋和构筑物以外的其他资产，出租出借资产价值</w:t>
      </w:r>
      <w:r>
        <w:rPr>
          <w:rFonts w:hAnsi="仿宋"/>
          <w:sz w:val="30"/>
          <w:szCs w:val="30"/>
        </w:rPr>
        <w:t>=账面原值。</w:t>
      </w:r>
    </w:p>
    <w:p>
      <w:pPr>
        <w:pStyle w:val="7"/>
        <w:spacing w:line="360" w:lineRule="auto"/>
        <w:ind w:firstLine="612"/>
        <w:rPr>
          <w:rFonts w:hint="eastAsia" w:hAnsi="仿宋"/>
          <w:sz w:val="30"/>
          <w:szCs w:val="30"/>
        </w:rPr>
      </w:pPr>
      <w:r>
        <w:rPr>
          <w:rFonts w:hint="eastAsia" w:hAnsi="仿宋"/>
          <w:sz w:val="30"/>
          <w:szCs w:val="30"/>
        </w:rPr>
        <w:t>9</w:t>
      </w:r>
      <w:r>
        <w:rPr>
          <w:rFonts w:hAnsi="仿宋"/>
          <w:sz w:val="30"/>
          <w:szCs w:val="30"/>
        </w:rPr>
        <w:t>.承租（借）方：</w:t>
      </w:r>
      <w:r>
        <w:rPr>
          <w:rFonts w:hint="eastAsia" w:hAnsi="仿宋"/>
          <w:sz w:val="30"/>
          <w:szCs w:val="30"/>
        </w:rPr>
        <w:t>按实际承租（借）方全称填列。</w:t>
      </w:r>
    </w:p>
    <w:p>
      <w:pPr>
        <w:pStyle w:val="7"/>
        <w:spacing w:line="360" w:lineRule="auto"/>
        <w:ind w:firstLine="612"/>
        <w:rPr>
          <w:rFonts w:hint="eastAsia" w:hAnsi="仿宋"/>
          <w:sz w:val="30"/>
          <w:szCs w:val="30"/>
        </w:rPr>
      </w:pPr>
      <w:r>
        <w:rPr>
          <w:rFonts w:hint="eastAsia" w:hAnsi="仿宋"/>
          <w:sz w:val="30"/>
          <w:szCs w:val="30"/>
        </w:rPr>
        <w:t>10</w:t>
      </w:r>
      <w:r>
        <w:rPr>
          <w:rFonts w:hAnsi="仿宋"/>
          <w:sz w:val="30"/>
          <w:szCs w:val="30"/>
        </w:rPr>
        <w:t>.出租（借）期限：</w:t>
      </w:r>
      <w:r>
        <w:rPr>
          <w:rFonts w:hint="eastAsia" w:hAnsi="仿宋"/>
          <w:sz w:val="30"/>
          <w:szCs w:val="30"/>
        </w:rPr>
        <w:t>开始日期和结束日期按照</w:t>
      </w:r>
      <w:r>
        <w:rPr>
          <w:rFonts w:hAnsi="仿宋"/>
          <w:sz w:val="30"/>
          <w:szCs w:val="30"/>
        </w:rPr>
        <w:t>出租出借合同起止日期分别填列。</w:t>
      </w:r>
    </w:p>
    <w:p>
      <w:pPr>
        <w:pStyle w:val="7"/>
        <w:spacing w:line="360" w:lineRule="auto"/>
        <w:ind w:firstLine="612"/>
        <w:rPr>
          <w:rFonts w:hint="eastAsia" w:hAnsi="仿宋"/>
          <w:sz w:val="30"/>
          <w:szCs w:val="30"/>
        </w:rPr>
      </w:pPr>
      <w:r>
        <w:rPr>
          <w:rFonts w:hint="eastAsia" w:hAnsi="仿宋"/>
          <w:sz w:val="30"/>
          <w:szCs w:val="30"/>
        </w:rPr>
        <w:t>11</w:t>
      </w:r>
      <w:r>
        <w:rPr>
          <w:rFonts w:hAnsi="仿宋"/>
          <w:sz w:val="30"/>
          <w:szCs w:val="30"/>
        </w:rPr>
        <w:t>.</w:t>
      </w:r>
      <w:r>
        <w:rPr>
          <w:rFonts w:hint="eastAsia" w:hAnsi="仿宋"/>
          <w:sz w:val="30"/>
          <w:szCs w:val="30"/>
        </w:rPr>
        <w:t>本期实收出租（借）收益：反映本年收到的出租出借收益（税后）。</w:t>
      </w:r>
    </w:p>
    <w:p>
      <w:pPr>
        <w:pStyle w:val="7"/>
        <w:spacing w:line="360" w:lineRule="auto"/>
        <w:ind w:firstLine="612"/>
        <w:rPr>
          <w:rFonts w:hint="eastAsia" w:hAnsi="仿宋"/>
          <w:sz w:val="30"/>
          <w:szCs w:val="30"/>
        </w:rPr>
      </w:pPr>
      <w:r>
        <w:rPr>
          <w:rFonts w:hint="eastAsia" w:hAnsi="仿宋"/>
          <w:sz w:val="30"/>
          <w:szCs w:val="30"/>
        </w:rPr>
        <w:t>12</w:t>
      </w:r>
      <w:r>
        <w:rPr>
          <w:rFonts w:hAnsi="仿宋"/>
          <w:sz w:val="30"/>
          <w:szCs w:val="30"/>
        </w:rPr>
        <w:t>.</w:t>
      </w:r>
      <w:r>
        <w:rPr>
          <w:rFonts w:hint="eastAsia" w:hAnsi="仿宋"/>
          <w:sz w:val="30"/>
          <w:szCs w:val="30"/>
        </w:rPr>
        <w:t>是否本年新增出租出借：反映出租出借合同起始日期介于20</w:t>
      </w:r>
      <w:r>
        <w:rPr>
          <w:rFonts w:hAnsi="仿宋"/>
          <w:sz w:val="30"/>
          <w:szCs w:val="30"/>
        </w:rPr>
        <w:t>2</w:t>
      </w:r>
      <w:r>
        <w:rPr>
          <w:rFonts w:hint="eastAsia" w:hAnsi="仿宋"/>
          <w:sz w:val="30"/>
          <w:szCs w:val="30"/>
        </w:rPr>
        <w:t>5年1月1日和2025年12月31日之间的出租出借事项，由系统自动运算填列。</w:t>
      </w:r>
    </w:p>
    <w:p>
      <w:pPr>
        <w:pStyle w:val="7"/>
        <w:spacing w:line="360" w:lineRule="auto"/>
        <w:ind w:firstLine="612"/>
        <w:rPr>
          <w:rFonts w:hint="eastAsia" w:hAnsi="仿宋"/>
          <w:sz w:val="30"/>
          <w:szCs w:val="30"/>
        </w:rPr>
      </w:pPr>
      <w:r>
        <w:rPr>
          <w:rFonts w:hint="eastAsia" w:hAnsi="仿宋"/>
          <w:sz w:val="30"/>
          <w:szCs w:val="30"/>
        </w:rPr>
        <w:t>13</w:t>
      </w:r>
      <w:r>
        <w:rPr>
          <w:rFonts w:hAnsi="仿宋"/>
          <w:sz w:val="30"/>
          <w:szCs w:val="30"/>
        </w:rPr>
        <w:t>.</w:t>
      </w:r>
      <w:r>
        <w:rPr>
          <w:rFonts w:hint="eastAsia" w:hAnsi="仿宋"/>
          <w:sz w:val="30"/>
          <w:szCs w:val="30"/>
        </w:rPr>
        <w:t>审批情况：按财政部门审批、机关事务管理部门审批、主管部门审批、单位内部审批、未审批选择填列。其中，财政部门审批是指按规定权限由财政部门履行审批程序，并获得批复的事项；机关事务管理部门审批是指按规定权限由机关事务管理部门办理，并获得批复的事项；主管部门审批是指按规定权限由主管部门或机关事务管理部门办理，并获得批复的事项；单位审批是指按规定权限由单位审批，并获得批复的事项；未审批是指未按规定权限办理审批的事项。</w:t>
      </w:r>
    </w:p>
    <w:p>
      <w:pPr>
        <w:pStyle w:val="7"/>
        <w:spacing w:line="360" w:lineRule="auto"/>
        <w:ind w:firstLine="612"/>
        <w:rPr>
          <w:rFonts w:hint="eastAsia" w:hAnsi="仿宋"/>
          <w:sz w:val="30"/>
          <w:szCs w:val="30"/>
        </w:rPr>
      </w:pPr>
      <w:r>
        <w:rPr>
          <w:rFonts w:hint="eastAsia" w:hAnsi="仿宋"/>
          <w:sz w:val="30"/>
          <w:szCs w:val="30"/>
        </w:rPr>
        <w:t>14</w:t>
      </w:r>
      <w:r>
        <w:rPr>
          <w:rFonts w:hAnsi="仿宋"/>
          <w:sz w:val="30"/>
          <w:szCs w:val="30"/>
        </w:rPr>
        <w:t>.</w:t>
      </w:r>
      <w:r>
        <w:rPr>
          <w:rFonts w:hint="eastAsia" w:hAnsi="仿宋"/>
          <w:sz w:val="30"/>
          <w:szCs w:val="30"/>
        </w:rPr>
        <w:t>往期出租出借事项收益情况：反映本期收到的2025年1月1日前结束的出租事项收益（税后），仅填写16栏“本期实收出租（借）收益”。由财政或机关事务管理等部门统筹安排出租并直接上缴的收益，由财政或机关事务管理等部门填列。</w:t>
      </w:r>
    </w:p>
    <w:p>
      <w:pPr>
        <w:pStyle w:val="7"/>
        <w:spacing w:line="360" w:lineRule="auto"/>
        <w:ind w:firstLine="614"/>
        <w:rPr>
          <w:rFonts w:hint="eastAsia" w:hAnsi="仿宋"/>
          <w:b/>
          <w:sz w:val="30"/>
          <w:szCs w:val="30"/>
        </w:rPr>
      </w:pPr>
      <w:r>
        <w:rPr>
          <w:rFonts w:hint="eastAsia" w:hAnsi="仿宋"/>
          <w:b/>
          <w:sz w:val="30"/>
          <w:szCs w:val="30"/>
        </w:rPr>
        <w:t>逻辑性审核公式：</w:t>
      </w:r>
    </w:p>
    <w:p>
      <w:pPr>
        <w:pStyle w:val="7"/>
        <w:spacing w:line="360" w:lineRule="auto"/>
        <w:ind w:firstLine="614"/>
        <w:rPr>
          <w:rFonts w:hint="eastAsia" w:hAnsi="仿宋"/>
          <w:b/>
          <w:sz w:val="30"/>
          <w:szCs w:val="30"/>
        </w:rPr>
      </w:pPr>
      <w:r>
        <w:rPr>
          <w:rFonts w:hint="eastAsia" w:hAnsi="仿宋"/>
          <w:b/>
          <w:sz w:val="30"/>
          <w:szCs w:val="30"/>
        </w:rPr>
        <w:t>表内公式：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合计行（1行）办公用房面积、业务用房面积、其他用房面积、出租出借资产价值（9</w:t>
      </w:r>
      <w:r>
        <w:rPr>
          <w:rFonts w:hint="eastAsia"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2栏）与本期出租出借事项小计对应栏次相等，与各浮动行对应栏次</w:t>
      </w:r>
      <w:r>
        <w:rPr>
          <w:rFonts w:ascii="仿宋_GB2312" w:eastAsia="仿宋_GB2312"/>
          <w:sz w:val="30"/>
          <w:szCs w:val="30"/>
        </w:rPr>
        <w:t>之和</w:t>
      </w:r>
      <w:r>
        <w:rPr>
          <w:rFonts w:hint="eastAsia" w:ascii="仿宋_GB2312" w:eastAsia="仿宋_GB2312"/>
          <w:sz w:val="30"/>
          <w:szCs w:val="30"/>
        </w:rPr>
        <w:t>相等</w:t>
      </w:r>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本期出租出借事项小计（3行）办公用房面积、业务用房面积、其他用房面积、出租出借资产价值（9</w:t>
      </w:r>
      <w:r>
        <w:rPr>
          <w:rFonts w:hint="eastAsia"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2栏）应等于各浮动行对应栏次</w:t>
      </w:r>
      <w:r>
        <w:rPr>
          <w:rFonts w:ascii="仿宋_GB2312" w:eastAsia="仿宋_GB2312"/>
          <w:sz w:val="30"/>
          <w:szCs w:val="30"/>
        </w:rPr>
        <w:t>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同一资产出租出借数量/面积_小计（8栏）应小于等于账面数量/面积（5栏）；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合计行、本期出租出借事项小计行、浮动行的办公用房面积、业务用房面积、其他用房面积、出租出借资产价值（9</w:t>
      </w:r>
      <w:r>
        <w:rPr>
          <w:rFonts w:hint="eastAsia"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2栏）应大于等于</w:t>
      </w:r>
      <w:r>
        <w:rPr>
          <w:rFonts w:ascii="仿宋_GB2312" w:eastAsia="仿宋_GB2312"/>
          <w:sz w:val="30"/>
          <w:szCs w:val="30"/>
        </w:rPr>
        <w:t>0</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各行的本期实收出租（借）收益（16栏）应大于等于</w:t>
      </w:r>
      <w:r>
        <w:rPr>
          <w:rFonts w:ascii="仿宋_GB2312" w:eastAsia="仿宋_GB2312"/>
          <w:sz w:val="30"/>
          <w:szCs w:val="30"/>
        </w:rPr>
        <w:t>0</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各浮动行的出租出借数量/面积_小计（8栏）应小于等于账面面积/数量（5栏）；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合计行（1行）的本期实收出租（借）收益（16栏）应等于往期出租出借事项收益情况（2行）与本期出租出借事项小计（</w:t>
      </w:r>
      <w:r>
        <w:rPr>
          <w:rFonts w:ascii="仿宋_GB2312" w:eastAsia="仿宋_GB2312"/>
          <w:sz w:val="30"/>
          <w:szCs w:val="30"/>
        </w:rPr>
        <w:t>3</w:t>
      </w:r>
      <w:r>
        <w:rPr>
          <w:rFonts w:hint="eastAsia" w:ascii="仿宋_GB2312" w:eastAsia="仿宋_GB2312"/>
          <w:sz w:val="30"/>
          <w:szCs w:val="30"/>
        </w:rPr>
        <w:t>行）对应指标之和</w:t>
      </w:r>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本期出租出借事项小计（</w:t>
      </w:r>
      <w:r>
        <w:rPr>
          <w:rFonts w:ascii="仿宋_GB2312" w:eastAsia="仿宋_GB2312"/>
          <w:sz w:val="30"/>
          <w:szCs w:val="30"/>
        </w:rPr>
        <w:t>3</w:t>
      </w:r>
      <w:r>
        <w:rPr>
          <w:rFonts w:hint="eastAsia" w:ascii="仿宋_GB2312" w:eastAsia="仿宋_GB2312"/>
          <w:sz w:val="30"/>
          <w:szCs w:val="30"/>
        </w:rPr>
        <w:t>行）的本期实收出租（借）收益（16栏）应等于各浮动行对应指标</w:t>
      </w:r>
      <w:r>
        <w:rPr>
          <w:rFonts w:ascii="仿宋_GB2312" w:eastAsia="仿宋_GB2312"/>
          <w:sz w:val="30"/>
          <w:szCs w:val="30"/>
        </w:rPr>
        <w:t>之和</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各浮动行的出租出借资产价值（12栏）应小于等于账面原值（6栏）；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各浮动行的出租(借)期限-开始日期（14栏）应小于等于出租(借)期限-结束日期（15栏）；</w:t>
      </w:r>
    </w:p>
    <w:p>
      <w:pPr>
        <w:numPr>
          <w:ilvl w:val="0"/>
          <w:numId w:val="5"/>
        </w:numPr>
        <w:spacing w:line="360" w:lineRule="auto"/>
        <w:rPr>
          <w:rFonts w:ascii="仿宋_GB2312" w:eastAsia="仿宋_GB2312"/>
          <w:sz w:val="30"/>
          <w:szCs w:val="30"/>
        </w:rPr>
      </w:pPr>
      <w:r>
        <w:rPr>
          <w:rFonts w:ascii="仿宋_GB2312" w:eastAsia="仿宋_GB2312"/>
          <w:sz w:val="30"/>
          <w:szCs w:val="30"/>
        </w:rPr>
        <w:t>当</w:t>
      </w:r>
      <w:r>
        <w:rPr>
          <w:rFonts w:hint="eastAsia" w:ascii="仿宋_GB2312" w:eastAsia="仿宋_GB2312"/>
          <w:sz w:val="30"/>
          <w:szCs w:val="30"/>
        </w:rPr>
        <w:t>浮动行</w:t>
      </w:r>
      <w:r>
        <w:rPr>
          <w:rFonts w:ascii="仿宋_GB2312" w:eastAsia="仿宋_GB2312"/>
          <w:sz w:val="30"/>
          <w:szCs w:val="30"/>
        </w:rPr>
        <w:t>资产分类</w:t>
      </w:r>
      <w:r>
        <w:rPr>
          <w:rFonts w:hint="eastAsia" w:ascii="仿宋_GB2312" w:eastAsia="仿宋_GB2312"/>
          <w:sz w:val="30"/>
          <w:szCs w:val="30"/>
        </w:rPr>
        <w:t>（1栏）</w:t>
      </w:r>
      <w:r>
        <w:rPr>
          <w:rFonts w:ascii="仿宋_GB2312" w:eastAsia="仿宋_GB2312"/>
          <w:sz w:val="30"/>
          <w:szCs w:val="30"/>
        </w:rPr>
        <w:t>选择为</w:t>
      </w:r>
      <w:r>
        <w:rPr>
          <w:rFonts w:hint="eastAsia" w:ascii="仿宋_GB2312" w:eastAsia="仿宋_GB2312"/>
          <w:sz w:val="30"/>
          <w:szCs w:val="30"/>
        </w:rPr>
        <w:t>流动资产、在建工程、其他资产时，备注（19栏）不能为空；</w:t>
      </w:r>
    </w:p>
    <w:p>
      <w:pPr>
        <w:numPr>
          <w:ilvl w:val="0"/>
          <w:numId w:val="5"/>
        </w:numPr>
        <w:spacing w:line="360" w:lineRule="auto"/>
        <w:rPr>
          <w:rFonts w:ascii="仿宋_GB2312" w:eastAsia="仿宋_GB2312"/>
          <w:sz w:val="30"/>
          <w:szCs w:val="30"/>
        </w:rPr>
      </w:pPr>
      <w:r>
        <w:rPr>
          <w:rFonts w:ascii="仿宋_GB2312" w:eastAsia="仿宋_GB2312"/>
          <w:sz w:val="30"/>
          <w:szCs w:val="30"/>
        </w:rPr>
        <w:t>当</w:t>
      </w:r>
      <w:r>
        <w:rPr>
          <w:rFonts w:hint="eastAsia" w:ascii="仿宋_GB2312" w:eastAsia="仿宋_GB2312"/>
          <w:sz w:val="30"/>
          <w:szCs w:val="30"/>
        </w:rPr>
        <w:t>浮动行</w:t>
      </w:r>
      <w:r>
        <w:rPr>
          <w:rFonts w:ascii="仿宋_GB2312" w:eastAsia="仿宋_GB2312"/>
          <w:sz w:val="30"/>
          <w:szCs w:val="30"/>
        </w:rPr>
        <w:t>资产分类</w:t>
      </w:r>
      <w:r>
        <w:rPr>
          <w:rFonts w:hint="eastAsia" w:ascii="仿宋_GB2312" w:eastAsia="仿宋_GB2312"/>
          <w:sz w:val="30"/>
          <w:szCs w:val="30"/>
        </w:rPr>
        <w:t>（1栏）</w:t>
      </w:r>
      <w:r>
        <w:rPr>
          <w:rFonts w:ascii="仿宋_GB2312" w:eastAsia="仿宋_GB2312"/>
          <w:sz w:val="30"/>
          <w:szCs w:val="30"/>
        </w:rPr>
        <w:t>选择为</w:t>
      </w:r>
      <w:r>
        <w:rPr>
          <w:rFonts w:hint="eastAsia" w:ascii="仿宋_GB2312" w:eastAsia="仿宋_GB2312"/>
          <w:sz w:val="30"/>
          <w:szCs w:val="30"/>
        </w:rPr>
        <w:t>流动资产、在建工程、其他资产时，资产编号（2栏）、账面数量/面积（5栏）、出租出借数量/面积_小计（8栏）应为空；否则，出租出借数量/面积（8栏）不能为空；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浮动行的资产分类（1栏）、取得日期（4栏）、出租出借资产价值、承租(借)方、出租(借)期限-开始日期、出租(借)期限-结束日期、本期实收出租（借）收益、是否本年新增出租出借、审批情况（12</w:t>
      </w:r>
      <w:r>
        <w:rPr>
          <w:rFonts w:hint="eastAsia" w:ascii="华文中宋" w:hAnsi="华文中宋" w:eastAsia="华文中宋"/>
          <w:sz w:val="30"/>
          <w:szCs w:val="30"/>
        </w:rPr>
        <w:t>~</w:t>
      </w:r>
      <w:r>
        <w:rPr>
          <w:rFonts w:hint="eastAsia" w:ascii="仿宋_GB2312" w:eastAsia="仿宋_GB2312"/>
          <w:sz w:val="30"/>
          <w:szCs w:val="30"/>
        </w:rPr>
        <w:t>18栏）不能为空；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浮动行取得日期（4栏）、出租(借)期限-开始日期（14栏）应小于等于20</w:t>
      </w:r>
      <w:r>
        <w:rPr>
          <w:rFonts w:ascii="仿宋_GB2312" w:eastAsia="仿宋_GB2312"/>
          <w:sz w:val="30"/>
          <w:szCs w:val="30"/>
        </w:rPr>
        <w:t>2</w:t>
      </w:r>
      <w:r>
        <w:rPr>
          <w:rFonts w:hint="eastAsia" w:ascii="仿宋_GB2312" w:eastAsia="仿宋_GB2312"/>
          <w:sz w:val="30"/>
          <w:szCs w:val="30"/>
        </w:rPr>
        <w:t>5年12月31日；</w:t>
      </w:r>
    </w:p>
    <w:p>
      <w:pPr>
        <w:numPr>
          <w:ilvl w:val="0"/>
          <w:numId w:val="5"/>
        </w:numPr>
        <w:spacing w:line="360" w:lineRule="auto"/>
        <w:rPr>
          <w:rFonts w:ascii="仿宋_GB2312" w:eastAsia="仿宋_GB2312"/>
          <w:sz w:val="30"/>
          <w:szCs w:val="30"/>
        </w:rPr>
      </w:pPr>
      <w:r>
        <w:rPr>
          <w:rFonts w:hint="eastAsia" w:ascii="仿宋_GB2312" w:eastAsia="仿宋_GB2312"/>
          <w:sz w:val="32"/>
          <w:szCs w:val="32"/>
        </w:rPr>
        <w:t>浮动行</w:t>
      </w:r>
      <w:r>
        <w:rPr>
          <w:rFonts w:hint="eastAsia" w:ascii="仿宋_GB2312" w:eastAsia="仿宋_GB2312"/>
          <w:sz w:val="30"/>
          <w:szCs w:val="30"/>
        </w:rPr>
        <w:t>出租(借)期限-开始日期（14栏）应大于等于</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5年1月1日时，</w:t>
      </w:r>
      <w:r>
        <w:rPr>
          <w:rFonts w:hint="eastAsia" w:ascii="仿宋_GB2312" w:eastAsia="仿宋_GB2312"/>
          <w:sz w:val="30"/>
          <w:szCs w:val="30"/>
        </w:rPr>
        <w:t>是否本年新增出租出借（</w:t>
      </w:r>
      <w:r>
        <w:rPr>
          <w:rFonts w:hint="eastAsia" w:ascii="仿宋_GB2312" w:eastAsia="仿宋_GB2312"/>
          <w:sz w:val="32"/>
          <w:szCs w:val="32"/>
        </w:rPr>
        <w:t>17栏</w:t>
      </w:r>
      <w:r>
        <w:rPr>
          <w:rFonts w:hint="eastAsia" w:ascii="仿宋_GB2312" w:eastAsia="仿宋_GB2312"/>
          <w:sz w:val="30"/>
          <w:szCs w:val="30"/>
        </w:rPr>
        <w:t>）应为</w:t>
      </w:r>
      <w:r>
        <w:rPr>
          <w:rFonts w:hint="eastAsia" w:ascii="仿宋_GB2312" w:eastAsia="仿宋_GB2312"/>
          <w:sz w:val="32"/>
          <w:szCs w:val="32"/>
        </w:rPr>
        <w:t>“是”，反之为否；</w:t>
      </w:r>
    </w:p>
    <w:p>
      <w:pPr>
        <w:numPr>
          <w:ilvl w:val="0"/>
          <w:numId w:val="5"/>
        </w:numPr>
        <w:spacing w:line="360" w:lineRule="auto"/>
        <w:rPr>
          <w:rFonts w:hint="eastAsia" w:hAnsi="仿宋"/>
          <w:sz w:val="30"/>
          <w:szCs w:val="30"/>
        </w:rPr>
      </w:pPr>
      <w:r>
        <w:rPr>
          <w:rFonts w:hint="eastAsia" w:ascii="仿宋_GB2312" w:eastAsia="仿宋_GB2312"/>
          <w:sz w:val="30"/>
          <w:szCs w:val="30"/>
        </w:rPr>
        <w:t>当审批情况（</w:t>
      </w:r>
      <w:r>
        <w:rPr>
          <w:rFonts w:ascii="仿宋_GB2312" w:eastAsia="仿宋_GB2312"/>
          <w:sz w:val="30"/>
          <w:szCs w:val="30"/>
        </w:rPr>
        <w:t>1</w:t>
      </w:r>
      <w:r>
        <w:rPr>
          <w:rFonts w:hint="eastAsia" w:ascii="仿宋_GB2312" w:eastAsia="仿宋_GB2312"/>
          <w:sz w:val="30"/>
          <w:szCs w:val="30"/>
        </w:rPr>
        <w:t>8栏）为“未审批”时，备注（19栏）不能为空；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当资产分类（1栏）为房屋时，浮动行办公用房面积、业务用房面积、其他用房面积（9</w:t>
      </w:r>
      <w:r>
        <w:rPr>
          <w:rFonts w:hint="eastAsia"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1栏）应大于等于0；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当资产分类（1栏）为房屋时，浮动行出租出借数量/面积_小计（8栏）应等于浮动行办公用房面积、业务用房面积、其他用房面积（9</w:t>
      </w:r>
      <w:r>
        <w:rPr>
          <w:rFonts w:hint="eastAsia"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1栏）之和，否则，办公用房面积、业务用房面积、其他用房面积（9</w:t>
      </w:r>
      <w:r>
        <w:rPr>
          <w:rFonts w:hint="eastAsia"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1栏）应为空；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当资产分类（1栏）不是房屋时，浮动行出租出借办公用房面积、业务用房面积、其他用房面积（9</w:t>
      </w:r>
      <w:r>
        <w:rPr>
          <w:rFonts w:hint="eastAsia"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1栏）应为空；</w:t>
      </w:r>
    </w:p>
    <w:p>
      <w:pPr>
        <w:numPr>
          <w:ilvl w:val="0"/>
          <w:numId w:val="5"/>
        </w:numPr>
        <w:spacing w:line="360" w:lineRule="auto"/>
        <w:rPr>
          <w:rFonts w:hint="eastAsia" w:hAnsi="仿宋"/>
          <w:sz w:val="30"/>
          <w:szCs w:val="30"/>
        </w:rPr>
      </w:pPr>
      <w:r>
        <w:rPr>
          <w:rFonts w:hint="eastAsia" w:ascii="仿宋_GB2312" w:eastAsia="仿宋_GB2312"/>
          <w:sz w:val="30"/>
          <w:szCs w:val="30"/>
        </w:rPr>
        <w:t>当资产分类（1栏）选择固定资产或无形资产时，资产编号、资产名称、取得日期、账面数量/面积、账面原值、出租出借数量/面积_小计（2</w:t>
      </w:r>
      <w:r>
        <w:rPr>
          <w:rFonts w:hint="eastAsia" w:ascii="华文中宋" w:hAnsi="华文中宋" w:eastAsia="华文中宋"/>
          <w:sz w:val="30"/>
          <w:szCs w:val="30"/>
        </w:rPr>
        <w:t>~</w:t>
      </w:r>
      <w:r>
        <w:rPr>
          <w:rFonts w:hint="eastAsia" w:ascii="仿宋_GB2312" w:eastAsia="仿宋_GB2312"/>
          <w:sz w:val="30"/>
          <w:szCs w:val="30"/>
        </w:rPr>
        <w:t>6、8栏）不得为空。</w:t>
      </w:r>
    </w:p>
    <w:p>
      <w:pPr>
        <w:snapToGrid w:val="0"/>
        <w:spacing w:line="360" w:lineRule="auto"/>
        <w:ind w:left="575" w:leftChars="274"/>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房屋”项下分类时，且浮动行出租(借)期限-结束日期（15栏）大于等于2025年12月31日，浮动行出租出借数量/面积（8栏）、办公用房面积（9栏）、业务用房面积（10栏）、其他用房面积（11栏）之和应分别等于财资05房屋情况表本单位房屋小计行出租出借合计栏（</w:t>
      </w:r>
      <w:r>
        <w:rPr>
          <w:rFonts w:ascii="仿宋_GB2312" w:eastAsia="仿宋_GB2312"/>
          <w:sz w:val="30"/>
          <w:szCs w:val="30"/>
        </w:rPr>
        <w:t>14</w:t>
      </w:r>
      <w:r>
        <w:rPr>
          <w:rFonts w:hint="eastAsia" w:ascii="仿宋_GB2312" w:eastAsia="仿宋_GB2312"/>
          <w:sz w:val="30"/>
          <w:szCs w:val="30"/>
        </w:rPr>
        <w:t>栏）、办公用房出租出借栏（</w:t>
      </w:r>
      <w:r>
        <w:rPr>
          <w:rFonts w:ascii="仿宋_GB2312" w:eastAsia="仿宋_GB2312"/>
          <w:sz w:val="30"/>
          <w:szCs w:val="30"/>
        </w:rPr>
        <w:t>19</w:t>
      </w:r>
      <w:r>
        <w:rPr>
          <w:rFonts w:hint="eastAsia" w:ascii="仿宋_GB2312" w:eastAsia="仿宋_GB2312"/>
          <w:sz w:val="30"/>
          <w:szCs w:val="30"/>
        </w:rPr>
        <w:t>栏）、业务用房出租出借栏（25栏）、其他用房出租出借栏（30栏）；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土地”项下分类时，且浮动行出租(借)期限-结束日期（15栏）大于等于2025年12月31日，浮动行出租出借数量/面积（8栏）之和应等于财资04土地情况表资浮动行对应资产分类(1栏=土地)的出租出借（13栏）面积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土地使用权”项下分类时，且浮动行出租(借)期限-结束日期（15栏）大于等于2025年12月31日，浮动行出租出借数量/面积（8栏）之和应等于财资04土地资产情况表浮动行对应资产分类(1栏=土地使用权)的出租出借（13栏）面积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车辆”项下分类时，且浮动行出租(借)期限-结束日期（15栏）大于等于2025年12月31日，浮动行出租出借资产价值（12栏）之和=财资06车辆情况表浮动行使用状况（17栏）为“出租出借”的期末账面原值（14栏）合计；</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资产分类（1栏）为“车辆”项下分类时，且浮动行出租(借)期限-结束日期（15栏）大于等于2025年12月31日，浮动行出租出借数量/面积（8栏）之和应等于财资06车辆情况表浮动行使用状况（17栏）为“出租出借”的行数。</w:t>
      </w:r>
    </w:p>
    <w:p>
      <w:pPr>
        <w:snapToGrid w:val="0"/>
        <w:spacing w:line="360" w:lineRule="auto"/>
        <w:ind w:left="575" w:leftChars="274"/>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浮动行本期实收出租（借）收益（16栏）等于</w:t>
      </w:r>
      <w:r>
        <w:rPr>
          <w:rFonts w:ascii="仿宋_GB2312" w:eastAsia="仿宋_GB2312"/>
          <w:sz w:val="30"/>
          <w:szCs w:val="30"/>
        </w:rPr>
        <w:t>0</w:t>
      </w:r>
      <w:r>
        <w:rPr>
          <w:rFonts w:hint="eastAsia" w:ascii="仿宋_GB2312" w:eastAsia="仿宋_GB2312"/>
          <w:sz w:val="30"/>
          <w:szCs w:val="30"/>
        </w:rPr>
        <w:t>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浮动行</w:t>
      </w:r>
      <w:r>
        <w:rPr>
          <w:rFonts w:hint="eastAsia" w:ascii="仿宋_GB2312" w:eastAsia="仿宋_GB2312"/>
          <w:sz w:val="30"/>
          <w:szCs w:val="30"/>
        </w:rPr>
        <w:t>资产分类（1栏）</w:t>
      </w:r>
      <w:r>
        <w:rPr>
          <w:rFonts w:hint="eastAsia" w:ascii="仿宋_GB2312" w:hAnsi="仿宋" w:eastAsia="仿宋_GB2312"/>
          <w:sz w:val="30"/>
          <w:szCs w:val="30"/>
        </w:rPr>
        <w:t>选择为流动资产、在建工程、车辆、其他资产时，提示核实性错误，需结合实际情况修改或填写情况说明；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浮动行审批情况（18栏）选择“未审批”时，提示核实性错误，需结合实际情况修改或填写情况说明。</w:t>
      </w:r>
    </w:p>
    <w:p>
      <w:pPr>
        <w:pStyle w:val="2"/>
        <w:rPr>
          <w:rFonts w:hint="eastAsia"/>
          <w:b/>
          <w:color w:val="auto"/>
        </w:rPr>
      </w:pPr>
      <w:r>
        <w:rPr>
          <w:rFonts w:hint="eastAsia"/>
          <w:color w:val="auto"/>
        </w:rPr>
        <w:t>（十一）资产处置情况表（财资</w:t>
      </w:r>
      <w:r>
        <w:rPr>
          <w:color w:val="auto"/>
        </w:rPr>
        <w:t>10</w:t>
      </w:r>
      <w:r>
        <w:rPr>
          <w:rFonts w:hint="eastAsia"/>
          <w:color w:val="auto"/>
        </w:rPr>
        <w:t>表）</w:t>
      </w:r>
    </w:p>
    <w:p>
      <w:pPr>
        <w:pStyle w:val="7"/>
        <w:spacing w:line="360" w:lineRule="auto"/>
        <w:ind w:firstLine="612"/>
        <w:rPr>
          <w:rFonts w:hint="eastAsia" w:hAnsi="仿宋"/>
          <w:sz w:val="30"/>
          <w:szCs w:val="30"/>
        </w:rPr>
      </w:pPr>
      <w:r>
        <w:rPr>
          <w:rFonts w:hint="eastAsia" w:hAnsi="仿宋"/>
          <w:sz w:val="30"/>
          <w:szCs w:val="30"/>
        </w:rPr>
        <w:t>本表反映行政事业单位当年账面资产处置</w:t>
      </w:r>
      <w:r>
        <w:rPr>
          <w:rFonts w:hAnsi="仿宋"/>
          <w:sz w:val="30"/>
          <w:szCs w:val="30"/>
        </w:rPr>
        <w:t>情况</w:t>
      </w:r>
      <w:r>
        <w:rPr>
          <w:rFonts w:hint="eastAsia" w:hAnsi="仿宋"/>
          <w:sz w:val="30"/>
          <w:szCs w:val="30"/>
        </w:rPr>
        <w:t>。单位在资产模块中执行处置申请并得到批复的，本表从处置执行单取数；单位未在资产模块中执行处置申请的，固定资产、无形资产处置应按处置事项批次补充资产处置申请单、执行单；流动资产、对外投资、在建工程及其他资产</w:t>
      </w:r>
      <w:r>
        <w:rPr>
          <w:rFonts w:hAnsi="仿宋"/>
          <w:sz w:val="30"/>
          <w:szCs w:val="30"/>
        </w:rPr>
        <w:t>按</w:t>
      </w:r>
      <w:r>
        <w:rPr>
          <w:rFonts w:hint="eastAsia" w:hAnsi="仿宋"/>
          <w:sz w:val="30"/>
          <w:szCs w:val="30"/>
        </w:rPr>
        <w:t>资产</w:t>
      </w:r>
      <w:r>
        <w:rPr>
          <w:rFonts w:hAnsi="仿宋"/>
          <w:sz w:val="30"/>
          <w:szCs w:val="30"/>
        </w:rPr>
        <w:t>处置实际情况手工</w:t>
      </w:r>
      <w:r>
        <w:rPr>
          <w:rFonts w:hint="eastAsia" w:hAnsi="仿宋"/>
          <w:sz w:val="30"/>
          <w:szCs w:val="30"/>
        </w:rPr>
        <w:t>填列。</w:t>
      </w:r>
    </w:p>
    <w:p>
      <w:pPr>
        <w:pStyle w:val="7"/>
        <w:spacing w:line="360" w:lineRule="auto"/>
        <w:ind w:firstLine="648" w:firstLineChars="0"/>
        <w:rPr>
          <w:rFonts w:hint="eastAsia"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处置</w:t>
      </w:r>
      <w:r>
        <w:rPr>
          <w:rFonts w:ascii="仿宋_GB2312" w:hAnsi="仿宋" w:eastAsia="仿宋_GB2312"/>
          <w:sz w:val="30"/>
          <w:szCs w:val="30"/>
        </w:rPr>
        <w:t>事项名称</w:t>
      </w:r>
      <w:r>
        <w:rPr>
          <w:rFonts w:hint="eastAsia" w:ascii="仿宋_GB2312" w:hAnsi="仿宋" w:eastAsia="仿宋_GB2312"/>
          <w:sz w:val="30"/>
          <w:szCs w:val="30"/>
        </w:rPr>
        <w:t>：反映该批次</w:t>
      </w:r>
      <w:r>
        <w:rPr>
          <w:rFonts w:ascii="仿宋_GB2312" w:hAnsi="仿宋" w:eastAsia="仿宋_GB2312"/>
          <w:sz w:val="30"/>
          <w:szCs w:val="30"/>
        </w:rPr>
        <w:t>资产处置</w:t>
      </w:r>
      <w:r>
        <w:rPr>
          <w:rFonts w:hint="eastAsia" w:ascii="仿宋_GB2312" w:hAnsi="仿宋" w:eastAsia="仿宋_GB2312"/>
          <w:sz w:val="30"/>
          <w:szCs w:val="30"/>
        </w:rPr>
        <w:t>事项</w:t>
      </w:r>
      <w:r>
        <w:rPr>
          <w:rFonts w:ascii="仿宋_GB2312" w:hAnsi="仿宋" w:eastAsia="仿宋_GB2312"/>
          <w:sz w:val="30"/>
          <w:szCs w:val="30"/>
        </w:rPr>
        <w:t>的总体情况</w:t>
      </w:r>
      <w:r>
        <w:rPr>
          <w:rFonts w:hint="eastAsia" w:ascii="仿宋_GB2312" w:hAnsi="仿宋" w:eastAsia="仿宋_GB2312"/>
          <w:sz w:val="30"/>
          <w:szCs w:val="30"/>
        </w:rPr>
        <w:t>。</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.原值：填列</w:t>
      </w:r>
      <w:r>
        <w:rPr>
          <w:rFonts w:hint="eastAsia" w:ascii="仿宋_GB2312" w:hAnsi="仿宋" w:eastAsia="仿宋_GB2312"/>
          <w:sz w:val="30"/>
          <w:szCs w:val="30"/>
        </w:rPr>
        <w:t>该批次处置各类</w:t>
      </w:r>
      <w:r>
        <w:rPr>
          <w:rFonts w:ascii="仿宋_GB2312" w:hAnsi="仿宋" w:eastAsia="仿宋_GB2312"/>
          <w:sz w:val="30"/>
          <w:szCs w:val="30"/>
        </w:rPr>
        <w:t>资产的账面原值总额。</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净值：</w:t>
      </w:r>
      <w:r>
        <w:rPr>
          <w:rFonts w:ascii="仿宋_GB2312" w:hAnsi="仿宋" w:eastAsia="仿宋_GB2312"/>
          <w:sz w:val="30"/>
          <w:szCs w:val="30"/>
        </w:rPr>
        <w:t>填列</w:t>
      </w:r>
      <w:r>
        <w:rPr>
          <w:rFonts w:hint="eastAsia" w:ascii="仿宋_GB2312" w:hAnsi="仿宋" w:eastAsia="仿宋_GB2312"/>
          <w:sz w:val="30"/>
          <w:szCs w:val="30"/>
        </w:rPr>
        <w:t>该批次处置各类</w:t>
      </w:r>
      <w:r>
        <w:rPr>
          <w:rFonts w:ascii="仿宋_GB2312" w:hAnsi="仿宋" w:eastAsia="仿宋_GB2312"/>
          <w:sz w:val="30"/>
          <w:szCs w:val="30"/>
        </w:rPr>
        <w:t>资产的账面</w:t>
      </w:r>
      <w:r>
        <w:rPr>
          <w:rFonts w:hint="eastAsia" w:ascii="仿宋_GB2312" w:hAnsi="仿宋" w:eastAsia="仿宋_GB2312"/>
          <w:sz w:val="30"/>
          <w:szCs w:val="30"/>
        </w:rPr>
        <w:t>净</w:t>
      </w:r>
      <w:r>
        <w:rPr>
          <w:rFonts w:ascii="仿宋_GB2312" w:hAnsi="仿宋" w:eastAsia="仿宋_GB2312"/>
          <w:sz w:val="30"/>
          <w:szCs w:val="30"/>
        </w:rPr>
        <w:t>值总额</w:t>
      </w:r>
      <w:r>
        <w:rPr>
          <w:rFonts w:hint="eastAsia" w:ascii="仿宋_GB2312" w:hAnsi="仿宋" w:eastAsia="仿宋_GB2312"/>
          <w:sz w:val="30"/>
          <w:szCs w:val="30"/>
        </w:rPr>
        <w:t>。</w:t>
      </w:r>
    </w:p>
    <w:p>
      <w:pPr>
        <w:spacing w:line="360" w:lineRule="auto"/>
        <w:ind w:firstLine="600" w:firstLineChars="200"/>
        <w:rPr>
          <w:rFonts w:hint="eastAsia" w:ascii="仿宋_GB2312" w:hAnsi="仿宋" w:eastAsia="仿宋_GB2312"/>
          <w:spacing w:val="6"/>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数量：</w:t>
      </w:r>
      <w:r>
        <w:rPr>
          <w:rFonts w:hint="eastAsia" w:ascii="仿宋_GB2312" w:hAnsi="仿宋" w:eastAsia="仿宋_GB2312"/>
          <w:spacing w:val="6"/>
          <w:sz w:val="30"/>
          <w:szCs w:val="30"/>
        </w:rPr>
        <w:t>处置房屋及土地使用权按实际处置的面积填列。处置设备、陈列品、图书和档案、家具和用具、特种动植物、专利、非专利技术、计算机软件及其他无形资产按实际处置的数量填列。</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处置形式</w:t>
      </w:r>
      <w:r>
        <w:rPr>
          <w:rFonts w:ascii="仿宋_GB2312" w:hAnsi="仿宋" w:eastAsia="仿宋_GB2312"/>
          <w:sz w:val="30"/>
          <w:szCs w:val="30"/>
        </w:rPr>
        <w:t>：</w:t>
      </w:r>
      <w:r>
        <w:rPr>
          <w:rFonts w:hint="eastAsia" w:ascii="仿宋_GB2312" w:hAnsi="仿宋" w:eastAsia="仿宋_GB2312"/>
          <w:sz w:val="30"/>
          <w:szCs w:val="30"/>
        </w:rPr>
        <w:t>按照转让、无偿划转、对外捐赠、置换、报废、损失核销、其他选择</w:t>
      </w:r>
      <w:r>
        <w:rPr>
          <w:rFonts w:ascii="仿宋_GB2312" w:hAnsi="仿宋" w:eastAsia="仿宋_GB2312"/>
          <w:sz w:val="30"/>
          <w:szCs w:val="30"/>
        </w:rPr>
        <w:t>填列。</w:t>
      </w:r>
      <w:r>
        <w:rPr>
          <w:rFonts w:hint="eastAsia" w:ascii="仿宋_GB2312" w:hAnsi="仿宋" w:eastAsia="仿宋_GB2312"/>
          <w:sz w:val="30"/>
          <w:szCs w:val="30"/>
        </w:rPr>
        <w:t>例如：无形资产专利过期，应选择报废；土地使用权被政府征收，已收到拆迁款，应选择转让。</w:t>
      </w:r>
    </w:p>
    <w:p>
      <w:pPr>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审批情况：按财政部门审批、</w:t>
      </w:r>
      <w:r>
        <w:rPr>
          <w:rFonts w:hint="eastAsia" w:ascii="仿宋_GB2312" w:hAnsi="仿宋" w:eastAsia="仿宋_GB2312"/>
          <w:spacing w:val="6"/>
          <w:sz w:val="30"/>
          <w:szCs w:val="30"/>
        </w:rPr>
        <w:t>机关事务管理部门审批、</w:t>
      </w:r>
      <w:r>
        <w:rPr>
          <w:rFonts w:hint="eastAsia" w:ascii="仿宋_GB2312" w:hAnsi="仿宋" w:eastAsia="仿宋_GB2312"/>
          <w:sz w:val="30"/>
          <w:szCs w:val="30"/>
        </w:rPr>
        <w:t>主管部门审批、单位内部审批、未审批选择填列。</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本期实收资产处置收益</w:t>
      </w:r>
      <w:r>
        <w:rPr>
          <w:rFonts w:ascii="仿宋_GB2312" w:hAnsi="仿宋" w:eastAsia="仿宋_GB2312"/>
          <w:sz w:val="30"/>
          <w:szCs w:val="30"/>
        </w:rPr>
        <w:t>：</w:t>
      </w:r>
      <w:r>
        <w:rPr>
          <w:rFonts w:hint="eastAsia" w:ascii="仿宋_GB2312" w:hAnsi="仿宋" w:eastAsia="仿宋_GB2312"/>
          <w:sz w:val="30"/>
          <w:szCs w:val="30"/>
        </w:rPr>
        <w:t>填列本期实际收到的</w:t>
      </w:r>
      <w:r>
        <w:rPr>
          <w:rFonts w:ascii="仿宋_GB2312" w:hAnsi="仿宋" w:eastAsia="仿宋_GB2312"/>
          <w:sz w:val="30"/>
          <w:szCs w:val="30"/>
        </w:rPr>
        <w:t>扣除</w:t>
      </w:r>
      <w:r>
        <w:rPr>
          <w:rFonts w:hint="eastAsia" w:ascii="仿宋_GB2312" w:hAnsi="仿宋" w:eastAsia="仿宋_GB2312"/>
          <w:sz w:val="30"/>
          <w:szCs w:val="30"/>
        </w:rPr>
        <w:t>相关</w:t>
      </w:r>
      <w:r>
        <w:rPr>
          <w:rFonts w:ascii="仿宋_GB2312" w:hAnsi="仿宋" w:eastAsia="仿宋_GB2312"/>
          <w:sz w:val="30"/>
          <w:szCs w:val="30"/>
        </w:rPr>
        <w:t>税费、</w:t>
      </w:r>
      <w:r>
        <w:rPr>
          <w:rFonts w:hint="eastAsia" w:ascii="仿宋_GB2312" w:hAnsi="仿宋" w:eastAsia="仿宋_GB2312"/>
          <w:sz w:val="30"/>
          <w:szCs w:val="30"/>
        </w:rPr>
        <w:t>手续费</w:t>
      </w:r>
      <w:r>
        <w:rPr>
          <w:rFonts w:ascii="仿宋_GB2312" w:hAnsi="仿宋" w:eastAsia="仿宋_GB2312"/>
          <w:sz w:val="30"/>
          <w:szCs w:val="30"/>
        </w:rPr>
        <w:t>等的处置</w:t>
      </w:r>
      <w:r>
        <w:rPr>
          <w:rFonts w:hint="eastAsia" w:ascii="仿宋_GB2312" w:hAnsi="仿宋" w:eastAsia="仿宋_GB2312"/>
          <w:sz w:val="30"/>
          <w:szCs w:val="30"/>
        </w:rPr>
        <w:t>净收益</w:t>
      </w:r>
      <w:r>
        <w:rPr>
          <w:rFonts w:ascii="仿宋_GB2312" w:hAnsi="仿宋" w:eastAsia="仿宋_GB2312"/>
          <w:sz w:val="30"/>
          <w:szCs w:val="30"/>
        </w:rPr>
        <w:t>。</w:t>
      </w:r>
    </w:p>
    <w:p>
      <w:pPr>
        <w:pStyle w:val="7"/>
        <w:spacing w:line="360" w:lineRule="auto"/>
        <w:ind w:firstLine="612"/>
        <w:rPr>
          <w:rFonts w:hint="eastAsia" w:hAnsi="仿宋"/>
          <w:sz w:val="30"/>
          <w:szCs w:val="30"/>
        </w:rPr>
      </w:pPr>
      <w:r>
        <w:rPr>
          <w:rFonts w:hint="eastAsia" w:hAnsi="仿宋"/>
          <w:sz w:val="30"/>
          <w:szCs w:val="30"/>
        </w:rPr>
        <w:t>8</w:t>
      </w:r>
      <w:r>
        <w:rPr>
          <w:rFonts w:hAnsi="仿宋"/>
          <w:sz w:val="30"/>
          <w:szCs w:val="30"/>
        </w:rPr>
        <w:t>.</w:t>
      </w:r>
      <w:r>
        <w:rPr>
          <w:rFonts w:hint="eastAsia" w:hAnsi="仿宋"/>
          <w:sz w:val="30"/>
          <w:szCs w:val="30"/>
        </w:rPr>
        <w:t>往期处置事项收益情况：反映报表年度收到往年处置收益，填写本期实收处置收益（2行</w:t>
      </w:r>
      <w:r>
        <w:rPr>
          <w:rFonts w:hAnsi="仿宋"/>
          <w:sz w:val="30"/>
          <w:szCs w:val="30"/>
        </w:rPr>
        <w:t>5</w:t>
      </w:r>
      <w:r>
        <w:rPr>
          <w:rFonts w:hint="eastAsia" w:hAnsi="仿宋"/>
          <w:sz w:val="30"/>
          <w:szCs w:val="30"/>
        </w:rPr>
        <w:t>6栏）和上缴国库金额（2行</w:t>
      </w:r>
      <w:r>
        <w:rPr>
          <w:rFonts w:hAnsi="仿宋"/>
          <w:sz w:val="30"/>
          <w:szCs w:val="30"/>
        </w:rPr>
        <w:t>5</w:t>
      </w:r>
      <w:r>
        <w:rPr>
          <w:rFonts w:hint="eastAsia" w:hAnsi="仿宋"/>
          <w:sz w:val="30"/>
          <w:szCs w:val="30"/>
        </w:rPr>
        <w:t>7栏）。</w:t>
      </w:r>
    </w:p>
    <w:p>
      <w:pPr>
        <w:pStyle w:val="7"/>
        <w:spacing w:line="240" w:lineRule="auto"/>
        <w:ind w:firstLine="612"/>
        <w:rPr>
          <w:rFonts w:hint="eastAsia" w:hAnsi="仿宋"/>
          <w:sz w:val="30"/>
          <w:szCs w:val="30"/>
        </w:rPr>
      </w:pPr>
      <w:r>
        <w:rPr>
          <w:rFonts w:hint="eastAsia" w:hAnsi="仿宋"/>
          <w:sz w:val="30"/>
          <w:szCs w:val="30"/>
        </w:rPr>
        <w:t>9.上缴国库金额：填列本期已上缴国库的资产处置净收益。</w:t>
      </w:r>
    </w:p>
    <w:p>
      <w:pPr>
        <w:pStyle w:val="7"/>
        <w:spacing w:line="360" w:lineRule="auto"/>
        <w:ind w:firstLine="612"/>
        <w:rPr>
          <w:rFonts w:hint="eastAsia" w:hAnsi="仿宋"/>
          <w:sz w:val="30"/>
          <w:szCs w:val="30"/>
        </w:rPr>
      </w:pPr>
      <w:r>
        <w:rPr>
          <w:rFonts w:hint="eastAsia" w:hAnsi="仿宋"/>
          <w:sz w:val="30"/>
          <w:szCs w:val="30"/>
        </w:rPr>
        <w:t>10.其他资产：反映除固定资产、无形资产、流动资产、对外投资、在建工程之外的资产处置情况。</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w:t>
      </w:r>
      <w:r>
        <w:rPr>
          <w:rFonts w:ascii="仿宋_GB2312" w:hAnsi="仿宋" w:eastAsia="仿宋_GB2312"/>
          <w:b/>
          <w:sz w:val="30"/>
          <w:szCs w:val="30"/>
        </w:rPr>
        <w:t>公式：</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5"/>
        </w:numPr>
        <w:spacing w:line="360" w:lineRule="auto"/>
        <w:rPr>
          <w:rFonts w:ascii="仿宋_GB2312" w:eastAsia="仿宋_GB2312"/>
          <w:sz w:val="30"/>
          <w:szCs w:val="30"/>
        </w:rPr>
      </w:pPr>
      <w:bookmarkStart w:id="15" w:name="_Hlk525824564"/>
      <w:r>
        <w:rPr>
          <w:rFonts w:hint="eastAsia" w:ascii="仿宋_GB2312" w:eastAsia="仿宋_GB2312"/>
          <w:sz w:val="30"/>
          <w:szCs w:val="30"/>
        </w:rPr>
        <w:t>各</w:t>
      </w:r>
      <w:r>
        <w:rPr>
          <w:rFonts w:ascii="仿宋_GB2312" w:eastAsia="仿宋_GB2312"/>
          <w:sz w:val="30"/>
          <w:szCs w:val="30"/>
        </w:rPr>
        <w:t>浮动行</w:t>
      </w:r>
      <w:r>
        <w:rPr>
          <w:rFonts w:hint="eastAsia" w:ascii="仿宋_GB2312" w:eastAsia="仿宋_GB2312"/>
          <w:sz w:val="30"/>
          <w:szCs w:val="30"/>
        </w:rPr>
        <w:t>处置事项名称、处置形式、审批情况（1</w:t>
      </w:r>
      <w:r>
        <w:rPr>
          <w:rFonts w:hint="eastAsia" w:ascii="华文中宋" w:hAnsi="华文中宋" w:eastAsia="华文中宋"/>
          <w:sz w:val="30"/>
          <w:szCs w:val="30"/>
        </w:rPr>
        <w:t>~</w:t>
      </w:r>
      <w:r>
        <w:rPr>
          <w:rFonts w:hint="eastAsia" w:ascii="仿宋_GB2312" w:eastAsia="仿宋_GB2312"/>
          <w:sz w:val="30"/>
          <w:szCs w:val="30"/>
        </w:rPr>
        <w:t>3栏）</w:t>
      </w:r>
      <w:r>
        <w:rPr>
          <w:rFonts w:ascii="仿宋_GB2312" w:eastAsia="仿宋_GB2312"/>
          <w:sz w:val="30"/>
          <w:szCs w:val="30"/>
        </w:rPr>
        <w:t>不能为空</w:t>
      </w:r>
      <w:bookmarkEnd w:id="15"/>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当处置形式（2栏）为“报废”时，土地使用权的面积、原值、净值（42</w:t>
      </w:r>
      <w:r>
        <w:rPr>
          <w:rFonts w:hint="eastAsia" w:ascii="华文中宋" w:hAnsi="华文中宋" w:eastAsia="华文中宋"/>
          <w:sz w:val="30"/>
          <w:szCs w:val="30"/>
        </w:rPr>
        <w:t>~</w:t>
      </w:r>
      <w:r>
        <w:rPr>
          <w:rFonts w:hint="eastAsia" w:ascii="仿宋_GB2312" w:eastAsia="仿宋_GB2312"/>
          <w:sz w:val="30"/>
          <w:szCs w:val="30"/>
        </w:rPr>
        <w:t>44栏）必须为空；</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浮动行原值合计（4栏）大于0；</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原值合计（4栏）等于流动资产原值（5栏）、固定资产小计原值（6栏）、无形资产小计原值（34栏）、长期投资小计原值（51栏）、在建工程小计原值（54栏）、其他资产小计原值（55栏）之和</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固定资产小计原值（6栏）等于房屋和构筑物原值（8栏）、设备小计原值（14栏）、陈列品原值（23栏）、图书和档案原值（26栏）、家具和用具原值（29栏）、特种动植物原值（32栏）之和</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固定资产小计净值（7栏）等于房屋和构筑物净值（9栏）、设备小计净值（15栏）、陈列品净值（24栏）、图书和档案净值（27栏）、家具和用具净值（30栏）、特种动植物净值（33栏）之和</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房屋和构筑物小计的原值、净值（8、9栏）应分别大于等于其中：房屋的原值、净值（11、12栏）</w:t>
      </w:r>
      <w:r>
        <w:rPr>
          <w:rFonts w:ascii="仿宋_GB2312" w:eastAsia="仿宋_GB2312"/>
          <w:sz w:val="30"/>
          <w:szCs w:val="30"/>
        </w:rPr>
        <w:t>；</w:t>
      </w:r>
    </w:p>
    <w:p>
      <w:pPr>
        <w:numPr>
          <w:ilvl w:val="0"/>
          <w:numId w:val="5"/>
        </w:numPr>
        <w:spacing w:line="360" w:lineRule="auto"/>
        <w:jc w:val="left"/>
        <w:rPr>
          <w:rFonts w:ascii="仿宋_GB2312" w:eastAsia="仿宋_GB2312"/>
          <w:sz w:val="30"/>
          <w:szCs w:val="30"/>
        </w:rPr>
      </w:pPr>
      <w:r>
        <w:rPr>
          <w:rFonts w:hint="eastAsia" w:ascii="仿宋_GB2312" w:eastAsia="仿宋_GB2312"/>
          <w:sz w:val="30"/>
          <w:szCs w:val="30"/>
        </w:rPr>
        <w:t>设备小计的数量、原值、净值（13</w:t>
      </w:r>
      <w:r>
        <w:rPr>
          <w:rFonts w:hint="eastAsia" w:ascii="华文中宋" w:hAnsi="华文中宋" w:eastAsia="华文中宋"/>
          <w:sz w:val="30"/>
          <w:szCs w:val="30"/>
        </w:rPr>
        <w:t>~</w:t>
      </w:r>
      <w:r>
        <w:rPr>
          <w:rFonts w:hint="eastAsia" w:ascii="仿宋_GB2312" w:eastAsia="仿宋_GB2312"/>
          <w:sz w:val="30"/>
          <w:szCs w:val="30"/>
        </w:rPr>
        <w:t>15栏）应分别大于等于其中：车辆（16</w:t>
      </w:r>
      <w:r>
        <w:rPr>
          <w:rFonts w:hint="eastAsia" w:ascii="华文中宋" w:hAnsi="华文中宋" w:eastAsia="华文中宋"/>
          <w:sz w:val="30"/>
          <w:szCs w:val="30"/>
        </w:rPr>
        <w:t>~</w:t>
      </w:r>
      <w:r>
        <w:rPr>
          <w:rFonts w:hint="eastAsia" w:ascii="仿宋_GB2312" w:eastAsia="仿宋_GB2312"/>
          <w:sz w:val="30"/>
          <w:szCs w:val="30"/>
        </w:rPr>
        <w:t>18栏）与单价100万（含）以上（不含车辆）的数量、原值、净值之和（19</w:t>
      </w:r>
      <w:r>
        <w:rPr>
          <w:rFonts w:hint="eastAsia" w:ascii="华文中宋" w:hAnsi="华文中宋" w:eastAsia="华文中宋"/>
          <w:sz w:val="30"/>
          <w:szCs w:val="30"/>
        </w:rPr>
        <w:t>~</w:t>
      </w:r>
      <w:r>
        <w:rPr>
          <w:rFonts w:hint="eastAsia" w:ascii="仿宋_GB2312" w:eastAsia="仿宋_GB2312"/>
          <w:sz w:val="30"/>
          <w:szCs w:val="30"/>
        </w:rPr>
        <w:t>21栏）</w:t>
      </w:r>
      <w:r>
        <w:rPr>
          <w:rFonts w:ascii="仿宋_GB2312" w:eastAsia="仿宋_GB2312"/>
          <w:sz w:val="30"/>
          <w:szCs w:val="30"/>
        </w:rPr>
        <w:t xml:space="preserve">； </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无形资产小计原值（3</w:t>
      </w:r>
      <w:r>
        <w:rPr>
          <w:rFonts w:ascii="仿宋_GB2312" w:eastAsia="仿宋_GB2312"/>
          <w:sz w:val="30"/>
          <w:szCs w:val="30"/>
        </w:rPr>
        <w:t>4</w:t>
      </w:r>
      <w:r>
        <w:rPr>
          <w:rFonts w:hint="eastAsia" w:ascii="仿宋_GB2312" w:eastAsia="仿宋_GB2312"/>
          <w:sz w:val="30"/>
          <w:szCs w:val="30"/>
        </w:rPr>
        <w:t>栏）应等于专利原值（37栏）、非专利技术原值（40栏）、土地使用权原值（43栏）、计算机软件原值（46栏）、其他原值（49栏）之和；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无形资产小计净值（35栏）应等于专利净值（38栏）、非专利技术净值（41栏）、土地使用权净值（44栏）、计算机软件净值（47栏）、其他净值（50栏）之和；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长期投资小计原值（</w:t>
      </w:r>
      <w:r>
        <w:rPr>
          <w:rFonts w:ascii="仿宋_GB2312" w:eastAsia="仿宋_GB2312"/>
          <w:sz w:val="30"/>
          <w:szCs w:val="30"/>
        </w:rPr>
        <w:t>51</w:t>
      </w:r>
      <w:r>
        <w:rPr>
          <w:rFonts w:hint="eastAsia" w:ascii="仿宋_GB2312" w:eastAsia="仿宋_GB2312"/>
          <w:sz w:val="30"/>
          <w:szCs w:val="30"/>
        </w:rPr>
        <w:t>栏）等于长期债券原值（52栏）、长期股权原值（53栏）之和；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合计行（1行）原值合计、流动资产原值、房屋和构筑物小计原值等52项（4</w:t>
      </w:r>
      <w:r>
        <w:rPr>
          <w:rFonts w:hint="eastAsia" w:ascii="华文中宋" w:hAnsi="华文中宋" w:eastAsia="华文中宋"/>
          <w:sz w:val="30"/>
          <w:szCs w:val="30"/>
        </w:rPr>
        <w:t>~</w:t>
      </w:r>
      <w:r>
        <w:rPr>
          <w:rFonts w:ascii="仿宋_GB2312" w:eastAsia="仿宋_GB2312"/>
          <w:sz w:val="30"/>
          <w:szCs w:val="30"/>
        </w:rPr>
        <w:t>55</w:t>
      </w:r>
      <w:r>
        <w:rPr>
          <w:rFonts w:hint="eastAsia" w:ascii="仿宋_GB2312" w:eastAsia="仿宋_GB2312"/>
          <w:sz w:val="30"/>
          <w:szCs w:val="30"/>
        </w:rPr>
        <w:t>栏）应与本期处置事项小计（3行）对应指标相等；</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合计行（1行）、本期处置事项小计（3行）、浮动行的原值合计、流动资产原值、房屋和构筑物小计原值等52项（4</w:t>
      </w:r>
      <w:r>
        <w:rPr>
          <w:rFonts w:hint="eastAsia" w:ascii="华文中宋" w:hAnsi="华文中宋" w:eastAsia="华文中宋"/>
          <w:sz w:val="30"/>
          <w:szCs w:val="30"/>
        </w:rPr>
        <w:t>~</w:t>
      </w:r>
      <w:r>
        <w:rPr>
          <w:rFonts w:ascii="仿宋_GB2312" w:eastAsia="仿宋_GB2312"/>
          <w:sz w:val="30"/>
          <w:szCs w:val="30"/>
        </w:rPr>
        <w:t>55</w:t>
      </w:r>
      <w:r>
        <w:rPr>
          <w:rFonts w:hint="eastAsia" w:ascii="仿宋_GB2312" w:eastAsia="仿宋_GB2312"/>
          <w:sz w:val="30"/>
          <w:szCs w:val="30"/>
        </w:rPr>
        <w:t>栏）均应大于等于0；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本期实收资产处置收益（56栏）应大于等于0；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合计行（1行）本期实收资产处置收益（56栏）应等于往期处置事项收益情况（2行）、本期处置事项小计（3行）的本期处置事项收益情况之和；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合计行（1行）上缴国库金额（57栏）应等于往期处置事项收益情况（2行）、本期处置事项小计（3行）的上缴国库金额之和；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本期处置事项小计（3行）的应等于各浮动行对应指标之和</w:t>
      </w:r>
      <w:r>
        <w:rPr>
          <w:rFonts w:ascii="仿宋_GB2312" w:eastAsia="仿宋_GB2312"/>
          <w:sz w:val="30"/>
          <w:szCs w:val="30"/>
        </w:rPr>
        <w:t>；</w:t>
      </w:r>
    </w:p>
    <w:p>
      <w:pPr>
        <w:numPr>
          <w:ilvl w:val="0"/>
          <w:numId w:val="5"/>
        </w:numPr>
        <w:spacing w:line="360" w:lineRule="auto"/>
        <w:rPr>
          <w:rFonts w:ascii="仿宋_GB2312" w:eastAsia="仿宋_GB2312"/>
          <w:sz w:val="30"/>
          <w:szCs w:val="30"/>
        </w:rPr>
      </w:pPr>
      <w:r>
        <w:rPr>
          <w:rFonts w:ascii="仿宋_GB2312" w:eastAsia="仿宋_GB2312"/>
          <w:sz w:val="30"/>
          <w:szCs w:val="30"/>
        </w:rPr>
        <w:t>浮动行</w:t>
      </w:r>
      <w:r>
        <w:rPr>
          <w:rFonts w:hint="eastAsia" w:ascii="仿宋_GB2312" w:eastAsia="仿宋_GB2312"/>
          <w:sz w:val="30"/>
          <w:szCs w:val="30"/>
        </w:rPr>
        <w:t>流动资产（</w:t>
      </w:r>
      <w:r>
        <w:rPr>
          <w:rFonts w:ascii="仿宋_GB2312" w:eastAsia="仿宋_GB2312"/>
          <w:sz w:val="30"/>
          <w:szCs w:val="30"/>
        </w:rPr>
        <w:t>5栏</w:t>
      </w:r>
      <w:r>
        <w:rPr>
          <w:rFonts w:hint="eastAsia" w:ascii="仿宋_GB2312" w:eastAsia="仿宋_GB2312"/>
          <w:sz w:val="30"/>
          <w:szCs w:val="30"/>
        </w:rPr>
        <w:t>）</w:t>
      </w:r>
      <w:r>
        <w:rPr>
          <w:rFonts w:ascii="仿宋_GB2312" w:eastAsia="仿宋_GB2312"/>
          <w:sz w:val="30"/>
          <w:szCs w:val="30"/>
        </w:rPr>
        <w:t>或</w:t>
      </w:r>
      <w:r>
        <w:rPr>
          <w:rFonts w:hint="eastAsia" w:ascii="仿宋_GB2312" w:eastAsia="仿宋_GB2312"/>
          <w:sz w:val="30"/>
          <w:szCs w:val="30"/>
        </w:rPr>
        <w:t>长期投资小计原值（</w:t>
      </w:r>
      <w:r>
        <w:rPr>
          <w:rFonts w:ascii="仿宋_GB2312" w:eastAsia="仿宋_GB2312"/>
          <w:sz w:val="30"/>
          <w:szCs w:val="30"/>
        </w:rPr>
        <w:t>51栏</w:t>
      </w:r>
      <w:r>
        <w:rPr>
          <w:rFonts w:hint="eastAsia" w:ascii="仿宋_GB2312" w:eastAsia="仿宋_GB2312"/>
          <w:sz w:val="30"/>
          <w:szCs w:val="30"/>
        </w:rPr>
        <w:t>）</w:t>
      </w:r>
      <w:r>
        <w:rPr>
          <w:rFonts w:ascii="仿宋_GB2312" w:eastAsia="仿宋_GB2312"/>
          <w:sz w:val="30"/>
          <w:szCs w:val="30"/>
        </w:rPr>
        <w:t>或</w:t>
      </w:r>
      <w:r>
        <w:rPr>
          <w:rFonts w:hint="eastAsia" w:ascii="仿宋_GB2312" w:eastAsia="仿宋_GB2312"/>
          <w:sz w:val="30"/>
          <w:szCs w:val="30"/>
        </w:rPr>
        <w:t>在建工程原值（</w:t>
      </w:r>
      <w:r>
        <w:rPr>
          <w:rFonts w:ascii="仿宋_GB2312" w:eastAsia="仿宋_GB2312"/>
          <w:sz w:val="30"/>
          <w:szCs w:val="30"/>
        </w:rPr>
        <w:t>54栏</w:t>
      </w:r>
      <w:r>
        <w:rPr>
          <w:rFonts w:hint="eastAsia" w:ascii="仿宋_GB2312" w:eastAsia="仿宋_GB2312"/>
          <w:sz w:val="30"/>
          <w:szCs w:val="30"/>
        </w:rPr>
        <w:t>）大于0</w:t>
      </w:r>
      <w:r>
        <w:rPr>
          <w:rFonts w:ascii="仿宋_GB2312" w:eastAsia="仿宋_GB2312"/>
          <w:sz w:val="30"/>
          <w:szCs w:val="30"/>
        </w:rPr>
        <w:t>时，备注</w:t>
      </w: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8</w:t>
      </w:r>
      <w:r>
        <w:rPr>
          <w:rFonts w:ascii="仿宋_GB2312" w:eastAsia="仿宋_GB2312"/>
          <w:sz w:val="30"/>
          <w:szCs w:val="30"/>
        </w:rPr>
        <w:t>栏</w:t>
      </w:r>
      <w:r>
        <w:rPr>
          <w:rFonts w:hint="eastAsia" w:ascii="仿宋_GB2312" w:eastAsia="仿宋_GB2312"/>
          <w:sz w:val="30"/>
          <w:szCs w:val="30"/>
        </w:rPr>
        <w:t>）</w:t>
      </w:r>
      <w:r>
        <w:rPr>
          <w:rFonts w:ascii="仿宋_GB2312" w:eastAsia="仿宋_GB2312"/>
          <w:sz w:val="30"/>
          <w:szCs w:val="30"/>
        </w:rPr>
        <w:t>需说明处置资产详细情况</w:t>
      </w:r>
      <w:r>
        <w:rPr>
          <w:rFonts w:hint="eastAsia" w:ascii="仿宋_GB2312" w:eastAsia="仿宋_GB2312"/>
          <w:sz w:val="30"/>
          <w:szCs w:val="30"/>
        </w:rPr>
        <w:t>；</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当处置形式（2栏）为“其他”时，备注（</w:t>
      </w:r>
      <w:r>
        <w:rPr>
          <w:rFonts w:ascii="仿宋_GB2312" w:eastAsia="仿宋_GB2312"/>
          <w:sz w:val="30"/>
          <w:szCs w:val="30"/>
        </w:rPr>
        <w:t>5</w:t>
      </w:r>
      <w:r>
        <w:rPr>
          <w:rFonts w:hint="eastAsia" w:ascii="仿宋_GB2312" w:eastAsia="仿宋_GB2312"/>
          <w:sz w:val="30"/>
          <w:szCs w:val="30"/>
        </w:rPr>
        <w:t>8栏）必填需说明处置资产详细情况；</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上缴国库金额（57栏）应大于等于0。</w:t>
      </w:r>
    </w:p>
    <w:p>
      <w:pPr>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eastAsia="仿宋_GB2312"/>
          <w:sz w:val="30"/>
          <w:szCs w:val="30"/>
        </w:rPr>
        <w:t>当处置形式（2栏）</w:t>
      </w:r>
      <w:r>
        <w:rPr>
          <w:rFonts w:ascii="仿宋_GB2312" w:eastAsia="仿宋_GB2312"/>
          <w:sz w:val="30"/>
          <w:szCs w:val="30"/>
        </w:rPr>
        <w:t>为</w:t>
      </w:r>
      <w:r>
        <w:rPr>
          <w:rFonts w:hint="eastAsia" w:ascii="仿宋_GB2312" w:eastAsia="仿宋_GB2312"/>
          <w:sz w:val="30"/>
          <w:szCs w:val="30"/>
        </w:rPr>
        <w:t>“</w:t>
      </w:r>
      <w:r>
        <w:rPr>
          <w:rFonts w:hint="eastAsia" w:ascii="仿宋_GB2312" w:hAnsi="仿宋" w:eastAsia="仿宋_GB2312"/>
          <w:sz w:val="30"/>
          <w:szCs w:val="30"/>
        </w:rPr>
        <w:t>转让</w:t>
      </w:r>
      <w:r>
        <w:rPr>
          <w:rFonts w:hint="eastAsia" w:ascii="仿宋_GB2312" w:eastAsia="仿宋_GB2312"/>
          <w:sz w:val="30"/>
          <w:szCs w:val="30"/>
        </w:rPr>
        <w:t>”或“报废”</w:t>
      </w:r>
      <w:r>
        <w:rPr>
          <w:rFonts w:ascii="仿宋_GB2312" w:eastAsia="仿宋_GB2312"/>
          <w:sz w:val="30"/>
          <w:szCs w:val="30"/>
        </w:rPr>
        <w:t>时，</w:t>
      </w:r>
      <w:r>
        <w:rPr>
          <w:rFonts w:hint="eastAsia" w:ascii="仿宋_GB2312" w:eastAsia="仿宋_GB2312"/>
          <w:sz w:val="30"/>
          <w:szCs w:val="30"/>
        </w:rPr>
        <w:t>本期处置事项收益情况（56栏）</w:t>
      </w:r>
      <w:r>
        <w:rPr>
          <w:rFonts w:ascii="仿宋_GB2312" w:eastAsia="仿宋_GB2312"/>
          <w:sz w:val="30"/>
          <w:szCs w:val="30"/>
        </w:rPr>
        <w:t>必须</w:t>
      </w:r>
      <w:r>
        <w:rPr>
          <w:rFonts w:hint="eastAsia" w:ascii="仿宋_GB2312" w:eastAsia="仿宋_GB2312"/>
          <w:sz w:val="30"/>
          <w:szCs w:val="30"/>
        </w:rPr>
        <w:t>大于</w:t>
      </w:r>
      <w:r>
        <w:rPr>
          <w:rFonts w:hint="eastAsia" w:ascii="仿宋_GB2312" w:hAnsi="仿宋_GB2312" w:eastAsia="仿宋_GB2312" w:cs="仿宋_GB2312"/>
          <w:sz w:val="30"/>
          <w:szCs w:val="30"/>
        </w:rPr>
        <w:t>0，否则提示核实性错误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当审批情况（3栏）为“未审批”时，提示核实性错误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当流动资产、在建工程、土地使用权处置形式为“报废或者损失核销”时，提示核实性错误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w:t>
      </w:r>
      <w:r>
        <w:rPr>
          <w:rFonts w:hint="eastAsia" w:ascii="仿宋_GB2312" w:eastAsia="仿宋_GB2312"/>
          <w:sz w:val="30"/>
          <w:szCs w:val="30"/>
        </w:rPr>
        <w:t>处置形式（2栏）</w:t>
      </w:r>
      <w:r>
        <w:rPr>
          <w:rFonts w:hint="eastAsia" w:ascii="仿宋_GB2312" w:hAnsi="仿宋_GB2312" w:eastAsia="仿宋_GB2312" w:cs="仿宋_GB2312"/>
          <w:sz w:val="30"/>
          <w:szCs w:val="30"/>
        </w:rPr>
        <w:t>为“其他”时，需结合实际情况修改或说明处置资产详细情况；</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当浮动行存在陈列品的数量、原值、净值（22</w:t>
      </w:r>
      <w:r>
        <w:rPr>
          <w:rFonts w:hint="eastAsia" w:ascii="华文中宋" w:hAnsi="华文中宋" w:eastAsia="华文中宋" w:cs="仿宋_GB2312"/>
          <w:sz w:val="30"/>
          <w:szCs w:val="30"/>
        </w:rPr>
        <w:t>~</w:t>
      </w:r>
      <w:r>
        <w:rPr>
          <w:rFonts w:hint="eastAsia" w:ascii="仿宋_GB2312" w:hAnsi="仿宋_GB2312" w:eastAsia="仿宋_GB2312" w:cs="仿宋_GB2312"/>
          <w:sz w:val="30"/>
          <w:szCs w:val="30"/>
        </w:rPr>
        <w:t>24栏）大于0时，提示核实性错误，需结合实际情况修改或填写情况说明；</w:t>
      </w:r>
    </w:p>
    <w:p>
      <w:pPr>
        <w:numPr>
          <w:ilvl w:val="0"/>
          <w:numId w:val="5"/>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当浮动行其他资产原值（55栏）大于0时，提示核实性错误，需结合实际情况修改或填写情况说明。</w:t>
      </w:r>
    </w:p>
    <w:p>
      <w:pPr>
        <w:pStyle w:val="2"/>
        <w:rPr>
          <w:rFonts w:hint="eastAsia"/>
          <w:b/>
          <w:color w:val="auto"/>
        </w:rPr>
      </w:pPr>
      <w:r>
        <w:rPr>
          <w:rFonts w:hint="eastAsia"/>
          <w:color w:val="auto"/>
        </w:rPr>
        <w:t>（十二）对外投资情况表（财资1</w:t>
      </w:r>
      <w:r>
        <w:rPr>
          <w:color w:val="auto"/>
        </w:rPr>
        <w:t>1</w:t>
      </w:r>
      <w:r>
        <w:rPr>
          <w:rFonts w:hint="eastAsia"/>
          <w:color w:val="auto"/>
        </w:rPr>
        <w:t>表）</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行政事业单位对外投资情况，要求单位将对外投资事项逐项逐笔填列。除法律另有规定外，行政单位不得以任何形式将国有资产用于对外投资。如果行政单位存在法律允许的对外投资情况，也需要填列此表。事业单位以各种形式持有时间超过1年（不含1年）的股权性质的投资须纳入长期股权投资核算，不得将对外投资长期在往来款科目核算。</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单位会计科目：被投资单位（项目）的会计科目。按长期债权投资、长期股权投资、短期投资选择填列。</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2.被投资单位（项目）名称：反映被投资单位（项目）全称。</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出资资产账面原值：本项目按照长期股权投资实际成本填列，不包含采用权益法核算的长期股权投资期末余额变动数。</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审批情况：按财政部门审批、机关事务管理部门审批、主管部门审批、单位内部审批、未审批选择填列。</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投资开始日期：按投资事项的财务入账日期填列。</w:t>
      </w:r>
    </w:p>
    <w:p>
      <w:pPr>
        <w:pStyle w:val="5"/>
        <w:adjustRightInd w:val="0"/>
        <w:snapToGrid w:val="0"/>
        <w:spacing w:line="360" w:lineRule="auto"/>
        <w:ind w:firstLine="600"/>
        <w:rPr>
          <w:rFonts w:hint="eastAsia" w:ascii="仿宋_GB2312" w:hAnsi="仿宋" w:eastAsia="仿宋_GB2312"/>
          <w:color w:val="auto"/>
          <w:sz w:val="30"/>
          <w:szCs w:val="30"/>
        </w:rPr>
      </w:pPr>
      <w:r>
        <w:rPr>
          <w:rFonts w:ascii="仿宋_GB2312" w:hAnsi="仿宋" w:eastAsia="仿宋_GB2312"/>
          <w:color w:val="auto"/>
          <w:sz w:val="30"/>
          <w:szCs w:val="30"/>
        </w:rPr>
        <w:t>6.</w:t>
      </w:r>
      <w:r>
        <w:rPr>
          <w:rFonts w:hint="eastAsia" w:ascii="仿宋_GB2312" w:hAnsi="仿宋" w:eastAsia="仿宋_GB2312"/>
          <w:color w:val="auto"/>
          <w:sz w:val="30"/>
          <w:szCs w:val="30"/>
        </w:rPr>
        <w:t>对外投资期末账面数：反映投资单位各项对外投资的期末账面金额，包含采用权益法核算的长期股权投资期末余额变动数，应当与资产负债表中的长期股权投资、长期债券投资、短期投资数据一致。</w:t>
      </w:r>
    </w:p>
    <w:p>
      <w:pPr>
        <w:pStyle w:val="5"/>
        <w:adjustRightInd w:val="0"/>
        <w:snapToGrid w:val="0"/>
        <w:spacing w:line="360" w:lineRule="auto"/>
        <w:ind w:firstLine="600"/>
        <w:rPr>
          <w:rFonts w:hint="eastAsia" w:ascii="仿宋_GB2312" w:hAnsi="仿宋" w:eastAsia="仿宋_GB2312"/>
          <w:color w:val="auto"/>
          <w:sz w:val="30"/>
          <w:szCs w:val="30"/>
        </w:rPr>
      </w:pPr>
      <w:r>
        <w:rPr>
          <w:rFonts w:hint="eastAsia" w:ascii="仿宋_GB2312" w:hAnsi="仿宋" w:eastAsia="仿宋_GB2312"/>
          <w:color w:val="auto"/>
          <w:sz w:val="30"/>
          <w:szCs w:val="30"/>
        </w:rPr>
        <w:t>7</w:t>
      </w:r>
      <w:r>
        <w:rPr>
          <w:rFonts w:ascii="仿宋_GB2312" w:hAnsi="仿宋" w:eastAsia="仿宋_GB2312"/>
          <w:color w:val="auto"/>
          <w:sz w:val="30"/>
          <w:szCs w:val="30"/>
        </w:rPr>
        <w:t>.</w:t>
      </w:r>
      <w:r>
        <w:rPr>
          <w:rFonts w:hint="eastAsia" w:ascii="仿宋_GB2312" w:hAnsi="仿宋" w:eastAsia="仿宋_GB2312"/>
          <w:color w:val="auto"/>
          <w:sz w:val="30"/>
          <w:szCs w:val="30"/>
        </w:rPr>
        <w:t>债券投资：反映单位购买各种债券形成的投资，包括国债、企业债券等债券投资。</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8.债券投资_本期投资金额：填列单位本期购买长期债券投资和短期债券投资金额。</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债券投资_票面金额：填列债券票面所载金额。</w:t>
      </w:r>
    </w:p>
    <w:p>
      <w:pPr>
        <w:spacing w:line="360" w:lineRule="auto"/>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rPr>
        <w:t>10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股权投资：指单位以流动资产、固定资产、无形资产和其他资产投资于其他企业形成的投资。</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11</w:t>
      </w:r>
      <w:r>
        <w:rPr>
          <w:rFonts w:ascii="仿宋_GB2312" w:hAnsi="仿宋" w:eastAsia="仿宋_GB2312"/>
          <w:sz w:val="30"/>
          <w:szCs w:val="30"/>
        </w:rPr>
        <w:t>.</w:t>
      </w:r>
      <w:r>
        <w:rPr>
          <w:rFonts w:hint="eastAsia" w:ascii="仿宋_GB2312" w:hAnsi="仿宋_GB2312" w:eastAsia="仿宋_GB2312" w:cs="仿宋_GB2312"/>
          <w:sz w:val="30"/>
          <w:szCs w:val="30"/>
        </w:rPr>
        <w:t>股权投资_</w:t>
      </w:r>
      <w:r>
        <w:rPr>
          <w:rFonts w:hint="eastAsia" w:ascii="仿宋_GB2312" w:hAnsi="仿宋" w:eastAsia="仿宋_GB2312"/>
          <w:sz w:val="30"/>
          <w:szCs w:val="30"/>
        </w:rPr>
        <w:t>本期投资金额：填列单位本期投资金额以及通过接受捐赠和调入方式取得的长期股权投资金额。</w:t>
      </w:r>
    </w:p>
    <w:p>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ascii="仿宋_GB2312" w:hAnsi="仿宋" w:eastAsia="仿宋_GB2312"/>
          <w:sz w:val="30"/>
          <w:szCs w:val="30"/>
        </w:rPr>
        <w:t>期末持股比例：填列单位期末对被投资单位的实际持股比例。</w:t>
      </w:r>
    </w:p>
    <w:p>
      <w:pPr>
        <w:pStyle w:val="5"/>
        <w:adjustRightInd w:val="0"/>
        <w:snapToGrid w:val="0"/>
        <w:spacing w:line="360" w:lineRule="auto"/>
        <w:ind w:firstLine="600"/>
        <w:rPr>
          <w:rFonts w:hint="eastAsia" w:ascii="仿宋_GB2312" w:hAnsi="仿宋" w:eastAsia="仿宋_GB2312"/>
          <w:color w:val="auto"/>
          <w:sz w:val="30"/>
          <w:szCs w:val="30"/>
        </w:rPr>
      </w:pPr>
      <w:r>
        <w:rPr>
          <w:rFonts w:ascii="仿宋_GB2312" w:hAnsi="仿宋" w:eastAsia="仿宋_GB2312"/>
          <w:color w:val="auto"/>
          <w:sz w:val="30"/>
          <w:szCs w:val="30"/>
        </w:rPr>
        <w:t>1</w:t>
      </w:r>
      <w:r>
        <w:rPr>
          <w:rFonts w:hint="eastAsia" w:ascii="仿宋_GB2312" w:hAnsi="仿宋" w:eastAsia="仿宋_GB2312"/>
          <w:color w:val="auto"/>
          <w:sz w:val="30"/>
          <w:szCs w:val="30"/>
        </w:rPr>
        <w:t>3</w:t>
      </w:r>
      <w:r>
        <w:rPr>
          <w:rFonts w:ascii="仿宋_GB2312" w:hAnsi="仿宋" w:eastAsia="仿宋_GB2312"/>
          <w:color w:val="auto"/>
          <w:sz w:val="30"/>
          <w:szCs w:val="30"/>
        </w:rPr>
        <w:t>.是否实际控制：根据对被投资单位是否具有实际控制权利</w:t>
      </w:r>
      <w:r>
        <w:rPr>
          <w:rFonts w:hint="eastAsia" w:ascii="仿宋_GB2312" w:hAnsi="仿宋" w:eastAsia="仿宋_GB2312"/>
          <w:color w:val="auto"/>
          <w:sz w:val="30"/>
          <w:szCs w:val="30"/>
        </w:rPr>
        <w:t>（根据《企业国有资产交易监督管理办法》（国务院国资委 财政部令第32号）第四条有关规定确定）</w:t>
      </w:r>
      <w:r>
        <w:rPr>
          <w:rFonts w:ascii="仿宋_GB2312" w:hAnsi="仿宋" w:eastAsia="仿宋_GB2312"/>
          <w:color w:val="auto"/>
          <w:sz w:val="30"/>
          <w:szCs w:val="30"/>
        </w:rPr>
        <w:t>，</w:t>
      </w:r>
      <w:r>
        <w:rPr>
          <w:rFonts w:hint="eastAsia" w:ascii="仿宋_GB2312" w:hAnsi="仿宋" w:eastAsia="仿宋_GB2312"/>
          <w:color w:val="auto"/>
          <w:sz w:val="30"/>
          <w:szCs w:val="30"/>
        </w:rPr>
        <w:t>实际控制选择填列“是”，并细化选择“国有独资、国有控股、国有实际控制”，非实际控制选择填列“否”。</w:t>
      </w:r>
    </w:p>
    <w:p>
      <w:pPr>
        <w:pStyle w:val="5"/>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14</w:t>
      </w:r>
      <w:r>
        <w:rPr>
          <w:rFonts w:ascii="仿宋_GB2312" w:hAnsi="仿宋" w:eastAsia="仿宋_GB2312"/>
          <w:color w:val="auto"/>
          <w:sz w:val="30"/>
          <w:szCs w:val="30"/>
        </w:rPr>
        <w:t>.</w:t>
      </w:r>
      <w:r>
        <w:rPr>
          <w:rFonts w:hint="eastAsia" w:ascii="仿宋_GB2312" w:hAnsi="仿宋" w:eastAsia="仿宋_GB2312"/>
          <w:color w:val="auto"/>
          <w:sz w:val="30"/>
          <w:szCs w:val="30"/>
        </w:rPr>
        <w:t>经营状况</w:t>
      </w:r>
      <w:r>
        <w:rPr>
          <w:rFonts w:ascii="仿宋_GB2312" w:hAnsi="仿宋" w:eastAsia="仿宋_GB2312"/>
          <w:color w:val="auto"/>
          <w:sz w:val="30"/>
          <w:szCs w:val="30"/>
        </w:rPr>
        <w:t>：</w:t>
      </w:r>
      <w:r>
        <w:rPr>
          <w:rFonts w:hint="eastAsia" w:ascii="仿宋_GB2312" w:hAnsi="仿宋" w:eastAsia="仿宋_GB2312"/>
          <w:color w:val="auto"/>
          <w:sz w:val="30"/>
          <w:szCs w:val="30"/>
        </w:rPr>
        <w:t>反映被投资单位经营状况，按照正常经营、停业歇业、待注销、已注销待清理、其他选择填列。</w:t>
      </w:r>
    </w:p>
    <w:p>
      <w:pPr>
        <w:pStyle w:val="5"/>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15.是否编报国有企业财务会计决算：依据被投资单位编报国有企业财务会计决算的实际情况选择是、否填列。</w:t>
      </w:r>
    </w:p>
    <w:p>
      <w:pPr>
        <w:pStyle w:val="5"/>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16.是否办理国有资本产权登记：依据被投资单位办理国有资本产权登记情况，按照是、否填列。</w:t>
      </w:r>
    </w:p>
    <w:p>
      <w:pPr>
        <w:pStyle w:val="5"/>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17</w:t>
      </w:r>
      <w:r>
        <w:rPr>
          <w:rFonts w:ascii="仿宋_GB2312" w:hAnsi="仿宋" w:eastAsia="仿宋_GB2312"/>
          <w:color w:val="auto"/>
          <w:sz w:val="30"/>
          <w:szCs w:val="30"/>
        </w:rPr>
        <w:t>.</w:t>
      </w:r>
      <w:r>
        <w:rPr>
          <w:rFonts w:hint="eastAsia" w:ascii="仿宋_GB2312" w:hAnsi="仿宋" w:eastAsia="仿宋_GB2312"/>
          <w:color w:val="auto"/>
          <w:sz w:val="30"/>
          <w:szCs w:val="30"/>
        </w:rPr>
        <w:t>本期实收投资收益：指单位本年度实际收到的全部投资收益，不含企业上缴的企业国有资本收益。</w:t>
      </w:r>
    </w:p>
    <w:p>
      <w:pPr>
        <w:pStyle w:val="5"/>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18.若被投资企业在当年已注销清理但本期存在实收投资收益的情况，按如下方式填写：“经营状况”选择“其他”，并在备注中说明情况，“是否实际控制”选择“否”，“期末投资金额”、“期末持股比例（%）”填写“0”，“本期实收投资收益”按照实际收益填写。</w:t>
      </w:r>
    </w:p>
    <w:p>
      <w:pPr>
        <w:pStyle w:val="5"/>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19.往期投资事项收益情况：指单位本年度实际收到的以前年度已注销的投资事项的投资收益，不含企业上缴的企业国有资本收益。</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p>
    <w:p>
      <w:pPr>
        <w:numPr>
          <w:ilvl w:val="0"/>
          <w:numId w:val="5"/>
        </w:numPr>
        <w:spacing w:line="360" w:lineRule="auto"/>
        <w:ind w:firstLine="0"/>
        <w:rPr>
          <w:rFonts w:ascii="仿宋_GB2312" w:eastAsia="仿宋_GB2312"/>
          <w:sz w:val="30"/>
          <w:szCs w:val="30"/>
        </w:rPr>
      </w:pPr>
      <w:r>
        <w:rPr>
          <w:rFonts w:hint="eastAsia" w:ascii="仿宋_GB2312" w:eastAsia="仿宋_GB2312"/>
          <w:sz w:val="30"/>
          <w:szCs w:val="30"/>
        </w:rPr>
        <w:t>合计行（1行）等于本期对外投资事项小计（3行）等于各项指标（4</w:t>
      </w:r>
      <w:r>
        <w:rPr>
          <w:rFonts w:ascii="华文中宋" w:hAnsi="华文中宋" w:eastAsia="华文中宋"/>
          <w:sz w:val="30"/>
          <w:szCs w:val="30"/>
        </w:rPr>
        <w:t>~</w:t>
      </w:r>
      <w:r>
        <w:rPr>
          <w:rFonts w:hint="eastAsia" w:ascii="仿宋_GB2312" w:eastAsia="仿宋_GB2312"/>
          <w:sz w:val="30"/>
          <w:szCs w:val="30"/>
        </w:rPr>
        <w:t>10、13</w:t>
      </w:r>
      <w:r>
        <w:rPr>
          <w:rFonts w:ascii="华文中宋" w:hAnsi="华文中宋" w:eastAsia="华文中宋"/>
          <w:sz w:val="30"/>
          <w:szCs w:val="30"/>
        </w:rPr>
        <w:t>~</w:t>
      </w:r>
      <w:r>
        <w:rPr>
          <w:rFonts w:ascii="仿宋_GB2312" w:eastAsia="仿宋_GB2312"/>
          <w:sz w:val="30"/>
          <w:szCs w:val="30"/>
        </w:rPr>
        <w:t>1</w:t>
      </w:r>
      <w:r>
        <w:rPr>
          <w:rFonts w:hint="eastAsia" w:ascii="仿宋_GB2312" w:eastAsia="仿宋_GB2312"/>
          <w:sz w:val="30"/>
          <w:szCs w:val="30"/>
        </w:rPr>
        <w:t>5、17、23栏）等于各浮动行对应指标之和；</w:t>
      </w:r>
    </w:p>
    <w:p>
      <w:pPr>
        <w:numPr>
          <w:ilvl w:val="0"/>
          <w:numId w:val="5"/>
        </w:numPr>
        <w:spacing w:line="360" w:lineRule="auto"/>
        <w:ind w:firstLine="0"/>
        <w:rPr>
          <w:rFonts w:ascii="仿宋_GB2312" w:eastAsia="仿宋_GB2312"/>
          <w:sz w:val="30"/>
          <w:szCs w:val="30"/>
        </w:rPr>
      </w:pPr>
      <w:r>
        <w:rPr>
          <w:rFonts w:hint="eastAsia" w:ascii="仿宋_GB2312" w:eastAsia="仿宋_GB2312"/>
          <w:sz w:val="30"/>
          <w:szCs w:val="30"/>
        </w:rPr>
        <w:t>合计行（1行）本期实收投资收益（23栏）等于往期投资事项收益情况（2行）与本期对外投资事项小计（3行）本期实收投资收益（23栏）之和；</w:t>
      </w:r>
    </w:p>
    <w:p>
      <w:pPr>
        <w:numPr>
          <w:ilvl w:val="0"/>
          <w:numId w:val="5"/>
        </w:numPr>
        <w:spacing w:line="360" w:lineRule="auto"/>
        <w:rPr>
          <w:rFonts w:ascii="仿宋_GB2312" w:eastAsia="仿宋_GB2312"/>
          <w:sz w:val="30"/>
          <w:szCs w:val="30"/>
        </w:rPr>
      </w:pPr>
      <w:bookmarkStart w:id="16" w:name="_Hlk525825747"/>
      <w:r>
        <w:rPr>
          <w:rFonts w:hint="eastAsia" w:ascii="仿宋_GB2312" w:eastAsia="仿宋_GB2312"/>
          <w:sz w:val="30"/>
          <w:szCs w:val="30"/>
        </w:rPr>
        <w:t>单位会计科目（1栏）、被投资单位（项目）名称（2栏）、审批情况（11栏）、投资开始日期（12栏）、对外投资期末账面数（13栏）不为空；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当单位会计科目（1栏）为“长期股权投资”时，3栏“被投资单位统一社会信用代码”不能为空。且</w:t>
      </w:r>
      <w:r>
        <w:rPr>
          <w:rFonts w:hint="eastAsia" w:ascii="仿宋_GB2312" w:hAnsi="仿宋" w:eastAsia="仿宋_GB2312"/>
          <w:sz w:val="30"/>
        </w:rPr>
        <w:t>被投资单位统一社会信用代码应为18位，编码符合强制性国家标准GB 32100-2015《法人和其他组织统一社会信用代码编码规则》、IDCL规则要求</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浮动行出资资产账面原值合计（4栏）应大于等于</w:t>
      </w:r>
      <w:r>
        <w:rPr>
          <w:rFonts w:ascii="仿宋_GB2312" w:eastAsia="仿宋_GB2312"/>
          <w:sz w:val="30"/>
          <w:szCs w:val="30"/>
        </w:rPr>
        <w:t>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合计行（1行）和浮动行的对外投资期末账面数（13栏）、债券投资本期投资金额（14栏）、票面金额（15栏）、股权投资本期投资金额（17栏）、本期实收投资收益（23栏）应大于等于0；</w:t>
      </w:r>
    </w:p>
    <w:bookmarkEnd w:id="16"/>
    <w:p>
      <w:pPr>
        <w:numPr>
          <w:ilvl w:val="0"/>
          <w:numId w:val="5"/>
        </w:numPr>
        <w:spacing w:line="360" w:lineRule="auto"/>
        <w:rPr>
          <w:rFonts w:ascii="仿宋_GB2312" w:eastAsia="仿宋_GB2312"/>
          <w:sz w:val="30"/>
          <w:szCs w:val="30"/>
        </w:rPr>
      </w:pPr>
      <w:r>
        <w:rPr>
          <w:rFonts w:hint="eastAsia" w:ascii="仿宋_GB2312" w:eastAsia="仿宋_GB2312"/>
          <w:sz w:val="30"/>
          <w:szCs w:val="30"/>
        </w:rPr>
        <w:t>投资开始日期（12栏）大于等于“20</w:t>
      </w:r>
      <w:r>
        <w:rPr>
          <w:rFonts w:ascii="仿宋_GB2312" w:eastAsia="仿宋_GB2312"/>
          <w:sz w:val="30"/>
          <w:szCs w:val="30"/>
        </w:rPr>
        <w:t>2</w:t>
      </w:r>
      <w:r>
        <w:rPr>
          <w:rFonts w:hint="eastAsia" w:ascii="仿宋_GB2312" w:eastAsia="仿宋_GB2312"/>
          <w:sz w:val="30"/>
          <w:szCs w:val="30"/>
        </w:rPr>
        <w:t>5年1月1日”时，债券投资本期投资金额（14栏）与股权投资本期投资金额（17栏）之和大于0；</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投资开始日期（12栏）小于等于“2025年12月31日”；</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单位会计科目（1栏）等于“长期债券投资”或“短期投资”时，票面金额（15栏）不能为空，股权投资对应指标（16</w:t>
      </w:r>
      <w:r>
        <w:rPr>
          <w:rFonts w:hint="eastAsia" w:ascii="华文中宋" w:hAnsi="华文中宋" w:eastAsia="华文中宋"/>
          <w:sz w:val="30"/>
          <w:szCs w:val="30"/>
        </w:rPr>
        <w:t>~</w:t>
      </w:r>
      <w:r>
        <w:rPr>
          <w:rFonts w:hint="eastAsia" w:ascii="仿宋_GB2312" w:eastAsia="仿宋_GB2312"/>
          <w:sz w:val="30"/>
          <w:szCs w:val="30"/>
        </w:rPr>
        <w:t>20栏）必须为空；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单位会计科目（1栏）等于“长期股权投资”时，核算方法（16栏）、期末持股比例（%）（18栏）、是否实际控制（19栏）、经营状况（20栏）不能为空，债券投资相应指标（14</w:t>
      </w:r>
      <w:r>
        <w:rPr>
          <w:rFonts w:hint="eastAsia" w:ascii="华文中宋" w:hAnsi="华文中宋" w:eastAsia="华文中宋"/>
          <w:sz w:val="30"/>
          <w:szCs w:val="30"/>
        </w:rPr>
        <w:t>~</w:t>
      </w:r>
      <w:r>
        <w:rPr>
          <w:rFonts w:hint="eastAsia" w:ascii="仿宋_GB2312" w:eastAsia="仿宋_GB2312"/>
          <w:sz w:val="30"/>
          <w:szCs w:val="30"/>
        </w:rPr>
        <w:t>15栏）必须为空；</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单位会计科目（1栏）等于“长期股权投资”时，期末持股比例（%）（18栏）等于100时，是否实际控制（19栏）应为 “国有独资”；</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单位会计科目（1栏）等于“长期股权投资”时，期末持股比例（%）（18栏）大于50且小于100时，是否实际控制（19栏）应为 “国有控股”；</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单位会计科目（1栏）等于“长期股权投资”时，期末持股比例（%）（18栏）小于等于50时，是否实际控制（19栏）应为 “国有实际控制”或“否”；</w:t>
      </w:r>
    </w:p>
    <w:p>
      <w:pPr>
        <w:numPr>
          <w:ilvl w:val="0"/>
          <w:numId w:val="5"/>
        </w:numPr>
        <w:spacing w:line="360" w:lineRule="auto"/>
        <w:rPr>
          <w:rFonts w:ascii="仿宋_GB2312"/>
          <w:sz w:val="30"/>
        </w:rPr>
      </w:pPr>
      <w:r>
        <w:rPr>
          <w:rFonts w:hint="eastAsia" w:ascii="仿宋_GB2312" w:eastAsia="仿宋_GB2312"/>
          <w:sz w:val="30"/>
          <w:szCs w:val="30"/>
        </w:rPr>
        <w:t>是否编报国有企业财务会计决算（21栏）不能为空；</w:t>
      </w:r>
    </w:p>
    <w:p>
      <w:pPr>
        <w:numPr>
          <w:ilvl w:val="0"/>
          <w:numId w:val="5"/>
        </w:numPr>
        <w:spacing w:line="360" w:lineRule="auto"/>
        <w:rPr>
          <w:rFonts w:ascii="仿宋_GB2312" w:eastAsia="仿宋_GB2312"/>
          <w:sz w:val="30"/>
          <w:szCs w:val="30"/>
        </w:rPr>
      </w:pPr>
      <w:r>
        <w:rPr>
          <w:rFonts w:ascii="仿宋_GB2312" w:eastAsia="仿宋_GB2312"/>
          <w:sz w:val="30"/>
          <w:szCs w:val="30"/>
        </w:rPr>
        <w:t>浮动行</w:t>
      </w:r>
      <w:r>
        <w:rPr>
          <w:rFonts w:hint="eastAsia" w:ascii="仿宋_GB2312" w:eastAsia="仿宋_GB2312"/>
          <w:sz w:val="30"/>
          <w:szCs w:val="30"/>
        </w:rPr>
        <w:t>被投资单位（项目）名称（2栏）</w:t>
      </w:r>
      <w:r>
        <w:rPr>
          <w:rFonts w:ascii="仿宋_GB2312" w:eastAsia="仿宋_GB2312"/>
          <w:sz w:val="30"/>
          <w:szCs w:val="30"/>
        </w:rPr>
        <w:t>不能重复</w:t>
      </w:r>
      <w:r>
        <w:rPr>
          <w:rFonts w:hint="eastAsia" w:ascii="仿宋_GB2312" w:eastAsia="仿宋_GB2312"/>
          <w:sz w:val="30"/>
          <w:szCs w:val="30"/>
        </w:rPr>
        <w:t>；</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期末持股比例（18栏）应大于0且小于等于100。</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w:t>
      </w:r>
      <w:r>
        <w:rPr>
          <w:rFonts w:hint="eastAsia" w:ascii="仿宋_GB2312" w:hAnsi="仿宋" w:eastAsia="仿宋_GB2312"/>
          <w:sz w:val="30"/>
          <w:szCs w:val="30"/>
        </w:rPr>
        <w:t>封面单位执行会计制度选择“</w:t>
      </w:r>
      <w:r>
        <w:rPr>
          <w:rFonts w:ascii="仿宋_GB2312" w:hAnsi="仿宋" w:eastAsia="仿宋_GB2312"/>
          <w:sz w:val="30"/>
          <w:szCs w:val="30"/>
        </w:rPr>
        <w:t>11</w:t>
      </w:r>
      <w:r>
        <w:rPr>
          <w:rFonts w:hint="eastAsia" w:ascii="仿宋_GB2312" w:hAnsi="仿宋" w:eastAsia="仿宋_GB2312"/>
          <w:sz w:val="30"/>
          <w:szCs w:val="30"/>
        </w:rPr>
        <w:t>.政府会计准则制度”，单位性质选择“11.共产党机关”、“12.政府机关”、“13.人大机关”、“</w:t>
      </w:r>
      <w:r>
        <w:rPr>
          <w:rFonts w:hint="eastAsia" w:ascii="仿宋_GB2312" w:eastAsia="仿宋_GB2312"/>
          <w:sz w:val="30"/>
          <w:szCs w:val="30"/>
        </w:rPr>
        <w:t>14政协机关”、“15.群众团体”、“16.民主党派”、“17.政法机关”或“21.参照公务员法管理事业单位”且参照公务员法管理事业单位执行财务规则选择“10.行政单位财务规则”，对外投资期末账面数（13栏）应为0，并且备注（24栏）不能为空，需</w:t>
      </w:r>
      <w:r>
        <w:rPr>
          <w:rFonts w:ascii="仿宋_GB2312" w:eastAsia="仿宋_GB2312"/>
          <w:sz w:val="30"/>
          <w:szCs w:val="30"/>
        </w:rPr>
        <w:t>说明</w:t>
      </w:r>
      <w:r>
        <w:rPr>
          <w:rFonts w:hint="eastAsia" w:ascii="仿宋_GB2312" w:eastAsia="仿宋_GB2312"/>
          <w:sz w:val="30"/>
          <w:szCs w:val="30"/>
        </w:rPr>
        <w:t>该</w:t>
      </w:r>
      <w:r>
        <w:rPr>
          <w:rFonts w:ascii="仿宋_GB2312" w:eastAsia="仿宋_GB2312"/>
          <w:sz w:val="30"/>
          <w:szCs w:val="30"/>
        </w:rPr>
        <w:t>单位对外投资的情况</w:t>
      </w:r>
      <w:r>
        <w:rPr>
          <w:rFonts w:hint="eastAsia" w:ascii="仿宋_GB2312" w:eastAsia="仿宋_GB2312"/>
          <w:sz w:val="30"/>
          <w:szCs w:val="30"/>
        </w:rPr>
        <w:t>；</w:t>
      </w:r>
    </w:p>
    <w:p>
      <w:pPr>
        <w:numPr>
          <w:ilvl w:val="0"/>
          <w:numId w:val="5"/>
        </w:numPr>
        <w:spacing w:line="360" w:lineRule="auto"/>
        <w:ind w:firstLine="578"/>
        <w:rPr>
          <w:rFonts w:ascii="仿宋_GB2312" w:eastAsia="仿宋_GB2312"/>
          <w:sz w:val="30"/>
          <w:szCs w:val="30"/>
        </w:rPr>
      </w:pPr>
      <w:r>
        <w:rPr>
          <w:rFonts w:hint="eastAsia" w:ascii="仿宋_GB2312" w:eastAsia="仿宋_GB2312"/>
          <w:sz w:val="30"/>
          <w:szCs w:val="30"/>
        </w:rPr>
        <w:t>合计行（1行）对外投资期末账面数（13栏）应等于财资01资产负债表短期投资（4行）、长期股权投资（17行）、长期债券投资（18行）的期末数（2栏）之和；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当单位会计科目（1栏）等于“短期投资”时，浮动行对外投资期末账面数（13栏）之和应等于财资01资产负债表短期投资期末数（4行2栏）；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当单位会计科目（1栏）等于“长期股权投资”时，浮动行对外投资期末账面数（13栏）之和应等于财资01资产负债表长期股权投资期末数（17行2栏）；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当单位会计科目（1栏）等于“长期债券投资”时，浮动行对外投资期末账面数（13栏）之和应等于财资01资产负债表长期债券投资期末数（18行2栏）。</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核实性公式：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审批情况（11栏）为“未审批”时，提示核实性错误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w:t>
      </w:r>
      <w:r>
        <w:rPr>
          <w:rFonts w:hint="eastAsia" w:ascii="仿宋_GB2312" w:hAnsi="仿宋" w:eastAsia="仿宋_GB2312"/>
          <w:sz w:val="30"/>
          <w:szCs w:val="30"/>
        </w:rPr>
        <w:t>长期股权投资</w:t>
      </w:r>
      <w:r>
        <w:rPr>
          <w:rFonts w:hint="eastAsia" w:ascii="仿宋_GB2312" w:eastAsia="仿宋_GB2312"/>
          <w:sz w:val="30"/>
          <w:szCs w:val="30"/>
        </w:rPr>
        <w:t>”且是否编报国有企业财务会计决算（21栏）选“是”时，期末持股比例（%）（18栏）应大于0，否则提示核实性错误，需结合实际情况修改或填写情况说明；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单位会计科目（1栏）等于“</w:t>
      </w:r>
      <w:r>
        <w:rPr>
          <w:rFonts w:hint="eastAsia" w:ascii="仿宋_GB2312" w:hAnsi="仿宋" w:eastAsia="仿宋_GB2312"/>
          <w:sz w:val="30"/>
          <w:szCs w:val="30"/>
        </w:rPr>
        <w:t>长期股权投资</w:t>
      </w:r>
      <w:r>
        <w:rPr>
          <w:rFonts w:hint="eastAsia" w:ascii="仿宋_GB2312" w:eastAsia="仿宋_GB2312"/>
          <w:sz w:val="30"/>
          <w:szCs w:val="30"/>
        </w:rPr>
        <w:t>”且是否编报国有企业财务会计决算（21栏）选“是”时，期末持股比例（%）（18栏）小于1%时，提示核实性错误，需结合实际情况修改或填写情况说明；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当是否实际控制（19栏）选择</w:t>
      </w:r>
      <w:r>
        <w:rPr>
          <w:rFonts w:hint="eastAsia" w:ascii="仿宋_GB2312" w:hAnsi="仿宋" w:eastAsia="仿宋_GB2312"/>
          <w:sz w:val="30"/>
          <w:szCs w:val="30"/>
        </w:rPr>
        <w:t>“国有独资、国有控股”</w:t>
      </w:r>
      <w:r>
        <w:rPr>
          <w:rFonts w:hint="eastAsia" w:ascii="仿宋_GB2312" w:eastAsia="仿宋_GB2312"/>
          <w:sz w:val="30"/>
          <w:szCs w:val="30"/>
        </w:rPr>
        <w:t>时，且经营状况（20栏）为“正常经营”时，是否编报国有企业财务会计决算（21栏）应为“是”，否则提示核实性错误</w:t>
      </w:r>
      <w:r>
        <w:rPr>
          <w:rFonts w:hint="eastAsia" w:ascii="仿宋_GB2312" w:hAnsi="仿宋" w:eastAsia="仿宋_GB2312"/>
          <w:sz w:val="30"/>
          <w:szCs w:val="30"/>
        </w:rPr>
        <w:t>，需结合实际情况修改或填写情况说明；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当出资资产账面原值合计（4栏）为0时，提示核实性错误，需结合实际情况修改或填写情况说明；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当对外投资期末账面数（13栏）为1时，提示核实性错误，需结合实际情况修改或填写情况说明；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当经营状况（20栏）为“正常经营”，但无收益，即本期实收投资收益（23栏）等于0时，提示核实性</w:t>
      </w:r>
      <w:r>
        <w:rPr>
          <w:rFonts w:hint="eastAsia" w:ascii="仿宋_GB2312" w:hAnsi="仿宋" w:eastAsia="仿宋_GB2312"/>
          <w:spacing w:val="6"/>
          <w:sz w:val="30"/>
          <w:szCs w:val="30"/>
        </w:rPr>
        <w:t>错误，需结合实际情况修改或填写情况说明；</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出资资产账面原值合计（4栏）本期数-出资资产账面原值合计（4栏）上年数大于0，则本期投资金额（14+17栏）大于0；或本期投资金额（14栏+17栏）大于零，则出资资产账面原值合计（4栏）本期数-出资资产账面原值合计（4栏）上年数大于0，否则需进行核实性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核算方法（16栏）选择成本法时，本年对外投资期末账面数（13栏）-本期投资金额（17）栏=上年对外投资期末账面数（13栏），否则需填写核实性说明。</w:t>
      </w:r>
    </w:p>
    <w:p>
      <w:pPr>
        <w:pStyle w:val="2"/>
        <w:rPr>
          <w:rFonts w:hint="eastAsia"/>
          <w:b/>
          <w:color w:val="auto"/>
        </w:rPr>
      </w:pPr>
      <w:r>
        <w:rPr>
          <w:rFonts w:hint="eastAsia"/>
          <w:color w:val="auto"/>
        </w:rPr>
        <w:t>（十三）公共基础设施-交通基础设施情况表（财资1</w:t>
      </w:r>
      <w:r>
        <w:rPr>
          <w:color w:val="auto"/>
        </w:rPr>
        <w:t>2</w:t>
      </w:r>
      <w:r>
        <w:rPr>
          <w:rFonts w:hint="eastAsia"/>
          <w:color w:val="auto"/>
        </w:rPr>
        <w:t>-</w:t>
      </w:r>
      <w:r>
        <w:rPr>
          <w:color w:val="auto"/>
        </w:rPr>
        <w:t>1</w:t>
      </w:r>
      <w:r>
        <w:rPr>
          <w:rFonts w:hint="eastAsia"/>
          <w:color w:val="auto"/>
        </w:rPr>
        <w:t>表）</w:t>
      </w:r>
    </w:p>
    <w:p>
      <w:pPr>
        <w:adjustRightInd w:val="0"/>
        <w:snapToGrid w:val="0"/>
        <w:spacing w:line="360" w:lineRule="auto"/>
        <w:ind w:firstLine="708" w:firstLineChars="236"/>
        <w:rPr>
          <w:rFonts w:hint="eastAsia" w:ascii="仿宋_GB2312" w:hAnsi="宋体" w:eastAsia="仿宋_GB2312"/>
          <w:sz w:val="30"/>
          <w:szCs w:val="30"/>
        </w:rPr>
      </w:pPr>
      <w:r>
        <w:rPr>
          <w:rFonts w:hint="eastAsia" w:ascii="仿宋_GB2312" w:hAnsi="宋体" w:eastAsia="仿宋_GB2312"/>
          <w:sz w:val="30"/>
          <w:szCs w:val="30"/>
        </w:rPr>
        <w:t>本表反映行政事业单位已入账的交通公共基础设施资产等期初、期末账面数，包括公路、铁路、汽车客运站、机场、航道、沿海航海保障设施、港口、轮渡。本表从交通基础设施资产卡片自动提取，允许手工修改。“负有管理维护职责数量”指标应按照《政府会计准则5号——公共基础设施》、《公路资产管理暂行办法》、《关于进一步加强公路水路公共基础设施政府会计核算的通知》等相关规定，填写填报单位应当予以确认的资产数量。</w:t>
      </w:r>
    </w:p>
    <w:p>
      <w:pPr>
        <w:adjustRightInd w:val="0"/>
        <w:snapToGrid w:val="0"/>
        <w:spacing w:line="360" w:lineRule="auto"/>
        <w:ind w:firstLine="711" w:firstLineChars="236"/>
        <w:rPr>
          <w:rFonts w:hint="eastAsia" w:ascii="仿宋_GB2312" w:hAnsi="宋体" w:eastAsia="仿宋_GB2312"/>
          <w:b/>
          <w:bCs/>
          <w:sz w:val="30"/>
          <w:szCs w:val="30"/>
        </w:rPr>
      </w:pPr>
      <w:r>
        <w:rPr>
          <w:rFonts w:hint="eastAsia" w:ascii="仿宋_GB2312" w:hAnsi="宋体" w:eastAsia="仿宋_GB2312"/>
          <w:b/>
          <w:bCs/>
          <w:sz w:val="30"/>
          <w:szCs w:val="30"/>
        </w:rPr>
        <w:t>主要指标说明：</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公路。公路分为行政等级和技术等级。公路公共基础设施，包括公路用地、公路（含公路桥涵、公路隧道、公路渡口等）及构筑物、构成公路正常使用不可缺少组成部分的交通工程及沿线设施（含交通安全设施、管理设施、服务设施、绿化环保设施）等资产。</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（1）行政等级。公路按其在公路路网中的地位划分行政等级，分为国道、省道、县道、乡道、村道和专用公路。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国道：具有全国性政治经济意义的主要干线公路，包括重要的国际公路，国防公路，连接首都与各省、自治区首府和直辖市的公路，连接各大经济中心、港站枢纽、商品生产基地和战略要地的公路。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省道：具有全省（自治区、直辖市）政治、经济意义，连接省内中心城市和主要经济区的公路，以及不属于国道的省际间的重要公路。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县道：除国道、省道以外的县际间公路以及连接县级人民政府所在地与乡级人民政府所在地和主要商品生产、集散地的公路。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乡道：除县道及县道以上等级公路以外的乡际间公路以及连接乡级人民政府所在地与建制村的公路。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村道：村道是指除乡道及乡道以上等级公路以外的连接建制村与建制村、建制村与自然村、建制村与外部的公路，但不包括村内街巷和农田间的机耕道。</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专用公路：专用公路是指由企业或者其他单位建设、养护、管理，专为或者主要为本企业或者本单位提供运输服务的道路。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w:t>
      </w:r>
      <w:r>
        <w:rPr>
          <w:rFonts w:ascii="仿宋_GB2312" w:hAnsi="宋体" w:eastAsia="仿宋_GB2312"/>
          <w:bCs/>
          <w:sz w:val="30"/>
          <w:szCs w:val="32"/>
        </w:rPr>
        <w:t>2</w:t>
      </w:r>
      <w:r>
        <w:rPr>
          <w:rFonts w:hint="eastAsia" w:ascii="仿宋_GB2312" w:hAnsi="宋体" w:eastAsia="仿宋_GB2312"/>
          <w:bCs/>
          <w:sz w:val="30"/>
          <w:szCs w:val="32"/>
        </w:rPr>
        <w:t>）技术等级。一般按照公路所适应的年平均昼夜交通量及其使用任务和性质，将公路分为五个技术等级：高速公路、一级公路、二级公路、三级公路、四级公路。不符合公路工程技术标准的公路为等外公路。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高速公路：专供汽车分方向、分车道行驶，全部控制出入的多车道公路。高速公路的年平均日设计交通量宜在15000辆小客车以上。</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一级公路：供汽车分方向、分车道行驶，可根据需要控制出入的多车道公路。一级公路的年平均日设计交通量宜在15000辆小客车以上。</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二级公路：供汽车行驶的双车道公路。二级公路的年平均日设计交通量宜为5000-15000辆小客车。</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三级公路：供汽车、非汽车交通混合行驶的双车道公路。三级公路的年平均日设计交通量宜为2000-6000辆小客车。</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四级公路：供汽车、非汽车交通混合行驶的双车道或单车道公路。双车道四级公路年平均日设计交通量宜在2000辆小客车以下；单车道四级公路年平均日设计交通量宜在400辆小客车以下。</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等外公路：指不符合公路工程技术标准的公路。例如国家物资储备系统专用公路根据立项批复的公路等级填列，没有批复公路等级的在“等外公路”栏填列。</w:t>
      </w:r>
    </w:p>
    <w:p>
      <w:pPr>
        <w:numPr>
          <w:ilvl w:val="0"/>
          <w:numId w:val="7"/>
        </w:num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铁路。铁路包括国家级铁路、地方性铁路和铁路车站。</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（1）国家级铁路：由中央政府投资修建，担负公共旅客、货物运输任务的铁路。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w:t>
      </w:r>
      <w:r>
        <w:rPr>
          <w:rFonts w:ascii="仿宋_GB2312" w:hAnsi="宋体" w:eastAsia="仿宋_GB2312"/>
          <w:bCs/>
          <w:sz w:val="30"/>
          <w:szCs w:val="32"/>
        </w:rPr>
        <w:t>2</w:t>
      </w:r>
      <w:r>
        <w:rPr>
          <w:rFonts w:hint="eastAsia" w:ascii="仿宋_GB2312" w:hAnsi="宋体" w:eastAsia="仿宋_GB2312"/>
          <w:bCs/>
          <w:sz w:val="30"/>
          <w:szCs w:val="32"/>
        </w:rPr>
        <w:t>）地方性铁路：由地方政府投资修建或者与其他铁路联合投资修建，担负地方公共旅客、货物短途运输任务的铁路。</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3.汽车客运站。主要包括场地设施、站务用房、生产辅助用房、安全与服务设施。</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4.机场包括运输机场和通用航空机场。</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（1）运输机场。运输机场是专门承担航空客运与航空货运两种飞行任务的机场。根据《国际民用航空公约》和民航局《民用机场飞行区指标规范》（MH5100-2013），我国现有机场中有4F、4E、4D、4C、3C和1B六类。</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（2）通用航空机场。通用航空机场是专门承担除旅客运输和货物运输以外的其他飞行任务的机场，比如公务出差、空中旅游、空中表演、空中航拍、空中测绘、农林喷洒等特殊飞行任务。</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5.航道。航道包括等级航道、等外航道、航标、航道通航建筑物、整治建筑物及设施和其他助航设施。</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1）等级航道：反映等级航道的里程和账面价值。等级航道指中华人民共和国领域内的江河、湖泊等内陆水域中可以供50吨级以上船舶通航的通道。包括一级航道、二级航道、三级航道、四级航道、五级航道、六级航道、七级航道。</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（2）等外航道：反映等外航道的里程和价值。等外航道是指通常年通航50吨级以下船舶的航道。</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（3）航标：反映航标的数量和价值。包括视觉航标、音响航标、无线电航标及其他标志。</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（4）航道通航建筑物：反映航道通航建筑物的数量和价值。航道通航建筑物是指为保障航道正常运行建设的建筑物、助航设施及附属设施。包括船闸及其附属设施、升船机及其附属设施。</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（5）整治建筑物及设施：反映整治建筑物及设施的数量和价值。包括防护工程、坝体、堤类。</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（6）其他助航设施：反映其他助航设施的数量和价值。包括基础测绘设施、海岸电台、信号台、航行水尺、水位系统等。</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6.沿海航海保障设施包括沿海航道、航标和其他助航设施。</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7.港口附属设施。是指除码头、防波堤、护岸、进出港航道、锚地以外的其他港务设施，包括港区内铁路专用线、港区内道路、进出港道路、运输管道、滚装连接桥、堆场、房屋及其他。</w:t>
      </w:r>
    </w:p>
    <w:p>
      <w:pPr>
        <w:adjustRightInd w:val="0"/>
        <w:snapToGrid w:val="0"/>
        <w:spacing w:line="360" w:lineRule="auto"/>
        <w:ind w:firstLine="600" w:firstLineChars="200"/>
        <w:rPr>
          <w:rFonts w:hint="eastAsia" w:ascii="仿宋_GB2312" w:hAnsi="宋体" w:eastAsia="仿宋_GB2312"/>
          <w:bCs/>
          <w:sz w:val="30"/>
          <w:szCs w:val="32"/>
        </w:rPr>
      </w:pPr>
      <w:r>
        <w:rPr>
          <w:rFonts w:hint="eastAsia" w:ascii="仿宋_GB2312" w:hAnsi="宋体" w:eastAsia="仿宋_GB2312"/>
          <w:bCs/>
          <w:sz w:val="30"/>
          <w:szCs w:val="32"/>
        </w:rPr>
        <w:t>8.轮渡包括轮渡码头、泵船、道路（引道）、标志牌、候船室（亭）、收费亭和其他。</w:t>
      </w:r>
    </w:p>
    <w:p>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bCs/>
          <w:sz w:val="30"/>
          <w:szCs w:val="32"/>
        </w:rPr>
        <w:t>码头：包括港口码头和轮渡码头。反映码头的数量和价值。码头是指供船舶停靠、装卸货物或上下旅客的水工建筑物。</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合计（1行）等于公路（2行）、铁路（17行）、汽车客运站（19行）、</w:t>
      </w:r>
      <w:r>
        <w:rPr>
          <w:rFonts w:hint="eastAsia" w:ascii="仿宋_GB2312" w:hAnsi="仿宋" w:eastAsia="仿宋_GB2312"/>
          <w:sz w:val="30"/>
          <w:szCs w:val="30"/>
        </w:rPr>
        <w:t>机场（20行）、航道（21行）、沿海航海保障设施（35行）、港口（39行）、轮渡（46行）各项之和</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公路（</w:t>
      </w:r>
      <w:r>
        <w:rPr>
          <w:rFonts w:hint="eastAsia" w:ascii="仿宋_GB2312" w:hAnsi="仿宋" w:eastAsia="仿宋_GB2312"/>
          <w:spacing w:val="6"/>
          <w:sz w:val="30"/>
          <w:szCs w:val="30"/>
        </w:rPr>
        <w:t>2行）等于行政等级</w:t>
      </w:r>
      <w:r>
        <w:rPr>
          <w:rFonts w:hint="eastAsia" w:ascii="仿宋_GB2312" w:hAnsi="仿宋" w:eastAsia="仿宋_GB2312"/>
          <w:sz w:val="30"/>
          <w:szCs w:val="30"/>
        </w:rPr>
        <w:t>（</w:t>
      </w:r>
      <w:r>
        <w:rPr>
          <w:rFonts w:hint="eastAsia" w:ascii="仿宋_GB2312" w:hAnsi="仿宋" w:eastAsia="仿宋_GB2312"/>
          <w:spacing w:val="6"/>
          <w:sz w:val="30"/>
          <w:szCs w:val="30"/>
        </w:rPr>
        <w:t>3行）等于技术等级</w:t>
      </w:r>
      <w:r>
        <w:rPr>
          <w:rFonts w:hint="eastAsia" w:ascii="仿宋_GB2312" w:hAnsi="仿宋" w:eastAsia="仿宋_GB2312"/>
          <w:sz w:val="30"/>
          <w:szCs w:val="30"/>
        </w:rPr>
        <w:t>（</w:t>
      </w:r>
      <w:r>
        <w:rPr>
          <w:rFonts w:hint="eastAsia" w:ascii="仿宋_GB2312" w:hAnsi="仿宋" w:eastAsia="仿宋_GB2312"/>
          <w:spacing w:val="6"/>
          <w:sz w:val="30"/>
          <w:szCs w:val="30"/>
        </w:rPr>
        <w:t>10行）；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行政等级（</w:t>
      </w:r>
      <w:r>
        <w:rPr>
          <w:rFonts w:hint="eastAsia" w:ascii="仿宋_GB2312" w:hAnsi="仿宋" w:eastAsia="仿宋_GB2312"/>
          <w:spacing w:val="6"/>
          <w:sz w:val="30"/>
          <w:szCs w:val="30"/>
        </w:rPr>
        <w:t>3行）等于国道（4行）、省道（5行）、县道（6行）、乡道（7行）、村道（8行）、专用公路（9行）各项之和；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技术等级（</w:t>
      </w:r>
      <w:r>
        <w:rPr>
          <w:rFonts w:hint="eastAsia" w:ascii="仿宋_GB2312" w:hAnsi="仿宋" w:eastAsia="仿宋_GB2312"/>
          <w:spacing w:val="6"/>
          <w:sz w:val="30"/>
          <w:szCs w:val="30"/>
        </w:rPr>
        <w:t>10行）等于高速公路（11行）、一级公路（12行）、二级公路（13行）、三级公路（14行）、四级公路（15行）、等外公路（16行）各项之和；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航道（21行）等于等级航道（22行）、等外航道（30行）、航标（31行）、航道通航建筑物（32行）、整治建筑物及设施（33行）、其他助航设施（34行）</w:t>
      </w:r>
      <w:r>
        <w:rPr>
          <w:rFonts w:hint="eastAsia" w:ascii="仿宋_GB2312" w:hAnsi="仿宋" w:eastAsia="仿宋_GB2312"/>
          <w:sz w:val="30"/>
          <w:szCs w:val="30"/>
        </w:rPr>
        <w:t>各项之和</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等级航道（</w:t>
      </w:r>
      <w:r>
        <w:rPr>
          <w:rFonts w:ascii="仿宋_GB2312" w:hAnsi="仿宋" w:eastAsia="仿宋_GB2312"/>
          <w:spacing w:val="6"/>
          <w:sz w:val="30"/>
          <w:szCs w:val="30"/>
        </w:rPr>
        <w:t>2</w:t>
      </w:r>
      <w:r>
        <w:rPr>
          <w:rFonts w:hint="eastAsia" w:ascii="仿宋_GB2312" w:hAnsi="仿宋" w:eastAsia="仿宋_GB2312"/>
          <w:spacing w:val="6"/>
          <w:sz w:val="30"/>
          <w:szCs w:val="30"/>
        </w:rPr>
        <w:t>2行）等于一级航道（</w:t>
      </w:r>
      <w:r>
        <w:rPr>
          <w:rFonts w:ascii="仿宋_GB2312" w:hAnsi="仿宋" w:eastAsia="仿宋_GB2312"/>
          <w:spacing w:val="6"/>
          <w:sz w:val="30"/>
          <w:szCs w:val="30"/>
        </w:rPr>
        <w:t>2</w:t>
      </w:r>
      <w:r>
        <w:rPr>
          <w:rFonts w:hint="eastAsia" w:ascii="仿宋_GB2312" w:hAnsi="仿宋" w:eastAsia="仿宋_GB2312"/>
          <w:spacing w:val="6"/>
          <w:sz w:val="30"/>
          <w:szCs w:val="30"/>
        </w:rPr>
        <w:t>3行）、二级航道（24行）、三级航道（25行）、四级航道（26行）、五级航道（27行）、六级航道（28行）、七级航道（29行）</w:t>
      </w:r>
      <w:r>
        <w:rPr>
          <w:rFonts w:hint="eastAsia" w:ascii="仿宋_GB2312" w:hAnsi="仿宋" w:eastAsia="仿宋_GB2312"/>
          <w:sz w:val="30"/>
          <w:szCs w:val="30"/>
        </w:rPr>
        <w:t>各项之和</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沿海航海保障设施（</w:t>
      </w:r>
      <w:r>
        <w:rPr>
          <w:rFonts w:hint="eastAsia" w:ascii="仿宋_GB2312" w:hAnsi="仿宋" w:eastAsia="仿宋_GB2312"/>
          <w:spacing w:val="6"/>
          <w:sz w:val="30"/>
          <w:szCs w:val="30"/>
        </w:rPr>
        <w:t>35行）等于沿海航道(36行）、航标</w:t>
      </w:r>
      <w:r>
        <w:rPr>
          <w:rFonts w:hint="eastAsia" w:ascii="仿宋_GB2312" w:hAnsi="仿宋" w:eastAsia="仿宋_GB2312"/>
          <w:sz w:val="30"/>
          <w:szCs w:val="30"/>
        </w:rPr>
        <w:t>（</w:t>
      </w:r>
      <w:r>
        <w:rPr>
          <w:rFonts w:hint="eastAsia" w:ascii="仿宋_GB2312" w:hAnsi="仿宋" w:eastAsia="仿宋_GB2312"/>
          <w:spacing w:val="6"/>
          <w:sz w:val="30"/>
          <w:szCs w:val="30"/>
        </w:rPr>
        <w:t>37行）、其他助航设施</w:t>
      </w:r>
      <w:r>
        <w:rPr>
          <w:rFonts w:hint="eastAsia" w:ascii="仿宋_GB2312" w:hAnsi="仿宋" w:eastAsia="仿宋_GB2312"/>
          <w:sz w:val="30"/>
          <w:szCs w:val="30"/>
        </w:rPr>
        <w:t>（</w:t>
      </w:r>
      <w:r>
        <w:rPr>
          <w:rFonts w:hint="eastAsia" w:ascii="仿宋_GB2312" w:hAnsi="仿宋" w:eastAsia="仿宋_GB2312"/>
          <w:spacing w:val="6"/>
          <w:sz w:val="30"/>
          <w:szCs w:val="30"/>
        </w:rPr>
        <w:t>38行)之和；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港口（</w:t>
      </w:r>
      <w:r>
        <w:rPr>
          <w:rFonts w:hint="eastAsia" w:ascii="仿宋_GB2312" w:hAnsi="仿宋" w:eastAsia="仿宋_GB2312"/>
          <w:spacing w:val="6"/>
          <w:sz w:val="30"/>
          <w:szCs w:val="30"/>
        </w:rPr>
        <w:t>39行）等于港口码头(40行）、防波堤</w:t>
      </w:r>
      <w:r>
        <w:rPr>
          <w:rFonts w:hint="eastAsia" w:ascii="仿宋_GB2312" w:hAnsi="仿宋" w:eastAsia="仿宋_GB2312"/>
          <w:sz w:val="30"/>
          <w:szCs w:val="30"/>
        </w:rPr>
        <w:t>（</w:t>
      </w:r>
      <w:r>
        <w:rPr>
          <w:rFonts w:hint="eastAsia" w:ascii="仿宋_GB2312" w:hAnsi="仿宋" w:eastAsia="仿宋_GB2312"/>
          <w:spacing w:val="6"/>
          <w:sz w:val="30"/>
          <w:szCs w:val="30"/>
        </w:rPr>
        <w:t>41行）、护岸</w:t>
      </w:r>
      <w:r>
        <w:rPr>
          <w:rFonts w:hint="eastAsia" w:ascii="仿宋_GB2312" w:hAnsi="仿宋" w:eastAsia="仿宋_GB2312"/>
          <w:sz w:val="30"/>
          <w:szCs w:val="30"/>
        </w:rPr>
        <w:t>（</w:t>
      </w:r>
      <w:r>
        <w:rPr>
          <w:rFonts w:hint="eastAsia" w:ascii="仿宋_GB2312" w:hAnsi="仿宋" w:eastAsia="仿宋_GB2312"/>
          <w:spacing w:val="6"/>
          <w:sz w:val="30"/>
          <w:szCs w:val="30"/>
        </w:rPr>
        <w:t>42行)、进出港航道(43行）、锚地</w:t>
      </w:r>
      <w:r>
        <w:rPr>
          <w:rFonts w:hint="eastAsia" w:ascii="仿宋_GB2312" w:hAnsi="仿宋" w:eastAsia="仿宋_GB2312"/>
          <w:sz w:val="30"/>
          <w:szCs w:val="30"/>
        </w:rPr>
        <w:t>（</w:t>
      </w:r>
      <w:r>
        <w:rPr>
          <w:rFonts w:hint="eastAsia" w:ascii="仿宋_GB2312" w:hAnsi="仿宋" w:eastAsia="仿宋_GB2312"/>
          <w:spacing w:val="6"/>
          <w:sz w:val="30"/>
          <w:szCs w:val="30"/>
        </w:rPr>
        <w:t>44行）、港口附属设施</w:t>
      </w:r>
      <w:r>
        <w:rPr>
          <w:rFonts w:hint="eastAsia" w:ascii="仿宋_GB2312" w:hAnsi="仿宋" w:eastAsia="仿宋_GB2312"/>
          <w:sz w:val="30"/>
          <w:szCs w:val="30"/>
        </w:rPr>
        <w:t>（</w:t>
      </w:r>
      <w:r>
        <w:rPr>
          <w:rFonts w:hint="eastAsia" w:ascii="仿宋_GB2312" w:hAnsi="仿宋" w:eastAsia="仿宋_GB2312"/>
          <w:spacing w:val="6"/>
          <w:sz w:val="30"/>
          <w:szCs w:val="30"/>
        </w:rPr>
        <w:t>45行)之和；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铁路</w:t>
      </w:r>
      <w:r>
        <w:rPr>
          <w:rFonts w:hint="eastAsia" w:ascii="仿宋_GB2312" w:hAnsi="仿宋" w:eastAsia="仿宋_GB2312"/>
          <w:sz w:val="30"/>
          <w:szCs w:val="30"/>
        </w:rPr>
        <w:t>（</w:t>
      </w:r>
      <w:r>
        <w:rPr>
          <w:rFonts w:hint="eastAsia" w:ascii="仿宋_GB2312" w:hAnsi="仿宋" w:eastAsia="仿宋_GB2312"/>
          <w:spacing w:val="6"/>
          <w:sz w:val="30"/>
          <w:szCs w:val="30"/>
        </w:rPr>
        <w:t>1</w:t>
      </w:r>
      <w:r>
        <w:rPr>
          <w:rFonts w:ascii="仿宋_GB2312" w:hAnsi="仿宋" w:eastAsia="仿宋_GB2312"/>
          <w:spacing w:val="6"/>
          <w:sz w:val="30"/>
          <w:szCs w:val="30"/>
        </w:rPr>
        <w:t>7</w:t>
      </w:r>
      <w:r>
        <w:rPr>
          <w:rFonts w:hint="eastAsia" w:ascii="仿宋_GB2312" w:hAnsi="仿宋" w:eastAsia="仿宋_GB2312"/>
          <w:spacing w:val="6"/>
          <w:sz w:val="30"/>
          <w:szCs w:val="30"/>
        </w:rPr>
        <w:t>行）大于等于地方性铁路</w:t>
      </w:r>
      <w:r>
        <w:rPr>
          <w:rFonts w:hint="eastAsia" w:ascii="仿宋_GB2312" w:hAnsi="仿宋" w:eastAsia="仿宋_GB2312"/>
          <w:sz w:val="30"/>
          <w:szCs w:val="30"/>
        </w:rPr>
        <w:t>（</w:t>
      </w:r>
      <w:r>
        <w:rPr>
          <w:rFonts w:hint="eastAsia" w:ascii="仿宋_GB2312" w:hAnsi="仿宋" w:eastAsia="仿宋_GB2312"/>
          <w:spacing w:val="6"/>
          <w:sz w:val="30"/>
          <w:szCs w:val="30"/>
        </w:rPr>
        <w:t>1</w:t>
      </w:r>
      <w:r>
        <w:rPr>
          <w:rFonts w:ascii="仿宋_GB2312" w:hAnsi="仿宋" w:eastAsia="仿宋_GB2312"/>
          <w:spacing w:val="6"/>
          <w:sz w:val="30"/>
          <w:szCs w:val="30"/>
        </w:rPr>
        <w:t>8</w:t>
      </w:r>
      <w:r>
        <w:rPr>
          <w:rFonts w:hint="eastAsia" w:ascii="仿宋_GB2312" w:hAnsi="仿宋" w:eastAsia="仿宋_GB2312"/>
          <w:spacing w:val="6"/>
          <w:sz w:val="30"/>
          <w:szCs w:val="30"/>
        </w:rPr>
        <w:t>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z w:val="30"/>
          <w:szCs w:val="30"/>
        </w:rPr>
        <w:t>轮渡（</w:t>
      </w:r>
      <w:r>
        <w:rPr>
          <w:rFonts w:hint="eastAsia" w:ascii="仿宋_GB2312" w:hAnsi="仿宋" w:eastAsia="仿宋_GB2312"/>
          <w:spacing w:val="6"/>
          <w:sz w:val="30"/>
          <w:szCs w:val="30"/>
        </w:rPr>
        <w:t>46行）大于等于轮渡码头</w:t>
      </w:r>
      <w:r>
        <w:rPr>
          <w:rFonts w:hint="eastAsia" w:ascii="仿宋_GB2312" w:hAnsi="仿宋" w:eastAsia="仿宋_GB2312"/>
          <w:sz w:val="30"/>
          <w:szCs w:val="30"/>
        </w:rPr>
        <w:t>（</w:t>
      </w:r>
      <w:r>
        <w:rPr>
          <w:rFonts w:hint="eastAsia" w:ascii="仿宋_GB2312" w:hAnsi="仿宋" w:eastAsia="仿宋_GB2312"/>
          <w:spacing w:val="6"/>
          <w:sz w:val="30"/>
          <w:szCs w:val="30"/>
        </w:rPr>
        <w:t>47行）；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负有管理维护职责数量</w:t>
      </w:r>
      <w:r>
        <w:rPr>
          <w:rFonts w:hint="eastAsia" w:ascii="仿宋_GB2312" w:hAnsi="仿宋" w:eastAsia="仿宋_GB2312"/>
          <w:sz w:val="30"/>
          <w:szCs w:val="30"/>
        </w:rPr>
        <w:t>（</w:t>
      </w:r>
      <w:r>
        <w:rPr>
          <w:rFonts w:hint="eastAsia" w:ascii="仿宋_GB2312" w:hAnsi="仿宋" w:eastAsia="仿宋_GB2312"/>
          <w:spacing w:val="6"/>
          <w:sz w:val="30"/>
          <w:szCs w:val="30"/>
        </w:rPr>
        <w:t>1栏）大于等于数量</w:t>
      </w:r>
      <w:r>
        <w:rPr>
          <w:rFonts w:hint="eastAsia" w:ascii="仿宋_GB2312" w:hAnsi="仿宋" w:eastAsia="仿宋_GB2312"/>
          <w:sz w:val="30"/>
          <w:szCs w:val="30"/>
        </w:rPr>
        <w:t>（</w:t>
      </w:r>
      <w:r>
        <w:rPr>
          <w:rFonts w:ascii="仿宋_GB2312" w:hAnsi="仿宋" w:eastAsia="仿宋_GB2312"/>
          <w:spacing w:val="6"/>
          <w:sz w:val="30"/>
          <w:szCs w:val="30"/>
        </w:rPr>
        <w:t>2栏</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负有管理维护职责数量</w:t>
      </w:r>
      <w:r>
        <w:rPr>
          <w:rFonts w:hint="eastAsia" w:ascii="仿宋_GB2312" w:hAnsi="仿宋" w:eastAsia="仿宋_GB2312"/>
          <w:sz w:val="30"/>
          <w:szCs w:val="30"/>
        </w:rPr>
        <w:t>（</w:t>
      </w:r>
      <w:r>
        <w:rPr>
          <w:rFonts w:ascii="仿宋_GB2312" w:hAnsi="仿宋" w:eastAsia="仿宋_GB2312"/>
          <w:spacing w:val="6"/>
          <w:sz w:val="30"/>
          <w:szCs w:val="30"/>
        </w:rPr>
        <w:t>6</w:t>
      </w:r>
      <w:r>
        <w:rPr>
          <w:rFonts w:hint="eastAsia" w:ascii="仿宋_GB2312" w:hAnsi="仿宋" w:eastAsia="仿宋_GB2312"/>
          <w:spacing w:val="6"/>
          <w:sz w:val="30"/>
          <w:szCs w:val="30"/>
        </w:rPr>
        <w:t>栏）大于等于数量</w:t>
      </w:r>
      <w:r>
        <w:rPr>
          <w:rFonts w:hint="eastAsia" w:ascii="仿宋_GB2312" w:hAnsi="仿宋" w:eastAsia="仿宋_GB2312"/>
          <w:sz w:val="30"/>
          <w:szCs w:val="30"/>
        </w:rPr>
        <w:t>（</w:t>
      </w:r>
      <w:r>
        <w:rPr>
          <w:rFonts w:ascii="仿宋_GB2312" w:hAnsi="仿宋" w:eastAsia="仿宋_GB2312"/>
          <w:spacing w:val="6"/>
          <w:sz w:val="30"/>
          <w:szCs w:val="30"/>
        </w:rPr>
        <w:t>7栏</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净值（</w:t>
      </w:r>
      <w:r>
        <w:rPr>
          <w:rFonts w:ascii="仿宋_GB2312" w:hAnsi="仿宋" w:eastAsia="仿宋_GB2312"/>
          <w:sz w:val="30"/>
          <w:szCs w:val="30"/>
        </w:rPr>
        <w:t>5</w:t>
      </w:r>
      <w:r>
        <w:rPr>
          <w:rFonts w:hint="eastAsia" w:ascii="仿宋_GB2312" w:hAnsi="仿宋" w:eastAsia="仿宋_GB2312"/>
          <w:sz w:val="30"/>
          <w:szCs w:val="30"/>
        </w:rPr>
        <w:t>栏）等于原值</w:t>
      </w:r>
      <w:r>
        <w:rPr>
          <w:rFonts w:ascii="仿宋_GB2312" w:hAnsi="仿宋" w:eastAsia="仿宋_GB2312"/>
          <w:sz w:val="30"/>
          <w:szCs w:val="30"/>
        </w:rPr>
        <w:t>（</w:t>
      </w:r>
      <w:r>
        <w:rPr>
          <w:rFonts w:hint="eastAsia" w:ascii="仿宋_GB2312" w:hAnsi="仿宋" w:eastAsia="仿宋_GB2312"/>
          <w:sz w:val="30"/>
          <w:szCs w:val="30"/>
        </w:rPr>
        <w:t>3栏</w:t>
      </w:r>
      <w:r>
        <w:rPr>
          <w:rFonts w:ascii="仿宋_GB2312" w:hAnsi="仿宋" w:eastAsia="仿宋_GB2312"/>
          <w:sz w:val="30"/>
          <w:szCs w:val="30"/>
        </w:rPr>
        <w:t>）</w:t>
      </w:r>
      <w:r>
        <w:rPr>
          <w:rFonts w:hint="eastAsia" w:ascii="仿宋_GB2312" w:hAnsi="仿宋" w:eastAsia="仿宋_GB2312"/>
          <w:sz w:val="30"/>
          <w:szCs w:val="30"/>
        </w:rPr>
        <w:t>与累计折旧/摊销（</w:t>
      </w:r>
      <w:r>
        <w:rPr>
          <w:rFonts w:ascii="仿宋_GB2312" w:hAnsi="仿宋" w:eastAsia="仿宋_GB2312"/>
          <w:sz w:val="30"/>
          <w:szCs w:val="30"/>
        </w:rPr>
        <w:t>4</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之差；</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净值（</w:t>
      </w:r>
      <w:r>
        <w:rPr>
          <w:rFonts w:ascii="仿宋_GB2312" w:hAnsi="仿宋" w:eastAsia="仿宋_GB2312"/>
          <w:sz w:val="30"/>
          <w:szCs w:val="30"/>
        </w:rPr>
        <w:t>10</w:t>
      </w:r>
      <w:r>
        <w:rPr>
          <w:rFonts w:hint="eastAsia" w:ascii="仿宋_GB2312" w:hAnsi="仿宋" w:eastAsia="仿宋_GB2312"/>
          <w:sz w:val="30"/>
          <w:szCs w:val="30"/>
        </w:rPr>
        <w:t>栏）等于原值</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与累计折旧/摊销（9栏</w:t>
      </w:r>
      <w:r>
        <w:rPr>
          <w:rFonts w:ascii="仿宋_GB2312" w:hAnsi="仿宋" w:eastAsia="仿宋_GB2312"/>
          <w:sz w:val="30"/>
          <w:szCs w:val="30"/>
        </w:rPr>
        <w:t>）</w:t>
      </w:r>
      <w:r>
        <w:rPr>
          <w:rFonts w:hint="eastAsia" w:ascii="仿宋_GB2312" w:hAnsi="仿宋" w:eastAsia="仿宋_GB2312"/>
          <w:sz w:val="30"/>
          <w:szCs w:val="30"/>
        </w:rPr>
        <w:t>之差；</w:t>
      </w:r>
    </w:p>
    <w:p>
      <w:pPr>
        <w:pStyle w:val="7"/>
        <w:numPr>
          <w:ilvl w:val="0"/>
          <w:numId w:val="8"/>
        </w:numPr>
        <w:spacing w:line="360" w:lineRule="auto"/>
        <w:ind w:firstLineChars="0"/>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数量（2、7栏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则原值（</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，否则提示核实性错误，需结合实际情况修改或填写情况说明；</w:t>
      </w:r>
    </w:p>
    <w:p>
      <w:pPr>
        <w:numPr>
          <w:ilvl w:val="0"/>
          <w:numId w:val="8"/>
        </w:numPr>
        <w:snapToGrid w:val="0"/>
        <w:spacing w:line="360" w:lineRule="auto"/>
        <w:ind w:left="0" w:firstLine="576"/>
        <w:rPr>
          <w:rFonts w:hint="eastAsia" w:ascii="仿宋_GB2312" w:hAnsi="仿宋" w:eastAsia="仿宋_GB2312"/>
          <w:sz w:val="30"/>
          <w:szCs w:val="30"/>
        </w:rPr>
      </w:pPr>
      <w:r>
        <w:rPr>
          <w:rFonts w:hint="eastAsia" w:ascii="仿宋_GB2312" w:hAnsi="仿宋" w:eastAsia="仿宋_GB2312"/>
          <w:sz w:val="30"/>
          <w:szCs w:val="30"/>
        </w:rPr>
        <w:t>原值（</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则数量（2、7栏</w:t>
      </w:r>
      <w:r>
        <w:rPr>
          <w:rFonts w:ascii="仿宋_GB2312" w:hAnsi="仿宋" w:eastAsia="仿宋_GB2312"/>
          <w:sz w:val="30"/>
          <w:szCs w:val="30"/>
        </w:rPr>
        <w:t>）</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，否则提示核实性错误，需结合实际情况修改或填写情况说明；</w:t>
      </w:r>
    </w:p>
    <w:p>
      <w:pPr>
        <w:numPr>
          <w:ilvl w:val="0"/>
          <w:numId w:val="8"/>
        </w:numPr>
        <w:snapToGrid w:val="0"/>
        <w:spacing w:line="360" w:lineRule="auto"/>
        <w:ind w:left="0" w:firstLine="576"/>
        <w:rPr>
          <w:rFonts w:hint="eastAsia" w:ascii="仿宋_GB2312" w:hAnsi="仿宋_GB2312" w:eastAsia="仿宋_GB2312" w:cs="仿宋_GB2312"/>
          <w:sz w:val="30"/>
          <w:szCs w:val="30"/>
        </w:rPr>
      </w:pPr>
      <w:r>
        <w:rPr>
          <w:rFonts w:ascii="仿宋_GB2312" w:hAnsi="仿宋" w:eastAsia="仿宋_GB2312"/>
          <w:sz w:val="30"/>
          <w:szCs w:val="30"/>
        </w:rPr>
        <w:t>（如情况存在，请提供说明）：期初账面数应等于上年财资12-1表期末账面数，否则提示核实性错误，需填写说明</w:t>
      </w:r>
      <w:r>
        <w:rPr>
          <w:rFonts w:hint="eastAsia" w:ascii="仿宋_GB2312" w:hAnsi="仿宋" w:eastAsia="仿宋_GB2312"/>
          <w:sz w:val="30"/>
          <w:szCs w:val="30"/>
        </w:rPr>
        <w:t>；</w:t>
      </w:r>
    </w:p>
    <w:p>
      <w:pPr>
        <w:numPr>
          <w:ilvl w:val="0"/>
          <w:numId w:val="8"/>
        </w:numPr>
        <w:snapToGrid w:val="0"/>
        <w:spacing w:line="360" w:lineRule="auto"/>
        <w:ind w:left="0" w:firstLine="576"/>
        <w:rPr>
          <w:rFonts w:hint="eastAsia" w:ascii="仿宋_GB2312" w:hAnsi="仿宋_GB2312" w:eastAsia="仿宋_GB2312" w:cs="仿宋_GB2312"/>
          <w:sz w:val="30"/>
          <w:szCs w:val="30"/>
        </w:rPr>
      </w:pPr>
      <w:r>
        <w:rPr>
          <w:rFonts w:hint="eastAsia" w:ascii="仿宋_GB2312" w:eastAsia="仿宋_GB2312"/>
          <w:sz w:val="30"/>
          <w:szCs w:val="30"/>
        </w:rPr>
        <w:t>公路（</w:t>
      </w:r>
      <w:r>
        <w:rPr>
          <w:rFonts w:ascii="仿宋_GB2312" w:eastAsia="仿宋_GB2312"/>
          <w:sz w:val="30"/>
          <w:szCs w:val="30"/>
        </w:rPr>
        <w:t>2</w:t>
      </w:r>
      <w:r>
        <w:rPr>
          <w:rFonts w:hint="eastAsia" w:ascii="仿宋_GB2312" w:eastAsia="仿宋_GB2312"/>
          <w:sz w:val="30"/>
          <w:szCs w:val="30"/>
        </w:rPr>
        <w:t>行</w:t>
      </w:r>
      <w:r>
        <w:rPr>
          <w:rFonts w:ascii="仿宋_GB2312" w:hAnsi="仿宋" w:eastAsia="仿宋_GB2312"/>
          <w:sz w:val="30"/>
          <w:szCs w:val="30"/>
        </w:rPr>
        <w:t>）</w:t>
      </w:r>
      <w:r>
        <w:rPr>
          <w:rFonts w:hint="eastAsia" w:ascii="仿宋_GB2312" w:eastAsia="仿宋_GB2312"/>
          <w:sz w:val="30"/>
          <w:szCs w:val="30"/>
        </w:rPr>
        <w:t>负有管理维护职责数量（6栏</w:t>
      </w:r>
      <w:r>
        <w:rPr>
          <w:rFonts w:ascii="仿宋_GB2312" w:hAnsi="仿宋" w:eastAsia="仿宋_GB2312"/>
          <w:sz w:val="30"/>
          <w:szCs w:val="30"/>
        </w:rPr>
        <w:t>）</w:t>
      </w:r>
      <w:r>
        <w:rPr>
          <w:rFonts w:hint="eastAsia" w:ascii="仿宋_GB2312" w:eastAsia="仿宋_GB2312"/>
          <w:sz w:val="30"/>
          <w:szCs w:val="30"/>
        </w:rPr>
        <w:t>应小于等于</w:t>
      </w:r>
      <w:r>
        <w:rPr>
          <w:rFonts w:ascii="仿宋_GB2312" w:eastAsia="仿宋_GB2312"/>
          <w:sz w:val="30"/>
          <w:szCs w:val="30"/>
        </w:rPr>
        <w:t>100</w:t>
      </w:r>
      <w:r>
        <w:rPr>
          <w:rFonts w:hint="eastAsia" w:ascii="仿宋_GB2312" w:eastAsia="仿宋_GB2312"/>
          <w:sz w:val="30"/>
          <w:szCs w:val="30"/>
        </w:rPr>
        <w:t>000，否则</w:t>
      </w:r>
      <w:r>
        <w:rPr>
          <w:rFonts w:hint="eastAsia" w:ascii="仿宋_GB2312" w:hAnsi="仿宋_GB2312" w:eastAsia="仿宋_GB2312" w:cs="仿宋_GB2312"/>
          <w:sz w:val="30"/>
          <w:szCs w:val="30"/>
        </w:rPr>
        <w:t>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eastAsia="仿宋_GB2312"/>
          <w:sz w:val="30"/>
          <w:szCs w:val="30"/>
        </w:rPr>
        <w:t>村道（</w:t>
      </w:r>
      <w:r>
        <w:rPr>
          <w:rFonts w:ascii="仿宋_GB2312" w:eastAsia="仿宋_GB2312"/>
          <w:sz w:val="30"/>
          <w:szCs w:val="30"/>
        </w:rPr>
        <w:t>8</w:t>
      </w:r>
      <w:r>
        <w:rPr>
          <w:rFonts w:hint="eastAsia" w:ascii="仿宋_GB2312" w:eastAsia="仿宋_GB2312"/>
          <w:sz w:val="30"/>
          <w:szCs w:val="30"/>
        </w:rPr>
        <w:t>行</w:t>
      </w:r>
      <w:r>
        <w:rPr>
          <w:rFonts w:ascii="仿宋_GB2312" w:hAnsi="仿宋" w:eastAsia="仿宋_GB2312"/>
          <w:sz w:val="30"/>
          <w:szCs w:val="30"/>
        </w:rPr>
        <w:t>）</w:t>
      </w:r>
      <w:r>
        <w:rPr>
          <w:rFonts w:hint="eastAsia" w:ascii="仿宋_GB2312" w:eastAsia="仿宋_GB2312"/>
          <w:sz w:val="30"/>
          <w:szCs w:val="30"/>
        </w:rPr>
        <w:t>负有管理维护职责数量（6栏</w:t>
      </w:r>
      <w:r>
        <w:rPr>
          <w:rFonts w:ascii="仿宋_GB2312" w:hAnsi="仿宋" w:eastAsia="仿宋_GB2312"/>
          <w:sz w:val="30"/>
          <w:szCs w:val="30"/>
        </w:rPr>
        <w:t>）</w:t>
      </w:r>
      <w:r>
        <w:rPr>
          <w:rFonts w:hint="eastAsia" w:ascii="仿宋_GB2312" w:eastAsia="仿宋_GB2312"/>
          <w:sz w:val="30"/>
          <w:szCs w:val="30"/>
        </w:rPr>
        <w:t>应小于等于2</w:t>
      </w:r>
      <w:r>
        <w:rPr>
          <w:rFonts w:ascii="仿宋_GB2312" w:eastAsia="仿宋_GB2312"/>
          <w:sz w:val="30"/>
          <w:szCs w:val="30"/>
        </w:rPr>
        <w:t>0</w:t>
      </w:r>
      <w:r>
        <w:rPr>
          <w:rFonts w:hint="eastAsia" w:ascii="仿宋_GB2312" w:eastAsia="仿宋_GB2312"/>
          <w:sz w:val="30"/>
          <w:szCs w:val="30"/>
        </w:rPr>
        <w:t>000，否则提示核实性错误，需结合实际情况修改或填写情况说明；</w:t>
      </w:r>
    </w:p>
    <w:p>
      <w:pPr>
        <w:numPr>
          <w:ilvl w:val="0"/>
          <w:numId w:val="9"/>
        </w:numPr>
        <w:adjustRightInd w:val="0"/>
        <w:snapToGrid w:val="0"/>
        <w:spacing w:line="360" w:lineRule="auto"/>
        <w:ind w:left="0" w:firstLine="600" w:firstLineChars="200"/>
        <w:rPr>
          <w:rFonts w:ascii="仿宋_GB2312" w:eastAsia="仿宋_GB2312"/>
          <w:sz w:val="30"/>
          <w:szCs w:val="30"/>
        </w:rPr>
      </w:pPr>
      <w:r>
        <w:rPr>
          <w:rFonts w:hint="eastAsia" w:ascii="仿宋_GB2312" w:eastAsia="仿宋_GB2312"/>
          <w:sz w:val="30"/>
          <w:szCs w:val="30"/>
        </w:rPr>
        <w:t>公路（</w:t>
      </w:r>
      <w:r>
        <w:rPr>
          <w:rFonts w:ascii="仿宋_GB2312" w:eastAsia="仿宋_GB2312"/>
          <w:sz w:val="30"/>
          <w:szCs w:val="30"/>
        </w:rPr>
        <w:t>2</w:t>
      </w:r>
      <w:r>
        <w:rPr>
          <w:rFonts w:hint="eastAsia" w:ascii="仿宋_GB2312" w:eastAsia="仿宋_GB2312"/>
          <w:sz w:val="30"/>
          <w:szCs w:val="30"/>
        </w:rPr>
        <w:t>行</w:t>
      </w:r>
      <w:r>
        <w:rPr>
          <w:rFonts w:ascii="仿宋_GB2312" w:hAnsi="仿宋" w:eastAsia="仿宋_GB2312"/>
          <w:sz w:val="30"/>
          <w:szCs w:val="30"/>
        </w:rPr>
        <w:t>）</w:t>
      </w:r>
      <w:r>
        <w:rPr>
          <w:rFonts w:hint="eastAsia" w:ascii="仿宋_GB2312" w:hAnsi="仿宋" w:eastAsia="仿宋_GB2312"/>
          <w:sz w:val="30"/>
          <w:szCs w:val="30"/>
        </w:rPr>
        <w:t>净值</w:t>
      </w:r>
      <w:r>
        <w:rPr>
          <w:rFonts w:hint="eastAsia" w:ascii="仿宋_GB2312" w:eastAsia="仿宋_GB2312"/>
          <w:sz w:val="30"/>
          <w:szCs w:val="30"/>
        </w:rPr>
        <w:t>（</w:t>
      </w:r>
      <w:r>
        <w:rPr>
          <w:rFonts w:ascii="仿宋_GB2312" w:eastAsia="仿宋_GB2312"/>
          <w:sz w:val="30"/>
          <w:szCs w:val="30"/>
        </w:rPr>
        <w:t>10</w:t>
      </w:r>
      <w:r>
        <w:rPr>
          <w:rFonts w:hint="eastAsia" w:ascii="仿宋_GB2312" w:eastAsia="仿宋_GB2312"/>
          <w:sz w:val="30"/>
          <w:szCs w:val="30"/>
        </w:rPr>
        <w:t>栏</w:t>
      </w:r>
      <w:r>
        <w:rPr>
          <w:rFonts w:ascii="仿宋_GB2312" w:hAnsi="仿宋" w:eastAsia="仿宋_GB2312"/>
          <w:sz w:val="30"/>
          <w:szCs w:val="30"/>
        </w:rPr>
        <w:t>）</w:t>
      </w:r>
      <w:r>
        <w:rPr>
          <w:rFonts w:hint="eastAsia" w:ascii="仿宋_GB2312" w:eastAsia="仿宋_GB2312"/>
          <w:sz w:val="30"/>
          <w:szCs w:val="30"/>
        </w:rPr>
        <w:t>应小于等于</w:t>
      </w:r>
      <w:r>
        <w:rPr>
          <w:rFonts w:ascii="仿宋_GB2312" w:eastAsia="仿宋_GB2312"/>
          <w:sz w:val="30"/>
          <w:szCs w:val="30"/>
        </w:rPr>
        <w:t>2</w:t>
      </w:r>
      <w:r>
        <w:rPr>
          <w:rFonts w:hint="eastAsia" w:ascii="仿宋_GB2312" w:eastAsia="仿宋_GB2312"/>
          <w:sz w:val="30"/>
          <w:szCs w:val="30"/>
        </w:rPr>
        <w:t>0000</w:t>
      </w:r>
      <w:r>
        <w:rPr>
          <w:rFonts w:ascii="仿宋_GB2312" w:eastAsia="仿宋_GB2312"/>
          <w:sz w:val="30"/>
          <w:szCs w:val="30"/>
        </w:rPr>
        <w:t>0000000</w:t>
      </w:r>
      <w:r>
        <w:rPr>
          <w:rFonts w:hint="eastAsia" w:ascii="仿宋_GB2312" w:eastAsia="仿宋_GB2312"/>
          <w:sz w:val="30"/>
          <w:szCs w:val="30"/>
        </w:rPr>
        <w:t>，否则提示核实性错误，需结合实际情况修改或填写情况说明；</w:t>
      </w:r>
    </w:p>
    <w:p>
      <w:pPr>
        <w:numPr>
          <w:ilvl w:val="0"/>
          <w:numId w:val="10"/>
        </w:numPr>
        <w:snapToGrid w:val="0"/>
        <w:spacing w:line="360" w:lineRule="auto"/>
        <w:ind w:left="0" w:firstLine="600" w:firstLineChars="200"/>
      </w:pPr>
      <w:r>
        <w:rPr>
          <w:rFonts w:hint="eastAsia" w:ascii="仿宋_GB2312" w:eastAsia="仿宋_GB2312"/>
          <w:sz w:val="30"/>
          <w:szCs w:val="30"/>
        </w:rPr>
        <w:t>汽车客运站（19行）负有管理维护职责（期末数）应小于等于80，否则提示核实性错误，需结合实际情况修改或填写情况说明；</w:t>
      </w:r>
    </w:p>
    <w:p>
      <w:pPr>
        <w:numPr>
          <w:ilvl w:val="0"/>
          <w:numId w:val="10"/>
        </w:numPr>
        <w:snapToGrid w:val="0"/>
        <w:spacing w:line="360" w:lineRule="auto"/>
        <w:ind w:left="0" w:firstLine="600" w:firstLineChars="200"/>
      </w:pPr>
      <w:r>
        <w:rPr>
          <w:rFonts w:hint="eastAsia" w:ascii="仿宋_GB2312" w:eastAsia="仿宋_GB2312"/>
          <w:sz w:val="30"/>
          <w:szCs w:val="30"/>
        </w:rPr>
        <w:t>高速公路（11行）、机场（20行）负有管理维护职责数量（6栏</w:t>
      </w:r>
      <w:r>
        <w:rPr>
          <w:rFonts w:ascii="仿宋_GB2312" w:hAnsi="仿宋" w:eastAsia="仿宋_GB2312"/>
          <w:sz w:val="30"/>
          <w:szCs w:val="30"/>
        </w:rPr>
        <w:t>）</w:t>
      </w:r>
      <w:r>
        <w:rPr>
          <w:rFonts w:hint="eastAsia" w:ascii="仿宋_GB2312" w:eastAsia="仿宋_GB2312"/>
          <w:sz w:val="30"/>
          <w:szCs w:val="30"/>
        </w:rPr>
        <w:t>应为0，否则提示核实性错误，需结合实际情况修改或填写情况说明。</w:t>
      </w:r>
    </w:p>
    <w:p>
      <w:pPr>
        <w:pStyle w:val="2"/>
        <w:rPr>
          <w:rFonts w:hint="eastAsia"/>
          <w:color w:val="auto"/>
        </w:rPr>
      </w:pPr>
      <w:r>
        <w:rPr>
          <w:color w:val="auto"/>
        </w:rPr>
        <w:t>（十四）公共基础设施-水利基础设施情况表（财资1</w:t>
      </w:r>
      <w:r>
        <w:rPr>
          <w:rFonts w:hint="eastAsia"/>
          <w:color w:val="auto"/>
        </w:rPr>
        <w:t>2</w:t>
      </w:r>
      <w:r>
        <w:rPr>
          <w:color w:val="auto"/>
        </w:rPr>
        <w:t>-</w:t>
      </w:r>
      <w:r>
        <w:rPr>
          <w:rFonts w:hint="eastAsia"/>
          <w:color w:val="auto"/>
        </w:rPr>
        <w:t>2</w:t>
      </w:r>
      <w:r>
        <w:rPr>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根据《财政部 水利部关于进一步加强水利基础设施政府会计核算的通知》的相关规定，本表所反映的水利基础设施，是指行政事业单位为满足社会公共防洪（潮）、治涝、供水、灌溉、发电等方面需求而控制的，持续提供公共服务的水利工程全部或部分有形资产。本表账面数从水利基础设施卡片</w:t>
      </w:r>
      <w:r>
        <w:rPr>
          <w:rFonts w:ascii="仿宋_GB2312" w:hAnsi="仿宋" w:eastAsia="仿宋_GB2312"/>
          <w:sz w:val="30"/>
          <w:szCs w:val="30"/>
        </w:rPr>
        <w:t>自动提取，允许手</w:t>
      </w:r>
      <w:r>
        <w:rPr>
          <w:rFonts w:hint="eastAsia" w:ascii="仿宋_GB2312" w:hAnsi="仿宋" w:eastAsia="仿宋_GB2312"/>
          <w:sz w:val="30"/>
          <w:szCs w:val="30"/>
        </w:rPr>
        <w:t>动</w:t>
      </w:r>
      <w:r>
        <w:rPr>
          <w:rFonts w:ascii="仿宋_GB2312" w:hAnsi="仿宋" w:eastAsia="仿宋_GB2312"/>
          <w:sz w:val="30"/>
          <w:szCs w:val="30"/>
        </w:rPr>
        <w:t>修改</w:t>
      </w:r>
      <w:r>
        <w:rPr>
          <w:rFonts w:hint="eastAsia" w:ascii="仿宋_GB2312" w:hAnsi="仿宋" w:eastAsia="仿宋_GB2312"/>
          <w:sz w:val="30"/>
          <w:szCs w:val="30"/>
        </w:rPr>
        <w:t>。“负有管理维护职责数量”指标应按照《政府会计准则5号——公共基础设施》相关规定，填写填报单位应当予以确认的资产数量。</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以下不属于水利公共基础设施范畴：</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（1）独立于水利基础设施、不构成水利基础设施使用不可缺少组成部分的管理用房屋建筑物、设备、车辆和船只等。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（2）不再提供公共服务的水利工程。</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（3）为改善水利工程周边环境，提升景观效果而控制的水景观及绿化工程。</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adjustRightInd w:val="0"/>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防洪（潮）及治涝工程：</w:t>
      </w:r>
    </w:p>
    <w:p>
      <w:pPr>
        <w:pStyle w:val="36"/>
        <w:adjustRightInd w:val="0"/>
        <w:snapToGrid w:val="0"/>
        <w:spacing w:line="360" w:lineRule="auto"/>
        <w:ind w:firstLine="600"/>
        <w:rPr>
          <w:rFonts w:hint="eastAsia" w:ascii="仿宋_GB2312" w:hAnsi="仿宋" w:eastAsia="仿宋_GB2312"/>
          <w:sz w:val="30"/>
          <w:szCs w:val="30"/>
        </w:rPr>
      </w:pPr>
      <w:r>
        <w:rPr>
          <w:rFonts w:hint="eastAsia" w:ascii="仿宋_GB2312" w:hAnsi="宋体" w:eastAsia="仿宋_GB2312"/>
          <w:bCs/>
          <w:sz w:val="30"/>
          <w:szCs w:val="32"/>
        </w:rPr>
        <w:t>（1）</w:t>
      </w:r>
      <w:r>
        <w:rPr>
          <w:rFonts w:hint="eastAsia" w:ascii="仿宋_GB2312" w:hAnsi="仿宋" w:eastAsia="仿宋_GB2312"/>
          <w:sz w:val="30"/>
          <w:szCs w:val="30"/>
        </w:rPr>
        <w:t>防洪（潮）工程指为控制或抗御洪水以减免洪灾损失而修建的各种工程。包括堤防、险工工程、控导工程、水闸、泵站等，不含防洪水库。</w:t>
      </w:r>
    </w:p>
    <w:p>
      <w:pPr>
        <w:pStyle w:val="36"/>
        <w:adjustRightInd w:val="0"/>
        <w:snapToGrid w:val="0"/>
        <w:spacing w:line="360" w:lineRule="auto"/>
        <w:ind w:firstLine="600"/>
        <w:rPr>
          <w:rFonts w:hint="eastAsia" w:ascii="仿宋_GB2312" w:hAnsi="仿宋" w:eastAsia="仿宋_GB2312"/>
          <w:sz w:val="30"/>
          <w:szCs w:val="30"/>
        </w:rPr>
      </w:pPr>
      <w:r>
        <w:rPr>
          <w:rFonts w:hint="eastAsia" w:ascii="仿宋_GB2312" w:hAnsi="宋体" w:eastAsia="仿宋_GB2312"/>
          <w:bCs/>
          <w:sz w:val="30"/>
          <w:szCs w:val="32"/>
        </w:rPr>
        <w:t>（2）</w:t>
      </w:r>
      <w:r>
        <w:rPr>
          <w:rFonts w:hint="eastAsia" w:ascii="仿宋_GB2312" w:hAnsi="仿宋" w:eastAsia="仿宋_GB2312"/>
          <w:sz w:val="30"/>
          <w:szCs w:val="30"/>
        </w:rPr>
        <w:t>治涝工程指为了排除涝区内多余降水，防治涝灾发生而修建的各种工程，包括堤防、险工工程、水闸、泵站、渠（管、隧）道等。</w:t>
      </w:r>
    </w:p>
    <w:p>
      <w:pPr>
        <w:adjustRightInd w:val="0"/>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．灌溉及农村供水工程：</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bCs/>
          <w:sz w:val="30"/>
          <w:szCs w:val="32"/>
        </w:rPr>
        <w:t>（1）</w:t>
      </w:r>
      <w:r>
        <w:rPr>
          <w:rFonts w:hint="eastAsia" w:ascii="仿宋_GB2312" w:hAnsi="仿宋" w:eastAsia="仿宋_GB2312"/>
          <w:sz w:val="30"/>
          <w:szCs w:val="30"/>
        </w:rPr>
        <w:t>灌溉工程:指从水源取水并输送、分配到田间的整体灌溉设施。包括渠首枢纽、渠（管、隧）道、泵站、水闸、其他渠系建筑物（渡槽、倒虹吸、陡坡、跌水等）、调蓄水库（总库容≥10万m</w:t>
      </w:r>
      <w:r>
        <w:rPr>
          <w:rFonts w:hint="eastAsia" w:ascii="仿宋_GB2312" w:hAnsi="仿宋" w:eastAsia="仿宋_GB2312"/>
          <w:sz w:val="30"/>
          <w:szCs w:val="30"/>
          <w:vertAlign w:val="superscript"/>
        </w:rPr>
        <w:t>3</w:t>
      </w:r>
      <w:r>
        <w:rPr>
          <w:rFonts w:hint="eastAsia" w:ascii="仿宋_GB2312" w:hAnsi="仿宋" w:eastAsia="仿宋_GB2312"/>
          <w:sz w:val="30"/>
          <w:szCs w:val="30"/>
        </w:rPr>
        <w:t>）、塘坝等组成。本表灌溉工程第二级分类中的调蓄水库为在灌区中发挥水量调蓄作用的水库工程，总库容应大于或等于10万立方米，对于小于10万立方米的列为塘坝。</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bCs/>
          <w:sz w:val="30"/>
          <w:szCs w:val="32"/>
        </w:rPr>
        <w:t>（2）</w:t>
      </w:r>
      <w:r>
        <w:rPr>
          <w:rFonts w:hint="eastAsia" w:ascii="仿宋_GB2312" w:hAnsi="仿宋" w:eastAsia="仿宋_GB2312"/>
          <w:sz w:val="30"/>
          <w:szCs w:val="30"/>
        </w:rPr>
        <w:t>农村供水工程：指向农村的乡镇、村庄等居民点和分散农户供给生活和生产等用水，以满足村镇居民、企事业单位日常用水需要为主的集中式供水工程，包括渠（管、隧）道、泵站、塘坝、地下取水设施等。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引调水工程:指为满足供水、灌溉、生态需水要求，兴建的跨水系、跨区域的水资源配置工程，包括渠首枢纽、渠（管、隧）道、泵站、水闸、其他渠系建筑物、调蓄水库（总库容≥10万m3）、地下取水设施等。引调水工程第二级分类中的调蓄水库为在引调水工程中发挥水量调蓄作用的水库工程，总库容应大于或等于10万立方米。</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4.水力发电工程：指为开发利用水能资源，将水能转换为电能而修建的工程建筑物和机械、电气设备以及金属结构的综合体，包括常规水电站、抽水蓄能电站等。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5.水土保持工程：指为防治水土流失，保护、改良与合理利用水土资源，改善生态环境所采取的工程措施。本表水土保持工程，主要为沟壑治理工程，包括沟头防护、淤地坝、谷坊坝等。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6.水库工程：指在河道、山谷或低洼地带修建挡水坝或堤堰形成的具有拦洪蓄水和调节水流功能的水利工程，总库容应大于或等于10万立方米，包括山区水库、平原水库等，不包括灌溉工程、引调水工程中的调蓄水库。</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7.水文基础设施：指为满足水文生产所必须建设的设施。包括水文站、水位站、雨量站、其他水文测站（蒸发站、墒情站等）等。</w:t>
      </w:r>
    </w:p>
    <w:p>
      <w:pPr>
        <w:pStyle w:val="7"/>
        <w:spacing w:line="360" w:lineRule="auto"/>
        <w:ind w:firstLine="614"/>
        <w:rPr>
          <w:rFonts w:hint="eastAsia" w:hAnsi="仿宋"/>
          <w:b/>
          <w:sz w:val="30"/>
          <w:szCs w:val="30"/>
        </w:rPr>
      </w:pPr>
      <w:r>
        <w:rPr>
          <w:rFonts w:hint="eastAsia" w:hAnsi="仿宋"/>
          <w:b/>
          <w:sz w:val="30"/>
          <w:szCs w:val="30"/>
        </w:rPr>
        <w:t>逻辑性审核公式：</w:t>
      </w:r>
    </w:p>
    <w:p>
      <w:pPr>
        <w:pStyle w:val="7"/>
        <w:spacing w:line="360" w:lineRule="auto"/>
        <w:ind w:firstLine="614"/>
        <w:rPr>
          <w:rFonts w:hint="eastAsia" w:hAnsi="仿宋"/>
          <w:b/>
          <w:sz w:val="30"/>
          <w:szCs w:val="30"/>
        </w:rPr>
      </w:pPr>
      <w:r>
        <w:rPr>
          <w:rFonts w:hint="eastAsia" w:hAnsi="仿宋"/>
          <w:b/>
          <w:sz w:val="30"/>
          <w:szCs w:val="30"/>
        </w:rPr>
        <w:t>表内公式：</w:t>
      </w:r>
    </w:p>
    <w:p>
      <w:pPr>
        <w:pStyle w:val="7"/>
        <w:numPr>
          <w:ilvl w:val="0"/>
          <w:numId w:val="5"/>
        </w:numPr>
        <w:spacing w:line="360" w:lineRule="auto"/>
        <w:ind w:firstLineChars="0"/>
        <w:rPr>
          <w:rFonts w:hint="eastAsia" w:hAnsi="仿宋"/>
          <w:sz w:val="30"/>
          <w:szCs w:val="30"/>
        </w:rPr>
      </w:pPr>
      <w:r>
        <w:rPr>
          <w:rFonts w:hint="eastAsia" w:hAnsi="仿宋"/>
          <w:sz w:val="30"/>
          <w:szCs w:val="30"/>
        </w:rPr>
        <w:t>合计</w:t>
      </w:r>
      <w:r>
        <w:rPr>
          <w:rFonts w:hAnsi="仿宋"/>
          <w:sz w:val="30"/>
          <w:szCs w:val="30"/>
        </w:rPr>
        <w:t>（1</w:t>
      </w:r>
      <w:r>
        <w:rPr>
          <w:rFonts w:hint="eastAsia" w:hAnsi="仿宋"/>
          <w:sz w:val="30"/>
          <w:szCs w:val="30"/>
        </w:rPr>
        <w:t>行</w:t>
      </w:r>
      <w:r>
        <w:rPr>
          <w:rFonts w:hAnsi="仿宋"/>
          <w:sz w:val="30"/>
          <w:szCs w:val="30"/>
        </w:rPr>
        <w:t>）等于</w:t>
      </w:r>
      <w:r>
        <w:rPr>
          <w:rFonts w:hint="eastAsia" w:hAnsi="仿宋"/>
          <w:sz w:val="30"/>
          <w:szCs w:val="30"/>
        </w:rPr>
        <w:t>防洪（潮）及治涝工程</w:t>
      </w:r>
      <w:r>
        <w:rPr>
          <w:rFonts w:hAnsi="仿宋"/>
          <w:sz w:val="30"/>
          <w:szCs w:val="30"/>
        </w:rPr>
        <w:t>（2行）、</w:t>
      </w:r>
      <w:r>
        <w:rPr>
          <w:rFonts w:hint="eastAsia" w:hAnsi="仿宋"/>
          <w:sz w:val="30"/>
          <w:szCs w:val="30"/>
        </w:rPr>
        <w:t>灌溉及农村供水工程（</w:t>
      </w:r>
      <w:r>
        <w:rPr>
          <w:rFonts w:hAnsi="仿宋"/>
          <w:sz w:val="30"/>
          <w:szCs w:val="30"/>
        </w:rPr>
        <w:t>9行）、</w:t>
      </w:r>
      <w:r>
        <w:rPr>
          <w:rFonts w:hint="eastAsia" w:hAnsi="仿宋"/>
          <w:sz w:val="30"/>
          <w:szCs w:val="30"/>
        </w:rPr>
        <w:t>引调水工程（</w:t>
      </w:r>
      <w:r>
        <w:rPr>
          <w:rFonts w:hAnsi="仿宋"/>
          <w:sz w:val="30"/>
          <w:szCs w:val="30"/>
        </w:rPr>
        <w:t>18行）、水力发电工程（26行）、</w:t>
      </w:r>
      <w:r>
        <w:rPr>
          <w:rFonts w:hint="eastAsia" w:hAnsi="仿宋"/>
          <w:sz w:val="30"/>
          <w:szCs w:val="30"/>
        </w:rPr>
        <w:t>水土保持工程（</w:t>
      </w:r>
      <w:r>
        <w:rPr>
          <w:rFonts w:hAnsi="仿宋"/>
          <w:sz w:val="30"/>
          <w:szCs w:val="30"/>
        </w:rPr>
        <w:t>29行）、水库工程（30行）、水文基础设施（33行）</w:t>
      </w:r>
      <w:r>
        <w:rPr>
          <w:rFonts w:hint="eastAsia" w:hAnsi="仿宋"/>
          <w:sz w:val="30"/>
          <w:szCs w:val="30"/>
        </w:rPr>
        <w:t>各项之和</w:t>
      </w:r>
      <w:r>
        <w:rPr>
          <w:rFonts w:hAnsi="仿宋"/>
          <w:sz w:val="30"/>
          <w:szCs w:val="30"/>
        </w:rPr>
        <w:t>；</w:t>
      </w:r>
    </w:p>
    <w:p>
      <w:pPr>
        <w:pStyle w:val="7"/>
        <w:numPr>
          <w:ilvl w:val="0"/>
          <w:numId w:val="5"/>
        </w:numPr>
        <w:spacing w:line="360" w:lineRule="auto"/>
        <w:ind w:firstLineChars="0"/>
        <w:rPr>
          <w:rFonts w:hint="eastAsia" w:hAnsi="仿宋"/>
          <w:sz w:val="30"/>
          <w:szCs w:val="30"/>
        </w:rPr>
      </w:pPr>
      <w:r>
        <w:rPr>
          <w:rFonts w:hint="eastAsia" w:hAnsi="仿宋"/>
          <w:sz w:val="30"/>
          <w:szCs w:val="30"/>
        </w:rPr>
        <w:t>防洪（潮）及治涝工程</w:t>
      </w:r>
      <w:r>
        <w:rPr>
          <w:rFonts w:hAnsi="仿宋"/>
          <w:sz w:val="30"/>
          <w:szCs w:val="30"/>
        </w:rPr>
        <w:t>（</w:t>
      </w:r>
      <w:r>
        <w:rPr>
          <w:rFonts w:hint="eastAsia" w:hAnsi="仿宋"/>
          <w:sz w:val="30"/>
          <w:szCs w:val="30"/>
        </w:rPr>
        <w:t>2行</w:t>
      </w:r>
      <w:r>
        <w:rPr>
          <w:rFonts w:hAnsi="仿宋"/>
          <w:sz w:val="30"/>
          <w:szCs w:val="30"/>
        </w:rPr>
        <w:t>）</w:t>
      </w:r>
      <w:r>
        <w:rPr>
          <w:rFonts w:hint="eastAsia" w:hAnsi="仿宋"/>
          <w:sz w:val="30"/>
          <w:szCs w:val="30"/>
        </w:rPr>
        <w:t>等于堤防（3</w:t>
      </w:r>
      <w:r>
        <w:rPr>
          <w:rFonts w:hAnsi="仿宋"/>
          <w:sz w:val="30"/>
          <w:szCs w:val="30"/>
        </w:rPr>
        <w:t>行）</w:t>
      </w:r>
      <w:r>
        <w:rPr>
          <w:rFonts w:hint="eastAsia" w:hAnsi="仿宋"/>
          <w:sz w:val="30"/>
          <w:szCs w:val="30"/>
        </w:rPr>
        <w:t>、险工工程（4</w:t>
      </w:r>
      <w:r>
        <w:rPr>
          <w:rFonts w:hAnsi="仿宋"/>
          <w:sz w:val="30"/>
          <w:szCs w:val="30"/>
        </w:rPr>
        <w:t>行）</w:t>
      </w:r>
      <w:r>
        <w:rPr>
          <w:rFonts w:hint="eastAsia" w:hAnsi="仿宋"/>
          <w:sz w:val="30"/>
          <w:szCs w:val="30"/>
        </w:rPr>
        <w:t>、控导工程（5</w:t>
      </w:r>
      <w:r>
        <w:rPr>
          <w:rFonts w:hAnsi="仿宋"/>
          <w:sz w:val="30"/>
          <w:szCs w:val="30"/>
        </w:rPr>
        <w:t>行）</w:t>
      </w:r>
      <w:r>
        <w:rPr>
          <w:rFonts w:hint="eastAsia" w:hAnsi="仿宋"/>
          <w:sz w:val="30"/>
          <w:szCs w:val="30"/>
        </w:rPr>
        <w:t>、水闸（6</w:t>
      </w:r>
      <w:r>
        <w:rPr>
          <w:rFonts w:hAnsi="仿宋"/>
          <w:sz w:val="30"/>
          <w:szCs w:val="30"/>
        </w:rPr>
        <w:t>行）</w:t>
      </w:r>
      <w:r>
        <w:rPr>
          <w:rFonts w:hint="eastAsia" w:hAnsi="仿宋"/>
          <w:sz w:val="30"/>
          <w:szCs w:val="30"/>
        </w:rPr>
        <w:t>、泵站（7</w:t>
      </w:r>
      <w:r>
        <w:rPr>
          <w:rFonts w:hAnsi="仿宋"/>
          <w:sz w:val="30"/>
          <w:szCs w:val="30"/>
        </w:rPr>
        <w:t>行）、</w:t>
      </w:r>
      <w:r>
        <w:rPr>
          <w:rFonts w:hint="eastAsia" w:hAnsi="仿宋"/>
          <w:sz w:val="30"/>
          <w:szCs w:val="30"/>
        </w:rPr>
        <w:t>渠（管、隧）道（</w:t>
      </w:r>
      <w:r>
        <w:rPr>
          <w:rFonts w:hAnsi="仿宋"/>
          <w:sz w:val="30"/>
          <w:szCs w:val="30"/>
        </w:rPr>
        <w:t>8行</w:t>
      </w:r>
      <w:r>
        <w:rPr>
          <w:rFonts w:hint="eastAsia" w:hAnsi="仿宋"/>
          <w:sz w:val="30"/>
          <w:szCs w:val="30"/>
        </w:rPr>
        <w:t>）各项之和；</w:t>
      </w:r>
    </w:p>
    <w:p>
      <w:pPr>
        <w:pStyle w:val="7"/>
        <w:numPr>
          <w:ilvl w:val="0"/>
          <w:numId w:val="5"/>
        </w:numPr>
        <w:spacing w:line="360" w:lineRule="auto"/>
        <w:ind w:firstLineChars="0"/>
        <w:jc w:val="left"/>
        <w:rPr>
          <w:rFonts w:hint="eastAsia" w:hAnsi="仿宋"/>
          <w:sz w:val="30"/>
          <w:szCs w:val="30"/>
        </w:rPr>
      </w:pPr>
      <w:r>
        <w:rPr>
          <w:rFonts w:hAnsi="仿宋"/>
          <w:sz w:val="30"/>
          <w:szCs w:val="30"/>
        </w:rPr>
        <w:t>灌溉及农村供水工程（9行）等于</w:t>
      </w:r>
      <w:r>
        <w:rPr>
          <w:rFonts w:hint="eastAsia" w:hAnsi="仿宋"/>
          <w:sz w:val="30"/>
          <w:szCs w:val="30"/>
        </w:rPr>
        <w:t>渠首枢纽（10行）、渠（管、隧）道（11行）、泵站（12行）、水闸（13行）</w:t>
      </w:r>
      <w:r>
        <w:rPr>
          <w:rFonts w:hAnsi="仿宋"/>
          <w:sz w:val="30"/>
          <w:szCs w:val="30"/>
        </w:rPr>
        <w:t>、其他渠系建筑物（14行）、调蓄水库（15行）、塘坝（16行）、地下取水设施（17行）</w:t>
      </w:r>
      <w:r>
        <w:rPr>
          <w:rFonts w:hint="eastAsia" w:hAnsi="仿宋"/>
          <w:sz w:val="30"/>
          <w:szCs w:val="30"/>
        </w:rPr>
        <w:t>各项之和；</w:t>
      </w:r>
    </w:p>
    <w:p>
      <w:pPr>
        <w:pStyle w:val="7"/>
        <w:numPr>
          <w:ilvl w:val="0"/>
          <w:numId w:val="5"/>
        </w:numPr>
        <w:spacing w:line="360" w:lineRule="auto"/>
        <w:ind w:firstLineChars="0"/>
        <w:rPr>
          <w:rFonts w:hint="eastAsia" w:hAnsi="仿宋"/>
          <w:sz w:val="30"/>
          <w:szCs w:val="30"/>
        </w:rPr>
      </w:pPr>
      <w:r>
        <w:rPr>
          <w:rFonts w:hAnsi="仿宋"/>
          <w:sz w:val="30"/>
          <w:szCs w:val="30"/>
        </w:rPr>
        <w:t>引调水工程（18行）</w:t>
      </w:r>
      <w:r>
        <w:rPr>
          <w:rFonts w:hint="eastAsia" w:hAnsi="仿宋"/>
          <w:sz w:val="30"/>
          <w:szCs w:val="30"/>
        </w:rPr>
        <w:t>等于</w:t>
      </w:r>
      <w:r>
        <w:rPr>
          <w:rFonts w:hAnsi="仿宋"/>
          <w:sz w:val="30"/>
          <w:szCs w:val="30"/>
        </w:rPr>
        <w:t>渠首枢纽（19行）、渠（管、隧）道（20行）、泵站（21行）、水闸（22行）、其他渠系建筑物（23行）、调蓄水库（24行）、地下取水设施（25行）</w:t>
      </w:r>
      <w:r>
        <w:rPr>
          <w:rFonts w:hint="eastAsia" w:hAnsi="仿宋"/>
          <w:sz w:val="30"/>
          <w:szCs w:val="30"/>
        </w:rPr>
        <w:t>各项之和；</w:t>
      </w:r>
    </w:p>
    <w:p>
      <w:pPr>
        <w:pStyle w:val="7"/>
        <w:numPr>
          <w:ilvl w:val="0"/>
          <w:numId w:val="5"/>
        </w:numPr>
        <w:spacing w:line="360" w:lineRule="auto"/>
        <w:ind w:firstLineChars="0"/>
        <w:rPr>
          <w:rFonts w:hint="eastAsia" w:hAnsi="仿宋"/>
          <w:sz w:val="30"/>
          <w:szCs w:val="30"/>
        </w:rPr>
      </w:pPr>
      <w:r>
        <w:rPr>
          <w:rFonts w:hAnsi="仿宋"/>
          <w:sz w:val="30"/>
          <w:szCs w:val="30"/>
        </w:rPr>
        <w:t>水力发电工程（26行）等于常规水电站（27行）、抽水蓄能电站（28行）</w:t>
      </w:r>
      <w:r>
        <w:rPr>
          <w:rFonts w:hint="eastAsia" w:hAnsi="仿宋"/>
          <w:sz w:val="30"/>
          <w:szCs w:val="30"/>
        </w:rPr>
        <w:t>之和；</w:t>
      </w:r>
    </w:p>
    <w:p>
      <w:pPr>
        <w:pStyle w:val="7"/>
        <w:widowControl/>
        <w:numPr>
          <w:ilvl w:val="0"/>
          <w:numId w:val="5"/>
        </w:numPr>
        <w:snapToGrid/>
        <w:spacing w:line="360" w:lineRule="auto"/>
        <w:ind w:firstLineChars="0"/>
        <w:jc w:val="left"/>
        <w:rPr>
          <w:rFonts w:hint="eastAsia" w:hAnsi="仿宋"/>
          <w:sz w:val="30"/>
          <w:szCs w:val="30"/>
        </w:rPr>
      </w:pPr>
      <w:r>
        <w:rPr>
          <w:rFonts w:hAnsi="仿宋"/>
          <w:sz w:val="30"/>
          <w:szCs w:val="30"/>
        </w:rPr>
        <w:t>水库工程（30行）等于山区水库（31行）、平原水库（32行）</w:t>
      </w:r>
      <w:r>
        <w:rPr>
          <w:rFonts w:hint="eastAsia" w:hAnsi="仿宋"/>
          <w:sz w:val="30"/>
          <w:szCs w:val="30"/>
        </w:rPr>
        <w:t>之和；</w:t>
      </w:r>
    </w:p>
    <w:p>
      <w:pPr>
        <w:pStyle w:val="7"/>
        <w:widowControl/>
        <w:numPr>
          <w:ilvl w:val="0"/>
          <w:numId w:val="5"/>
        </w:numPr>
        <w:snapToGrid/>
        <w:spacing w:line="360" w:lineRule="auto"/>
        <w:ind w:firstLineChars="0"/>
        <w:jc w:val="left"/>
        <w:rPr>
          <w:rFonts w:hint="eastAsia" w:hAnsi="仿宋"/>
          <w:sz w:val="30"/>
          <w:szCs w:val="30"/>
        </w:rPr>
      </w:pPr>
      <w:r>
        <w:rPr>
          <w:rFonts w:hAnsi="仿宋"/>
          <w:sz w:val="30"/>
          <w:szCs w:val="30"/>
        </w:rPr>
        <w:t>水文基础设施（33行）等于水文站（34行）、水位站（35行）、雨量站（36行）、其他水文测站（37行）</w:t>
      </w:r>
      <w:r>
        <w:rPr>
          <w:rFonts w:hint="eastAsia" w:hAnsi="仿宋"/>
          <w:sz w:val="30"/>
          <w:szCs w:val="30"/>
        </w:rPr>
        <w:t>各项之和；</w:t>
      </w:r>
    </w:p>
    <w:p>
      <w:pPr>
        <w:pStyle w:val="7"/>
        <w:widowControl/>
        <w:numPr>
          <w:ilvl w:val="0"/>
          <w:numId w:val="5"/>
        </w:numPr>
        <w:snapToGrid/>
        <w:spacing w:line="360" w:lineRule="auto"/>
        <w:ind w:firstLineChars="0"/>
        <w:jc w:val="left"/>
        <w:rPr>
          <w:rFonts w:hint="eastAsia" w:hAnsi="仿宋"/>
          <w:sz w:val="30"/>
          <w:szCs w:val="30"/>
        </w:rPr>
      </w:pPr>
      <w:r>
        <w:rPr>
          <w:rFonts w:hint="eastAsia" w:hAnsi="仿宋"/>
          <w:sz w:val="30"/>
          <w:szCs w:val="30"/>
        </w:rPr>
        <w:t>负有管理维护职责数量（1栏）</w:t>
      </w:r>
      <w:r>
        <w:rPr>
          <w:rFonts w:hint="eastAsia"/>
          <w:sz w:val="30"/>
          <w:szCs w:val="30"/>
        </w:rPr>
        <w:t>大于等于</w:t>
      </w:r>
      <w:r>
        <w:rPr>
          <w:rFonts w:hAnsi="仿宋"/>
          <w:sz w:val="30"/>
          <w:szCs w:val="30"/>
        </w:rPr>
        <w:t>数量（2栏）</w:t>
      </w:r>
      <w:r>
        <w:rPr>
          <w:rFonts w:hint="eastAsia" w:hAnsi="仿宋"/>
          <w:sz w:val="30"/>
          <w:szCs w:val="30"/>
        </w:rPr>
        <w:t>；</w:t>
      </w:r>
    </w:p>
    <w:p>
      <w:pPr>
        <w:pStyle w:val="7"/>
        <w:widowControl/>
        <w:numPr>
          <w:ilvl w:val="0"/>
          <w:numId w:val="5"/>
        </w:numPr>
        <w:snapToGrid/>
        <w:spacing w:line="360" w:lineRule="auto"/>
        <w:ind w:firstLineChars="0"/>
        <w:jc w:val="left"/>
        <w:rPr>
          <w:rFonts w:hint="eastAsia" w:hAnsi="仿宋"/>
          <w:sz w:val="30"/>
          <w:szCs w:val="30"/>
        </w:rPr>
      </w:pPr>
      <w:r>
        <w:rPr>
          <w:rFonts w:hAnsi="仿宋"/>
          <w:sz w:val="30"/>
          <w:szCs w:val="30"/>
        </w:rPr>
        <w:t>负有管理维护职责数量（6栏）</w:t>
      </w:r>
      <w:r>
        <w:rPr>
          <w:rFonts w:hint="eastAsia"/>
          <w:sz w:val="30"/>
          <w:szCs w:val="30"/>
        </w:rPr>
        <w:t>大于等于</w:t>
      </w:r>
      <w:r>
        <w:rPr>
          <w:rFonts w:hAnsi="仿宋"/>
          <w:sz w:val="30"/>
          <w:szCs w:val="30"/>
        </w:rPr>
        <w:t>数量（7栏）</w:t>
      </w:r>
      <w:r>
        <w:rPr>
          <w:rFonts w:hint="eastAsia" w:hAnsi="仿宋"/>
          <w:sz w:val="30"/>
          <w:szCs w:val="30"/>
        </w:rPr>
        <w:t>；</w:t>
      </w:r>
    </w:p>
    <w:p>
      <w:pPr>
        <w:pStyle w:val="7"/>
        <w:widowControl/>
        <w:numPr>
          <w:ilvl w:val="0"/>
          <w:numId w:val="5"/>
        </w:numPr>
        <w:snapToGrid/>
        <w:spacing w:line="360" w:lineRule="auto"/>
        <w:ind w:firstLineChars="0"/>
        <w:jc w:val="left"/>
        <w:rPr>
          <w:rFonts w:hint="eastAsia" w:hAnsi="仿宋"/>
          <w:sz w:val="30"/>
          <w:szCs w:val="30"/>
        </w:rPr>
      </w:pPr>
      <w:r>
        <w:rPr>
          <w:rFonts w:hAnsi="仿宋"/>
          <w:sz w:val="30"/>
          <w:szCs w:val="30"/>
        </w:rPr>
        <w:t>净值（5栏）等于</w:t>
      </w:r>
      <w:r>
        <w:rPr>
          <w:rFonts w:hint="eastAsia" w:hAnsi="仿宋"/>
          <w:sz w:val="30"/>
          <w:szCs w:val="30"/>
        </w:rPr>
        <w:t>原值</w:t>
      </w:r>
      <w:r>
        <w:rPr>
          <w:rFonts w:hAnsi="仿宋"/>
          <w:sz w:val="30"/>
          <w:szCs w:val="30"/>
        </w:rPr>
        <w:t>（</w:t>
      </w:r>
      <w:r>
        <w:rPr>
          <w:rFonts w:hint="eastAsia" w:hAnsi="仿宋"/>
          <w:sz w:val="30"/>
          <w:szCs w:val="30"/>
        </w:rPr>
        <w:t>3栏</w:t>
      </w:r>
      <w:r>
        <w:rPr>
          <w:rFonts w:hAnsi="仿宋"/>
          <w:sz w:val="30"/>
          <w:szCs w:val="30"/>
        </w:rPr>
        <w:t>）</w:t>
      </w:r>
      <w:r>
        <w:rPr>
          <w:rFonts w:hint="eastAsia" w:hAnsi="仿宋"/>
          <w:sz w:val="30"/>
          <w:szCs w:val="30"/>
        </w:rPr>
        <w:t>、累计折旧/摊销</w:t>
      </w:r>
      <w:r>
        <w:rPr>
          <w:rFonts w:hAnsi="仿宋"/>
          <w:sz w:val="30"/>
          <w:szCs w:val="30"/>
        </w:rPr>
        <w:t>（4</w:t>
      </w:r>
      <w:r>
        <w:rPr>
          <w:rFonts w:hint="eastAsia" w:hAnsi="仿宋"/>
          <w:sz w:val="30"/>
          <w:szCs w:val="30"/>
        </w:rPr>
        <w:t>栏</w:t>
      </w:r>
      <w:r>
        <w:rPr>
          <w:rFonts w:hAnsi="仿宋"/>
          <w:sz w:val="30"/>
          <w:szCs w:val="30"/>
        </w:rPr>
        <w:t>）</w:t>
      </w:r>
      <w:r>
        <w:rPr>
          <w:rFonts w:hint="eastAsia" w:hAnsi="仿宋"/>
          <w:sz w:val="30"/>
          <w:szCs w:val="30"/>
        </w:rPr>
        <w:t>之差；</w:t>
      </w:r>
    </w:p>
    <w:p>
      <w:pPr>
        <w:pStyle w:val="7"/>
        <w:widowControl/>
        <w:numPr>
          <w:ilvl w:val="0"/>
          <w:numId w:val="5"/>
        </w:numPr>
        <w:snapToGrid/>
        <w:spacing w:line="360" w:lineRule="auto"/>
        <w:ind w:firstLineChars="0"/>
        <w:jc w:val="left"/>
        <w:rPr>
          <w:rFonts w:hint="eastAsia" w:hAnsi="仿宋"/>
          <w:sz w:val="30"/>
          <w:szCs w:val="30"/>
        </w:rPr>
      </w:pPr>
      <w:r>
        <w:rPr>
          <w:rFonts w:hAnsi="仿宋"/>
          <w:sz w:val="30"/>
          <w:szCs w:val="30"/>
        </w:rPr>
        <w:t>净值（10栏）等于</w:t>
      </w:r>
      <w:r>
        <w:rPr>
          <w:rFonts w:hint="eastAsia" w:hAnsi="仿宋"/>
          <w:sz w:val="30"/>
          <w:szCs w:val="30"/>
        </w:rPr>
        <w:t>原值</w:t>
      </w:r>
      <w:r>
        <w:rPr>
          <w:rFonts w:hAnsi="仿宋"/>
          <w:sz w:val="30"/>
          <w:szCs w:val="30"/>
        </w:rPr>
        <w:t>（8</w:t>
      </w:r>
      <w:r>
        <w:rPr>
          <w:rFonts w:hint="eastAsia" w:hAnsi="仿宋"/>
          <w:sz w:val="30"/>
          <w:szCs w:val="30"/>
        </w:rPr>
        <w:t>栏</w:t>
      </w:r>
      <w:r>
        <w:rPr>
          <w:rFonts w:hAnsi="仿宋"/>
          <w:sz w:val="30"/>
          <w:szCs w:val="30"/>
        </w:rPr>
        <w:t>）</w:t>
      </w:r>
      <w:r>
        <w:rPr>
          <w:rFonts w:hint="eastAsia" w:hAnsi="仿宋"/>
          <w:sz w:val="30"/>
          <w:szCs w:val="30"/>
        </w:rPr>
        <w:t>、累计折旧/摊销</w:t>
      </w:r>
      <w:r>
        <w:rPr>
          <w:rFonts w:hAnsi="仿宋"/>
          <w:sz w:val="30"/>
          <w:szCs w:val="30"/>
        </w:rPr>
        <w:t>（9</w:t>
      </w:r>
      <w:r>
        <w:rPr>
          <w:rFonts w:hint="eastAsia" w:hAnsi="仿宋"/>
          <w:sz w:val="30"/>
          <w:szCs w:val="30"/>
        </w:rPr>
        <w:t>栏</w:t>
      </w:r>
      <w:r>
        <w:rPr>
          <w:rFonts w:hAnsi="仿宋"/>
          <w:sz w:val="30"/>
          <w:szCs w:val="30"/>
        </w:rPr>
        <w:t>）</w:t>
      </w:r>
      <w:r>
        <w:rPr>
          <w:rFonts w:hint="eastAsia" w:hAnsi="仿宋"/>
          <w:sz w:val="30"/>
          <w:szCs w:val="30"/>
        </w:rPr>
        <w:t>之差；</w:t>
      </w:r>
    </w:p>
    <w:p>
      <w:pPr>
        <w:pStyle w:val="7"/>
        <w:widowControl/>
        <w:numPr>
          <w:ilvl w:val="0"/>
          <w:numId w:val="5"/>
        </w:numPr>
        <w:snapToGrid/>
        <w:spacing w:line="360" w:lineRule="auto"/>
        <w:ind w:firstLineChars="0"/>
        <w:jc w:val="left"/>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5"/>
        </w:numPr>
        <w:spacing w:line="360" w:lineRule="auto"/>
        <w:ind w:firstLineChars="0"/>
        <w:rPr>
          <w:rFonts w:hint="eastAsia" w:hAnsi="仿宋"/>
          <w:sz w:val="30"/>
          <w:szCs w:val="30"/>
        </w:rPr>
      </w:pPr>
      <w:r>
        <w:rPr>
          <w:rFonts w:hint="eastAsia" w:hAnsi="仿宋"/>
          <w:sz w:val="30"/>
          <w:szCs w:val="30"/>
        </w:rPr>
        <w:t>如果数量（2、7栏）大于</w:t>
      </w:r>
      <w:r>
        <w:rPr>
          <w:rFonts w:hAnsi="仿宋"/>
          <w:sz w:val="30"/>
          <w:szCs w:val="30"/>
        </w:rPr>
        <w:t>0,</w:t>
      </w:r>
      <w:r>
        <w:rPr>
          <w:rFonts w:hint="eastAsia" w:hAnsi="仿宋"/>
          <w:sz w:val="30"/>
          <w:szCs w:val="30"/>
        </w:rPr>
        <w:t>则价值（3、8栏）大于</w:t>
      </w:r>
      <w:r>
        <w:rPr>
          <w:rFonts w:hAnsi="仿宋"/>
          <w:sz w:val="30"/>
          <w:szCs w:val="30"/>
        </w:rPr>
        <w:t>0</w:t>
      </w:r>
      <w:r>
        <w:rPr>
          <w:rFonts w:hint="eastAsia" w:hAnsi="仿宋"/>
          <w:sz w:val="30"/>
          <w:szCs w:val="30"/>
        </w:rPr>
        <w:t>；</w:t>
      </w:r>
    </w:p>
    <w:p>
      <w:pPr>
        <w:pStyle w:val="7"/>
        <w:numPr>
          <w:ilvl w:val="0"/>
          <w:numId w:val="5"/>
        </w:numPr>
        <w:spacing w:line="360" w:lineRule="auto"/>
        <w:ind w:firstLineChars="0"/>
        <w:rPr>
          <w:rFonts w:hint="eastAsia" w:hAnsi="仿宋"/>
          <w:sz w:val="30"/>
          <w:szCs w:val="30"/>
        </w:rPr>
      </w:pPr>
      <w:r>
        <w:rPr>
          <w:rFonts w:hint="eastAsia" w:hAnsi="仿宋"/>
          <w:sz w:val="30"/>
          <w:szCs w:val="30"/>
        </w:rPr>
        <w:t>如果价值（3、8栏）大于</w:t>
      </w:r>
      <w:r>
        <w:rPr>
          <w:rFonts w:hAnsi="仿宋"/>
          <w:sz w:val="30"/>
          <w:szCs w:val="30"/>
        </w:rPr>
        <w:t>0,</w:t>
      </w:r>
      <w:r>
        <w:rPr>
          <w:rFonts w:hint="eastAsia" w:hAnsi="仿宋"/>
          <w:sz w:val="30"/>
          <w:szCs w:val="30"/>
        </w:rPr>
        <w:t>则数量（2、7栏）大于</w:t>
      </w:r>
      <w:r>
        <w:rPr>
          <w:rFonts w:hAnsi="仿宋"/>
          <w:sz w:val="30"/>
          <w:szCs w:val="30"/>
        </w:rPr>
        <w:t>0</w:t>
      </w:r>
      <w:r>
        <w:rPr>
          <w:rFonts w:hint="eastAsia" w:hAnsi="仿宋"/>
          <w:sz w:val="30"/>
          <w:szCs w:val="30"/>
        </w:rPr>
        <w:t>；</w:t>
      </w:r>
    </w:p>
    <w:p>
      <w:pPr>
        <w:pStyle w:val="7"/>
        <w:numPr>
          <w:ilvl w:val="0"/>
          <w:numId w:val="5"/>
        </w:numPr>
        <w:spacing w:line="360" w:lineRule="auto"/>
        <w:ind w:firstLineChars="0"/>
        <w:rPr>
          <w:rFonts w:hint="eastAsia" w:hAnsi="仿宋"/>
          <w:sz w:val="30"/>
          <w:szCs w:val="30"/>
        </w:rPr>
      </w:pPr>
      <w:r>
        <w:rPr>
          <w:rFonts w:hAnsi="仿宋"/>
          <w:sz w:val="30"/>
          <w:szCs w:val="30"/>
        </w:rPr>
        <w:t>（如情况存在，请提供说明）：期初账面数应等于上年财资12-2表期末账面数</w:t>
      </w:r>
      <w:r>
        <w:rPr>
          <w:rFonts w:hint="eastAsia" w:hAnsi="仿宋"/>
          <w:sz w:val="30"/>
          <w:szCs w:val="30"/>
        </w:rPr>
        <w:t>，否则提示核实性错误，需填写说明</w:t>
      </w:r>
      <w:r>
        <w:rPr>
          <w:rFonts w:hAnsi="仿宋"/>
          <w:sz w:val="30"/>
          <w:szCs w:val="30"/>
        </w:rPr>
        <w:t>；</w:t>
      </w:r>
    </w:p>
    <w:p>
      <w:pPr>
        <w:pStyle w:val="7"/>
        <w:numPr>
          <w:ilvl w:val="0"/>
          <w:numId w:val="5"/>
        </w:numPr>
        <w:spacing w:line="360" w:lineRule="auto"/>
        <w:ind w:firstLineChars="0"/>
        <w:rPr>
          <w:rFonts w:hint="eastAsia" w:hAnsi="仿宋"/>
          <w:sz w:val="30"/>
          <w:szCs w:val="30"/>
        </w:rPr>
      </w:pPr>
      <w:r>
        <w:rPr>
          <w:rFonts w:hint="eastAsia" w:hAnsi="仿宋"/>
          <w:sz w:val="30"/>
          <w:szCs w:val="30"/>
        </w:rPr>
        <w:t>堤防（3行）负有管理维护职责数量（6栏）应小于等于5000，否则提示核实性错误，需结合实际情况修改或填写情况说明；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int="eastAsia" w:hAnsi="仿宋"/>
          <w:sz w:val="30"/>
          <w:szCs w:val="30"/>
        </w:rPr>
        <w:t>泵站（7行、12行、21行）负有管理维护职责数量（6栏）应小于等于5000，否则提示核实性错误，需结合实际情况修改或填写情况说明；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int="eastAsia" w:hAnsi="仿宋"/>
          <w:sz w:val="30"/>
          <w:szCs w:val="30"/>
        </w:rPr>
        <w:t>水闸（6行、13行、22行）负有管理维护职责数量（6栏）应小于等于5000，否则提示核实性错误，需结合实际情况修改或填写情况说明；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int="eastAsia" w:hAnsi="仿宋"/>
          <w:sz w:val="30"/>
          <w:szCs w:val="30"/>
        </w:rPr>
        <w:t>险工工程（4行）负有管理维护职责数量（6栏）应小于等于500，否则提示核实性错误，需结合实际情况修改或填写情况说明；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int="eastAsia" w:hAnsi="仿宋"/>
          <w:sz w:val="30"/>
          <w:szCs w:val="30"/>
        </w:rPr>
        <w:t>渠（管、隧）道（8行、11行、20行）负有管理维护职责数量（6栏）应小于等于20000，否则提示核实性错误，需结合实际情况修改或填写情况说明；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Ansi="仿宋"/>
          <w:sz w:val="30"/>
          <w:szCs w:val="30"/>
        </w:rPr>
        <w:t>水文站（34行）</w:t>
      </w:r>
      <w:r>
        <w:rPr>
          <w:rFonts w:hint="eastAsia" w:hAnsi="仿宋"/>
          <w:sz w:val="30"/>
          <w:szCs w:val="30"/>
        </w:rPr>
        <w:t>负有管理维护职责数量（6栏）应小于等于1000，否则提示核实性错误，需结合实际情况修改或填写情况说明。</w:t>
      </w:r>
    </w:p>
    <w:p>
      <w:pPr>
        <w:pStyle w:val="2"/>
        <w:rPr>
          <w:rFonts w:hint="eastAsia"/>
          <w:b/>
          <w:color w:val="auto"/>
        </w:rPr>
      </w:pPr>
      <w:r>
        <w:rPr>
          <w:rFonts w:hint="eastAsia"/>
          <w:color w:val="auto"/>
        </w:rPr>
        <w:t>（十五）公共基础设施-市政基础设施情况表（财资1</w:t>
      </w:r>
      <w:r>
        <w:rPr>
          <w:color w:val="auto"/>
        </w:rPr>
        <w:t>2</w:t>
      </w:r>
      <w:r>
        <w:rPr>
          <w:rFonts w:hint="eastAsia"/>
          <w:color w:val="auto"/>
        </w:rPr>
        <w:t>-</w:t>
      </w:r>
      <w:r>
        <w:rPr>
          <w:color w:val="auto"/>
        </w:rPr>
        <w:t>3</w:t>
      </w:r>
      <w:r>
        <w:rPr>
          <w:rFonts w:hint="eastAsia"/>
          <w:color w:val="auto"/>
        </w:rPr>
        <w:t>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本表反映行政事业单位负有管理维护职责的市政基础设施期初、期末资产数量和已按政府会计准则制度规定登记入账的资产数量、账面价值。</w:t>
      </w:r>
      <w:r>
        <w:rPr>
          <w:rFonts w:hint="eastAsia" w:ascii="仿宋_GB2312" w:hAnsi="仿宋" w:eastAsia="仿宋_GB2312"/>
          <w:sz w:val="30"/>
          <w:szCs w:val="30"/>
        </w:rPr>
        <w:t>由涉及市政基础设施的相关部门依据财务账、资产台账等手工填报。“负有管理维护职责数量”指标应按照《政府会计准则5号——公共基础设施》相关规定，填写填报单位应当予以确认的资产数量。</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根据《财政部 住房城乡建设部 工业和信息化部 公安部 交通运输部 水利部关于进一步加强市政基础设施政府会计核算的通知》的相关规定，市政基础设施按照功能及特征，分为交通设施、供排水设施、能源设施、环卫设施、园林绿化设施、综合类设施、信息通信设施和其他市政设施。本报表填报主体一般为：住房和城乡建设等相关部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以下不属于市政基础设施范畴：</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（1）独立于市政基础设施、不构成市政基础设施使用不可缺少组成部分的管理用房屋建筑物、设备、车辆和船只等。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（2）图书馆、博物馆、文化馆（站）、美术馆、科技馆、纪念馆、体育场馆等用于提供公共文化服务的建筑物、场地、设备。</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已按照《关于进一步加强公路水路公共基础设施政府会计核算的通知》（财会〔2020〕23号）、《关于进一步加强水利基础设施政府会计核算的通知》（财会〔2021〕29号）规定，确认为公路水路、水利基础设施的资产。但是，有关公路水路、水利基础设施随着城镇发展变更为市政基础设施的除外。</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（4）不再提供公共产品和服务的市政基础设施。</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（5）由企业控制、按照企业会计准则制度进行核算的市政基础设施。</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1.市政</w:t>
      </w:r>
      <w:r>
        <w:rPr>
          <w:rFonts w:hint="eastAsia" w:ascii="仿宋_GB2312" w:hAnsi="仿宋_GB2312" w:eastAsia="仿宋_GB2312" w:cs="仿宋_GB2312"/>
          <w:spacing w:val="-2"/>
          <w:sz w:val="30"/>
          <w:szCs w:val="30"/>
        </w:rPr>
        <w:t>交通设施：包括城市道路、城市桥梁、城市隧道、城市公共汽电车客运服务设施、城市客运轮渡设施、城市轨道交通设施等</w:t>
      </w:r>
      <w:r>
        <w:rPr>
          <w:rFonts w:hint="eastAsia" w:ascii="仿宋_GB2312" w:hAnsi="仿宋_GB2312" w:eastAsia="仿宋_GB2312" w:cs="仿宋_GB2312"/>
          <w:sz w:val="30"/>
          <w:szCs w:val="30"/>
        </w:rPr>
        <w:t>。</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（1）城市道路包括道路、交通安全管理设施、交通安全防护设施。其中：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交通安全管理设施包括城市内交通信号设施、交通监控系统、交通岗亭、视线诱导设施等；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交通安全防护设施包括城市内护栏或防撞设施、防眩设施、防护栅、防落物网、声屏障、交通岛等；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（2）城市桥梁包括桥梁、交通安全管理设施、交通安全防护设施。其中：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桥梁（含人行天桥）包括城市内梁式桥、拱式桥、钢构桥、悬索桥、斜拉桥、其他桥等；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（3）城市隧道包括隧道、交通安全管理设施、交通安全防护设施、通风设施、防冻设施、消音设施。</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（4）城市公共汽电车客运服务设施包括公交场站、电车触线网、整流站、加油（气）站、电动公交车充电设施。其中：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公交场站包括站台、站牌、候车亭、站务用房、停车场、保养场和监控系统等；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（5）城市客运轮渡设施包括码头、道路（引道）、标志牌。</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城市轨道交通设施包括轨道、区间设施、车站、通信设施、供电设施、信号系统设备、综合监控系统、火灾自动报警系统、环境与设备监控系统、安防及门禁系统、通风、空调与供暖、自动售票检票系统、站内客运设施、车辆基地。其中：</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区间设施包括隧道、桥涵、路基和其他区间设施等；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车站包括高架车站、地面车站和地下车站。</w:t>
      </w:r>
    </w:p>
    <w:p>
      <w:pPr>
        <w:snapToGrid w:val="0"/>
        <w:spacing w:line="360" w:lineRule="auto"/>
        <w:ind w:firstLine="600"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z w:val="30"/>
          <w:szCs w:val="30"/>
        </w:rPr>
        <w:t>2.市政供排水设施：</w:t>
      </w:r>
      <w:bookmarkStart w:id="17" w:name="_Hlk177045034"/>
      <w:r>
        <w:rPr>
          <w:rFonts w:hint="eastAsia" w:ascii="仿宋_GB2312" w:hAnsi="仿宋_GB2312" w:eastAsia="仿宋_GB2312" w:cs="仿宋_GB2312"/>
          <w:sz w:val="30"/>
          <w:szCs w:val="30"/>
        </w:rPr>
        <w:t>包括</w:t>
      </w:r>
      <w:bookmarkEnd w:id="17"/>
      <w:r>
        <w:rPr>
          <w:rFonts w:hint="eastAsia" w:ascii="仿宋_GB2312" w:hAnsi="仿宋_GB2312" w:eastAsia="仿宋_GB2312" w:cs="仿宋_GB2312"/>
          <w:sz w:val="30"/>
          <w:szCs w:val="30"/>
        </w:rPr>
        <w:t>城市供水设施、城市排水和</w:t>
      </w:r>
      <w:r>
        <w:rPr>
          <w:rFonts w:hint="eastAsia" w:ascii="仿宋_GB2312" w:hAnsi="仿宋_GB2312" w:eastAsia="仿宋_GB2312" w:cs="仿宋_GB2312"/>
          <w:spacing w:val="-2"/>
          <w:sz w:val="30"/>
          <w:szCs w:val="30"/>
        </w:rPr>
        <w:t>污水处理设施等。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（1）城市供水设施包括取水工程、供水厂（站）、加压泵站、给水管网。其中：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取水工程包括地下水取水构筑物和地表水取水构筑物；</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给水管网包括输配水工程和附属设施；</w:t>
      </w:r>
    </w:p>
    <w:p>
      <w:pPr>
        <w:numPr>
          <w:ilvl w:val="0"/>
          <w:numId w:val="11"/>
        </w:num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城市排水和污水处理设施包括路基、桥面、隧道排水设施、排水管网、排水泵站、污水处理厂（站）、再生水管网、再生水处理厂、污泥处理厂。其中：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路基、桥面、隧道排水设施包括管道、偏沟、雨水口、连接管、边沟、排水沟、载水沟、急流槽和涵洞等；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排水管网包括雨水管网、污水管网、雨污合流管网和调蓄设施等；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排水泵站包括雨水泵站、污水泵站和合流污水泵站等；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污水处理厂（站）包括建（构）筑物、污水处理设备、污泥处理设备、附属工程设施；</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污泥处理厂包括建筑物、污泥处理设施、附属工程设施等。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3.市政能源设施：包括城市燃气设施、集中供热设施、其他能源设施等。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（1）城市燃气设施包括燃气厂站、供气管网。其中：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燃气厂站包括天然气厂站、液化石油气厂站、人工煤气厂站和其他燃气厂站；</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供气管网包括天然气管网、液化石油气管网、人工煤气管网和其他燃气管网。</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（2）集中供热设施包括热源厂、供热管网、厂站。</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4.市政环卫设施：包括垃圾收运处理设施、公共厕所等。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（1）垃圾收运处理设施包括生活垃圾收运处理设施、建筑垃圾收运处理设施等。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生活垃圾收运处理设施包括生活垃圾收集设施、生活垃圾转运设施和生活垃圾处理设施；</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建筑垃圾收运处理设施包括转运调配场、建筑垃圾处理设施等。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（2）公共厕所包括固定式公共厕所和活动式公共厕所等。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5.市政园林绿化设施：包括公园绿地、广场用地、防护绿地、附属绿地、其他园林绿化设施等。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（1）公园绿地包括绿化工程、园林附属工程。其中：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园林附属工程包括园路与广场铺装工程、道路工程、游憩设施及建筑物、园林构筑物、景观水体和其他设施等。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（2）广场用地包括绿化工程、园林附属工程。</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（3）防护绿地包括道路防护绿地、公用设施防护绿地。其中：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公用设施防护绿地包括能源设施防护绿地和环卫设施防护绿地等。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（4）附属绿地包括道路绿化、环卫设施用地内附属绿地。其中：</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道路绿化包括道路绿带和交通岛绿地等。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6.市政综合类设施：包括地下综合管廊、其他综合类设施等。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地下综合管廊包括管廊本体、供电设施、通风设施、监控与报警系统、管廊信息系统。</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7.市政信息通信设施：包括信息基础设施、其他信息通信设施等。</w:t>
      </w:r>
    </w:p>
    <w:p>
      <w:pPr>
        <w:snapToGrid w:val="0"/>
        <w:spacing w:line="360" w:lineRule="auto"/>
        <w:ind w:firstLine="592" w:firstLineChars="200"/>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信息基础设施包括数据中心和系统智能计算中心等。</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pacing w:val="-2"/>
          <w:sz w:val="30"/>
          <w:szCs w:val="30"/>
        </w:rPr>
        <w:t>其他市政设施：包括城市照明设施、公共停车场设施和其他设施等</w:t>
      </w:r>
      <w:r>
        <w:rPr>
          <w:rFonts w:hint="eastAsia" w:ascii="仿宋_GB2312" w:hAnsi="仿宋_GB2312" w:eastAsia="仿宋_GB2312" w:cs="仿宋_GB2312"/>
          <w:sz w:val="30"/>
          <w:szCs w:val="30"/>
        </w:rPr>
        <w:t>。</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（1）城市照明设施包括功能照明、景观照明。</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（2）公共停车场设施包括停车基本设施、建筑设备、管理设施、安全防护与环境保护设施。</w:t>
      </w:r>
    </w:p>
    <w:p>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市政基础设施涉及土地使用权的，应当根据资产管理需要在相关类别市政基础设施下单独反映土地使用权。</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合计（1行）等于市政交通设施（2行）</w:t>
      </w:r>
      <w:r>
        <w:rPr>
          <w:rFonts w:ascii="仿宋_GB2312" w:hAnsi="Calibri" w:eastAsia="仿宋_GB2312"/>
          <w:sz w:val="30"/>
          <w:szCs w:val="30"/>
        </w:rPr>
        <w:t>、</w:t>
      </w:r>
      <w:r>
        <w:rPr>
          <w:rFonts w:hint="eastAsia" w:ascii="仿宋_GB2312" w:hAnsi="Calibri" w:eastAsia="仿宋_GB2312"/>
          <w:sz w:val="30"/>
          <w:szCs w:val="30"/>
        </w:rPr>
        <w:t>市政供排水设施（24行）</w:t>
      </w:r>
      <w:r>
        <w:rPr>
          <w:rFonts w:ascii="仿宋_GB2312" w:hAnsi="Calibri" w:eastAsia="仿宋_GB2312"/>
          <w:sz w:val="30"/>
          <w:szCs w:val="30"/>
        </w:rPr>
        <w:t>、</w:t>
      </w:r>
      <w:r>
        <w:rPr>
          <w:rFonts w:hint="eastAsia" w:ascii="仿宋_GB2312" w:hAnsi="Calibri" w:eastAsia="仿宋_GB2312"/>
          <w:sz w:val="30"/>
          <w:szCs w:val="30"/>
        </w:rPr>
        <w:t>市政能源设施（34行）</w:t>
      </w:r>
      <w:r>
        <w:rPr>
          <w:rFonts w:ascii="仿宋_GB2312" w:hAnsi="Calibri" w:eastAsia="仿宋_GB2312"/>
          <w:sz w:val="30"/>
          <w:szCs w:val="30"/>
        </w:rPr>
        <w:t>、</w:t>
      </w:r>
      <w:r>
        <w:rPr>
          <w:rFonts w:hint="eastAsia" w:ascii="仿宋_GB2312" w:hAnsi="Calibri" w:eastAsia="仿宋_GB2312"/>
          <w:sz w:val="30"/>
          <w:szCs w:val="30"/>
        </w:rPr>
        <w:t>市政环卫设施（39行）</w:t>
      </w:r>
      <w:r>
        <w:rPr>
          <w:rFonts w:ascii="仿宋_GB2312" w:hAnsi="Calibri" w:eastAsia="仿宋_GB2312"/>
          <w:sz w:val="30"/>
          <w:szCs w:val="30"/>
        </w:rPr>
        <w:t>、</w:t>
      </w:r>
      <w:r>
        <w:rPr>
          <w:rFonts w:hint="eastAsia" w:ascii="仿宋_GB2312" w:hAnsi="Calibri" w:eastAsia="仿宋_GB2312"/>
          <w:sz w:val="30"/>
          <w:szCs w:val="30"/>
        </w:rPr>
        <w:t>市政园林绿化设施（42行）</w:t>
      </w:r>
      <w:r>
        <w:rPr>
          <w:rFonts w:ascii="仿宋_GB2312" w:hAnsi="Calibri" w:eastAsia="仿宋_GB2312"/>
          <w:sz w:val="30"/>
          <w:szCs w:val="30"/>
        </w:rPr>
        <w:t>、</w:t>
      </w:r>
      <w:r>
        <w:rPr>
          <w:rFonts w:hint="eastAsia" w:ascii="仿宋_GB2312" w:hAnsi="Calibri" w:eastAsia="仿宋_GB2312"/>
          <w:sz w:val="30"/>
          <w:szCs w:val="30"/>
        </w:rPr>
        <w:t>市政综合类设施（56行）</w:t>
      </w:r>
      <w:r>
        <w:rPr>
          <w:rFonts w:ascii="仿宋_GB2312" w:hAnsi="Calibri" w:eastAsia="仿宋_GB2312"/>
          <w:sz w:val="30"/>
          <w:szCs w:val="30"/>
        </w:rPr>
        <w:t>、</w:t>
      </w:r>
      <w:r>
        <w:rPr>
          <w:rFonts w:hint="eastAsia" w:ascii="仿宋_GB2312" w:hAnsi="Calibri" w:eastAsia="仿宋_GB2312"/>
          <w:sz w:val="30"/>
          <w:szCs w:val="30"/>
        </w:rPr>
        <w:t>市政信息通信设施（60行）</w:t>
      </w:r>
      <w:r>
        <w:rPr>
          <w:rFonts w:ascii="仿宋_GB2312" w:hAnsi="Calibri" w:eastAsia="仿宋_GB2312"/>
          <w:sz w:val="30"/>
          <w:szCs w:val="30"/>
        </w:rPr>
        <w:t>、</w:t>
      </w:r>
      <w:r>
        <w:rPr>
          <w:rFonts w:hint="eastAsia" w:ascii="仿宋_GB2312" w:hAnsi="Calibri" w:eastAsia="仿宋_GB2312"/>
          <w:sz w:val="30"/>
          <w:szCs w:val="30"/>
        </w:rPr>
        <w:t>其他市政设施（62行）各项之和</w:t>
      </w:r>
      <w:r>
        <w:rPr>
          <w:rFonts w:ascii="仿宋_GB2312" w:hAnsi="Calibri" w:eastAsia="仿宋_GB2312"/>
          <w:sz w:val="30"/>
          <w:szCs w:val="30"/>
        </w:rPr>
        <w:t>；</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市政交通设施（2行）等于城市道路（3行）</w:t>
      </w:r>
      <w:r>
        <w:rPr>
          <w:rFonts w:ascii="仿宋_GB2312" w:hAnsi="Calibri" w:eastAsia="仿宋_GB2312"/>
          <w:sz w:val="30"/>
          <w:szCs w:val="30"/>
        </w:rPr>
        <w:t>、</w:t>
      </w:r>
      <w:r>
        <w:rPr>
          <w:rFonts w:hint="eastAsia" w:ascii="仿宋_GB2312" w:hAnsi="Calibri" w:eastAsia="仿宋_GB2312"/>
          <w:sz w:val="30"/>
          <w:szCs w:val="30"/>
        </w:rPr>
        <w:t>城市桥梁（</w:t>
      </w:r>
      <w:r>
        <w:rPr>
          <w:rFonts w:ascii="仿宋_GB2312" w:hAnsi="Calibri" w:eastAsia="仿宋_GB2312"/>
          <w:sz w:val="30"/>
          <w:szCs w:val="30"/>
        </w:rPr>
        <w:t>7</w:t>
      </w:r>
      <w:r>
        <w:rPr>
          <w:rFonts w:hint="eastAsia" w:ascii="仿宋_GB2312" w:hAnsi="Calibri" w:eastAsia="仿宋_GB2312"/>
          <w:sz w:val="30"/>
          <w:szCs w:val="30"/>
        </w:rPr>
        <w:t>行）</w:t>
      </w:r>
      <w:r>
        <w:rPr>
          <w:rFonts w:ascii="仿宋_GB2312" w:hAnsi="Calibri" w:eastAsia="仿宋_GB2312"/>
          <w:sz w:val="30"/>
          <w:szCs w:val="30"/>
        </w:rPr>
        <w:t>、城市隧道（11行）、</w:t>
      </w:r>
      <w:r>
        <w:rPr>
          <w:rFonts w:hint="eastAsia" w:ascii="仿宋_GB2312" w:hAnsi="Calibri" w:eastAsia="仿宋_GB2312"/>
          <w:sz w:val="30"/>
          <w:szCs w:val="30"/>
        </w:rPr>
        <w:t>城市公共汽电车客运服务设施（13行）</w:t>
      </w:r>
      <w:r>
        <w:rPr>
          <w:rFonts w:ascii="仿宋_GB2312" w:hAnsi="Calibri" w:eastAsia="仿宋_GB2312"/>
          <w:sz w:val="30"/>
          <w:szCs w:val="30"/>
        </w:rPr>
        <w:t>、</w:t>
      </w:r>
      <w:r>
        <w:rPr>
          <w:rFonts w:hint="eastAsia" w:ascii="仿宋_GB2312" w:hAnsi="Calibri" w:eastAsia="仿宋_GB2312"/>
          <w:sz w:val="30"/>
          <w:szCs w:val="30"/>
        </w:rPr>
        <w:t>城市客运轮渡设施（16行）</w:t>
      </w:r>
      <w:r>
        <w:rPr>
          <w:rFonts w:ascii="仿宋_GB2312" w:hAnsi="Calibri" w:eastAsia="仿宋_GB2312"/>
          <w:sz w:val="30"/>
          <w:szCs w:val="30"/>
        </w:rPr>
        <w:t>、</w:t>
      </w:r>
      <w:r>
        <w:rPr>
          <w:rFonts w:hint="eastAsia" w:ascii="仿宋_GB2312" w:hAnsi="Calibri" w:eastAsia="仿宋_GB2312"/>
          <w:sz w:val="30"/>
          <w:szCs w:val="30"/>
        </w:rPr>
        <w:t>城市轨道交通设施（19行）</w:t>
      </w:r>
      <w:r>
        <w:rPr>
          <w:rFonts w:ascii="仿宋_GB2312" w:hAnsi="Calibri" w:eastAsia="仿宋_GB2312"/>
          <w:sz w:val="30"/>
          <w:szCs w:val="30"/>
        </w:rPr>
        <w:t>、</w:t>
      </w:r>
      <w:r>
        <w:rPr>
          <w:rFonts w:hint="eastAsia" w:ascii="仿宋_GB2312" w:hAnsi="Calibri" w:eastAsia="仿宋_GB2312"/>
          <w:sz w:val="30"/>
          <w:szCs w:val="30"/>
        </w:rPr>
        <w:t>其他交通设施（23行）各项之和；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市政供排水设施（24行）</w:t>
      </w:r>
      <w:r>
        <w:rPr>
          <w:rFonts w:ascii="仿宋_GB2312" w:hAnsi="Calibri" w:eastAsia="仿宋_GB2312"/>
          <w:sz w:val="30"/>
          <w:szCs w:val="30"/>
        </w:rPr>
        <w:t xml:space="preserve"> </w:t>
      </w:r>
      <w:r>
        <w:rPr>
          <w:rFonts w:hint="eastAsia" w:ascii="仿宋_GB2312" w:hAnsi="Calibri" w:eastAsia="仿宋_GB2312"/>
          <w:sz w:val="30"/>
          <w:szCs w:val="30"/>
        </w:rPr>
        <w:t>大于等于城市供水设施（25行）</w:t>
      </w:r>
      <w:r>
        <w:rPr>
          <w:rFonts w:ascii="仿宋_GB2312" w:hAnsi="Calibri" w:eastAsia="仿宋_GB2312"/>
          <w:sz w:val="30"/>
          <w:szCs w:val="30"/>
        </w:rPr>
        <w:t>、</w:t>
      </w:r>
      <w:r>
        <w:rPr>
          <w:rFonts w:hint="eastAsia" w:ascii="仿宋_GB2312" w:hAnsi="Calibri" w:eastAsia="仿宋_GB2312"/>
          <w:sz w:val="30"/>
          <w:szCs w:val="30"/>
        </w:rPr>
        <w:t>城市排水和污水处理设施（29行）之和；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市政能源设施（34行）</w:t>
      </w:r>
      <w:r>
        <w:rPr>
          <w:rFonts w:ascii="仿宋_GB2312" w:hAnsi="Calibri" w:eastAsia="仿宋_GB2312"/>
          <w:sz w:val="30"/>
          <w:szCs w:val="30"/>
        </w:rPr>
        <w:t xml:space="preserve"> </w:t>
      </w:r>
      <w:r>
        <w:rPr>
          <w:rFonts w:hint="eastAsia" w:ascii="仿宋_GB2312" w:hAnsi="Calibri" w:eastAsia="仿宋_GB2312"/>
          <w:sz w:val="30"/>
          <w:szCs w:val="30"/>
        </w:rPr>
        <w:t>大于等于城市燃气设施（35行）</w:t>
      </w:r>
      <w:r>
        <w:rPr>
          <w:rFonts w:ascii="仿宋_GB2312" w:hAnsi="Calibri" w:eastAsia="仿宋_GB2312"/>
          <w:sz w:val="30"/>
          <w:szCs w:val="30"/>
        </w:rPr>
        <w:t>、</w:t>
      </w:r>
      <w:r>
        <w:rPr>
          <w:rFonts w:hint="eastAsia" w:ascii="仿宋_GB2312" w:hAnsi="Calibri" w:eastAsia="仿宋_GB2312"/>
          <w:sz w:val="30"/>
          <w:szCs w:val="30"/>
        </w:rPr>
        <w:t>集中供热设施（37行）之和；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市政环卫设施（39行）</w:t>
      </w:r>
      <w:r>
        <w:rPr>
          <w:rFonts w:ascii="仿宋_GB2312" w:hAnsi="Calibri" w:eastAsia="仿宋_GB2312"/>
          <w:sz w:val="30"/>
          <w:szCs w:val="30"/>
        </w:rPr>
        <w:t xml:space="preserve"> </w:t>
      </w:r>
      <w:r>
        <w:rPr>
          <w:rFonts w:hint="eastAsia" w:ascii="仿宋_GB2312" w:hAnsi="Calibri" w:eastAsia="仿宋_GB2312"/>
          <w:sz w:val="30"/>
          <w:szCs w:val="30"/>
        </w:rPr>
        <w:t>大于等于垃圾收运处理设施（40行）</w:t>
      </w:r>
      <w:r>
        <w:rPr>
          <w:rFonts w:ascii="仿宋_GB2312" w:hAnsi="Calibri" w:eastAsia="仿宋_GB2312"/>
          <w:sz w:val="30"/>
          <w:szCs w:val="30"/>
        </w:rPr>
        <w:t>、</w:t>
      </w:r>
      <w:r>
        <w:rPr>
          <w:rFonts w:hint="eastAsia" w:ascii="仿宋_GB2312" w:hAnsi="Calibri" w:eastAsia="仿宋_GB2312"/>
          <w:sz w:val="30"/>
          <w:szCs w:val="30"/>
        </w:rPr>
        <w:t>公共厕所（41行）之和；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市政园林绿化设施（42行）</w:t>
      </w:r>
      <w:r>
        <w:rPr>
          <w:rFonts w:ascii="仿宋_GB2312" w:hAnsi="Calibri" w:eastAsia="仿宋_GB2312"/>
          <w:sz w:val="30"/>
          <w:szCs w:val="30"/>
        </w:rPr>
        <w:t xml:space="preserve"> </w:t>
      </w:r>
      <w:r>
        <w:rPr>
          <w:rFonts w:hint="eastAsia" w:ascii="仿宋_GB2312" w:hAnsi="Calibri" w:eastAsia="仿宋_GB2312"/>
          <w:sz w:val="30"/>
          <w:szCs w:val="30"/>
        </w:rPr>
        <w:t>等于公园绿地（43行）</w:t>
      </w:r>
      <w:r>
        <w:rPr>
          <w:rFonts w:ascii="仿宋_GB2312" w:hAnsi="Calibri" w:eastAsia="仿宋_GB2312"/>
          <w:sz w:val="30"/>
          <w:szCs w:val="30"/>
        </w:rPr>
        <w:t>、</w:t>
      </w:r>
      <w:r>
        <w:rPr>
          <w:rFonts w:hint="eastAsia" w:ascii="仿宋_GB2312" w:hAnsi="Calibri" w:eastAsia="仿宋_GB2312"/>
          <w:sz w:val="30"/>
          <w:szCs w:val="30"/>
        </w:rPr>
        <w:t>广场用地（46行）</w:t>
      </w:r>
      <w:r>
        <w:rPr>
          <w:rFonts w:ascii="仿宋_GB2312" w:hAnsi="Calibri" w:eastAsia="仿宋_GB2312"/>
          <w:sz w:val="30"/>
          <w:szCs w:val="30"/>
        </w:rPr>
        <w:t>、</w:t>
      </w:r>
      <w:r>
        <w:rPr>
          <w:rFonts w:hint="eastAsia" w:ascii="仿宋_GB2312" w:hAnsi="Calibri" w:eastAsia="仿宋_GB2312"/>
          <w:sz w:val="30"/>
          <w:szCs w:val="30"/>
        </w:rPr>
        <w:t>防护绿地（49行）</w:t>
      </w:r>
      <w:r>
        <w:rPr>
          <w:rFonts w:ascii="仿宋_GB2312" w:hAnsi="Calibri" w:eastAsia="仿宋_GB2312"/>
          <w:sz w:val="30"/>
          <w:szCs w:val="30"/>
        </w:rPr>
        <w:t>、</w:t>
      </w:r>
      <w:r>
        <w:rPr>
          <w:rFonts w:hint="eastAsia" w:ascii="仿宋_GB2312" w:hAnsi="Calibri" w:eastAsia="仿宋_GB2312"/>
          <w:sz w:val="30"/>
          <w:szCs w:val="30"/>
        </w:rPr>
        <w:t>附属绿地（52行）</w:t>
      </w:r>
      <w:r>
        <w:rPr>
          <w:rFonts w:ascii="仿宋_GB2312" w:hAnsi="Calibri" w:eastAsia="仿宋_GB2312"/>
          <w:sz w:val="30"/>
          <w:szCs w:val="30"/>
        </w:rPr>
        <w:t>、</w:t>
      </w:r>
      <w:r>
        <w:rPr>
          <w:rFonts w:hint="eastAsia" w:ascii="仿宋_GB2312" w:hAnsi="Calibri" w:eastAsia="仿宋_GB2312"/>
          <w:sz w:val="30"/>
          <w:szCs w:val="30"/>
        </w:rPr>
        <w:t>其他园林绿化设施（55行）各项之和；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市政信息通信设施（60行）大于等于信息基础设施（61行）；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其他市政设施（62行）大于等于城市照明设施（63行）</w:t>
      </w:r>
      <w:r>
        <w:rPr>
          <w:rFonts w:ascii="仿宋_GB2312" w:hAnsi="Calibri" w:eastAsia="仿宋_GB2312"/>
          <w:sz w:val="30"/>
          <w:szCs w:val="30"/>
        </w:rPr>
        <w:t>、</w:t>
      </w:r>
      <w:r>
        <w:rPr>
          <w:rFonts w:hint="eastAsia" w:ascii="仿宋_GB2312" w:hAnsi="Calibri" w:eastAsia="仿宋_GB2312"/>
          <w:sz w:val="30"/>
          <w:szCs w:val="30"/>
        </w:rPr>
        <w:t>公共停车场设施（64行）之和；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城市道路（3行）</w:t>
      </w:r>
      <w:r>
        <w:rPr>
          <w:rFonts w:ascii="仿宋_GB2312" w:hAnsi="Calibri" w:eastAsia="仿宋_GB2312"/>
          <w:sz w:val="30"/>
          <w:szCs w:val="30"/>
        </w:rPr>
        <w:t xml:space="preserve"> </w:t>
      </w:r>
      <w:r>
        <w:rPr>
          <w:rFonts w:hint="eastAsia" w:ascii="仿宋_GB2312" w:hAnsi="Calibri" w:eastAsia="仿宋_GB2312"/>
          <w:sz w:val="30"/>
          <w:szCs w:val="30"/>
        </w:rPr>
        <w:t>等于道路（4行）、交通安全管理设施（5行）、交通安全防护设施（6行）各项之和；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城市桥梁（7行）等于桥梁（</w:t>
      </w:r>
      <w:r>
        <w:rPr>
          <w:rFonts w:ascii="仿宋_GB2312" w:hAnsi="Calibri" w:eastAsia="仿宋_GB2312"/>
          <w:sz w:val="30"/>
          <w:szCs w:val="30"/>
        </w:rPr>
        <w:t>8</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交通安全管理设施（</w:t>
      </w:r>
      <w:r>
        <w:rPr>
          <w:rFonts w:ascii="仿宋_GB2312" w:hAnsi="Calibri" w:eastAsia="仿宋_GB2312"/>
          <w:sz w:val="30"/>
          <w:szCs w:val="30"/>
        </w:rPr>
        <w:t>9</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交通安全防护设施（</w:t>
      </w:r>
      <w:r>
        <w:rPr>
          <w:rFonts w:ascii="仿宋_GB2312" w:hAnsi="Calibri" w:eastAsia="仿宋_GB2312"/>
          <w:sz w:val="30"/>
          <w:szCs w:val="30"/>
        </w:rPr>
        <w:t>10</w:t>
      </w:r>
      <w:r>
        <w:rPr>
          <w:rFonts w:hint="eastAsia" w:ascii="仿宋_GB2312" w:hAnsi="Calibri" w:eastAsia="仿宋_GB2312"/>
          <w:sz w:val="30"/>
          <w:szCs w:val="30"/>
        </w:rPr>
        <w:t>行）之和；</w:t>
      </w:r>
    </w:p>
    <w:p>
      <w:pPr>
        <w:numPr>
          <w:ilvl w:val="0"/>
          <w:numId w:val="5"/>
        </w:numPr>
        <w:spacing w:line="360" w:lineRule="auto"/>
        <w:ind w:left="-151"/>
        <w:rPr>
          <w:rFonts w:ascii="仿宋_GB2312" w:hAnsi="Calibri" w:eastAsia="仿宋_GB2312"/>
          <w:sz w:val="30"/>
          <w:szCs w:val="30"/>
        </w:rPr>
      </w:pPr>
      <w:r>
        <w:rPr>
          <w:rFonts w:ascii="仿宋_GB2312" w:hAnsi="Calibri" w:eastAsia="仿宋_GB2312"/>
          <w:sz w:val="30"/>
          <w:szCs w:val="30"/>
        </w:rPr>
        <w:t xml:space="preserve">城市隧道（11行） </w:t>
      </w:r>
      <w:r>
        <w:rPr>
          <w:rFonts w:hint="eastAsia" w:ascii="仿宋_GB2312" w:hAnsi="Calibri" w:eastAsia="仿宋_GB2312"/>
          <w:sz w:val="30"/>
          <w:szCs w:val="30"/>
        </w:rPr>
        <w:t>大于等于隧道（12行）；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城市公共汽电车客运服务设施（13行）大于等于公交场站（14行）、电车触线网（15行）之和；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城市客运轮渡设施（16行）大于等于码头（17行）、道路（引道）（18行）之和；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城市轨道交通设施（19行）大于等于轨道（20行）、区间设施（21行）、车站（22行）之和；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城市供水设施（25行）大于等于取水工程（26行）、供水厂（站）（27行）、给水管网（28行）之和；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城市排水和污水处理设施（29行）大于等于路基、桥面、隧道排水设施（30行）、排水管网（31行）、排水泵站（32行）、污水处理厂（站）（33行）之和；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城市燃气设施（35行）大于等于供气管网（36行）；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集中供热设施（37行）大于等于供热管网（38行）；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市政环卫设施（39行）大于等于垃圾收运处理设施（40行）、公共厕所（41行）之和；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公园绿地（43行）等于绿化工程（44行）、园林附属工程（45行）之和；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广场用地（46行）等于绿化工程（47行）、园林附属工程（48行）之和；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防护绿地（49行）等于道路防护绿地（50行）、公共设施防护绿地（51行）之和；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附属绿地（52行）等于道路绿化（53行）、环卫设施用地内附属绿地（54行）之和；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市政综合类设施（56行）</w:t>
      </w:r>
      <w:bookmarkStart w:id="18" w:name="_Hlk177050156"/>
      <w:r>
        <w:rPr>
          <w:rFonts w:hint="eastAsia" w:ascii="仿宋_GB2312" w:hAnsi="Calibri" w:eastAsia="仿宋_GB2312"/>
          <w:sz w:val="30"/>
          <w:szCs w:val="30"/>
        </w:rPr>
        <w:t>等于地下综合管廊（57行）、其他综合类设施（59行）之和；</w:t>
      </w:r>
      <w:bookmarkEnd w:id="18"/>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地下综合管廊（57行）大于等于管廊本体（58行）；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市政信息通信设施（60行）大于等于信息基础设施（61行）；</w:t>
      </w:r>
    </w:p>
    <w:p>
      <w:pPr>
        <w:numPr>
          <w:ilvl w:val="0"/>
          <w:numId w:val="5"/>
        </w:numPr>
        <w:spacing w:line="360" w:lineRule="auto"/>
        <w:ind w:left="-151"/>
        <w:rPr>
          <w:rFonts w:ascii="仿宋_GB2312" w:hAnsi="Calibri" w:eastAsia="仿宋_GB2312"/>
          <w:sz w:val="30"/>
          <w:szCs w:val="30"/>
        </w:rPr>
      </w:pPr>
      <w:r>
        <w:rPr>
          <w:rFonts w:hint="eastAsia" w:ascii="仿宋_GB2312" w:hAnsi="Calibri" w:eastAsia="仿宋_GB2312"/>
          <w:sz w:val="30"/>
          <w:szCs w:val="30"/>
        </w:rPr>
        <w:t>公共停车场设施（64行）大于等于停车基本设施（6</w:t>
      </w:r>
      <w:r>
        <w:rPr>
          <w:rFonts w:ascii="仿宋_GB2312" w:hAnsi="Calibri" w:eastAsia="仿宋_GB2312"/>
          <w:sz w:val="30"/>
          <w:szCs w:val="30"/>
        </w:rPr>
        <w:t>5</w:t>
      </w:r>
      <w:r>
        <w:rPr>
          <w:rFonts w:hint="eastAsia" w:ascii="仿宋_GB2312" w:hAnsi="Calibri" w:eastAsia="仿宋_GB2312"/>
          <w:sz w:val="30"/>
          <w:szCs w:val="30"/>
        </w:rPr>
        <w:t>行）；</w:t>
      </w:r>
    </w:p>
    <w:p>
      <w:pPr>
        <w:numPr>
          <w:ilvl w:val="0"/>
          <w:numId w:val="5"/>
        </w:numPr>
        <w:spacing w:line="360" w:lineRule="auto"/>
        <w:ind w:left="-151"/>
        <w:rPr>
          <w:rFonts w:ascii="仿宋_GB2312" w:hAnsi="Calibri" w:eastAsia="仿宋_GB2312"/>
          <w:sz w:val="30"/>
          <w:szCs w:val="30"/>
        </w:rPr>
      </w:pPr>
      <w:r>
        <w:rPr>
          <w:rFonts w:ascii="仿宋_GB2312" w:hAnsi="Calibri" w:eastAsia="仿宋_GB2312"/>
          <w:sz w:val="30"/>
          <w:szCs w:val="30"/>
        </w:rPr>
        <w:t>负有管理维护职责数量（1栏）</w:t>
      </w:r>
      <w:r>
        <w:rPr>
          <w:rFonts w:hint="eastAsia" w:ascii="仿宋_GB2312" w:hAnsi="Calibri" w:eastAsia="仿宋_GB2312"/>
          <w:sz w:val="30"/>
          <w:szCs w:val="30"/>
        </w:rPr>
        <w:t>大于等于</w:t>
      </w:r>
      <w:r>
        <w:rPr>
          <w:rFonts w:ascii="仿宋_GB2312" w:hAnsi="Calibri" w:eastAsia="仿宋_GB2312"/>
          <w:sz w:val="30"/>
          <w:szCs w:val="30"/>
        </w:rPr>
        <w:t>数量（2栏）；</w:t>
      </w:r>
    </w:p>
    <w:p>
      <w:pPr>
        <w:numPr>
          <w:ilvl w:val="0"/>
          <w:numId w:val="5"/>
        </w:numPr>
        <w:spacing w:line="360" w:lineRule="auto"/>
        <w:ind w:left="-151"/>
        <w:rPr>
          <w:rFonts w:ascii="仿宋_GB2312" w:hAnsi="Calibri" w:eastAsia="仿宋_GB2312"/>
          <w:sz w:val="30"/>
          <w:szCs w:val="30"/>
        </w:rPr>
      </w:pPr>
      <w:r>
        <w:rPr>
          <w:rFonts w:ascii="仿宋_GB2312" w:hAnsi="Calibri" w:eastAsia="仿宋_GB2312"/>
          <w:sz w:val="30"/>
          <w:szCs w:val="30"/>
        </w:rPr>
        <w:t>负有管理维护职责数量（6栏）</w:t>
      </w:r>
      <w:r>
        <w:rPr>
          <w:rFonts w:hint="eastAsia" w:ascii="仿宋_GB2312" w:hAnsi="Calibri" w:eastAsia="仿宋_GB2312"/>
          <w:sz w:val="30"/>
          <w:szCs w:val="30"/>
        </w:rPr>
        <w:t>大于等于</w:t>
      </w:r>
      <w:r>
        <w:rPr>
          <w:rFonts w:ascii="仿宋_GB2312" w:hAnsi="Calibri" w:eastAsia="仿宋_GB2312"/>
          <w:sz w:val="30"/>
          <w:szCs w:val="30"/>
        </w:rPr>
        <w:t>数量（</w:t>
      </w:r>
      <w:r>
        <w:rPr>
          <w:rFonts w:hint="eastAsia" w:ascii="仿宋_GB2312" w:hAnsi="Calibri" w:eastAsia="仿宋_GB2312"/>
          <w:sz w:val="30"/>
          <w:szCs w:val="30"/>
        </w:rPr>
        <w:t>7栏</w:t>
      </w:r>
      <w:r>
        <w:rPr>
          <w:rFonts w:ascii="仿宋_GB2312" w:hAnsi="Calibri" w:eastAsia="仿宋_GB2312"/>
          <w:sz w:val="30"/>
          <w:szCs w:val="30"/>
        </w:rPr>
        <w:t>）；</w:t>
      </w:r>
    </w:p>
    <w:p>
      <w:pPr>
        <w:numPr>
          <w:ilvl w:val="0"/>
          <w:numId w:val="5"/>
        </w:numPr>
        <w:spacing w:line="360" w:lineRule="auto"/>
        <w:ind w:left="-151"/>
        <w:jc w:val="left"/>
        <w:rPr>
          <w:rFonts w:ascii="仿宋_GB2312" w:hAnsi="Calibri" w:eastAsia="仿宋_GB2312"/>
          <w:sz w:val="30"/>
          <w:szCs w:val="30"/>
        </w:rPr>
      </w:pPr>
      <w:r>
        <w:rPr>
          <w:rFonts w:ascii="仿宋_GB2312" w:hAnsi="Calibri" w:eastAsia="仿宋_GB2312"/>
          <w:sz w:val="30"/>
          <w:szCs w:val="30"/>
        </w:rPr>
        <w:t>净值（5栏）</w:t>
      </w:r>
      <w:r>
        <w:rPr>
          <w:rFonts w:hint="eastAsia" w:ascii="仿宋_GB2312" w:hAnsi="Calibri" w:eastAsia="仿宋_GB2312"/>
          <w:sz w:val="30"/>
          <w:szCs w:val="30"/>
        </w:rPr>
        <w:t>等于原值</w:t>
      </w:r>
      <w:r>
        <w:rPr>
          <w:rFonts w:ascii="仿宋_GB2312" w:hAnsi="Calibri" w:eastAsia="仿宋_GB2312"/>
          <w:sz w:val="30"/>
          <w:szCs w:val="30"/>
        </w:rPr>
        <w:t>（3</w:t>
      </w:r>
      <w:r>
        <w:rPr>
          <w:rFonts w:hint="eastAsia" w:ascii="仿宋_GB2312" w:hAnsi="Calibri" w:eastAsia="仿宋_GB2312"/>
          <w:sz w:val="30"/>
          <w:szCs w:val="30"/>
        </w:rPr>
        <w:t>栏）与累计折旧/摊销</w:t>
      </w:r>
      <w:r>
        <w:rPr>
          <w:rFonts w:ascii="仿宋_GB2312" w:hAnsi="Calibri" w:eastAsia="仿宋_GB2312"/>
          <w:sz w:val="30"/>
          <w:szCs w:val="30"/>
        </w:rPr>
        <w:t>（4</w:t>
      </w:r>
      <w:r>
        <w:rPr>
          <w:rFonts w:hint="eastAsia" w:ascii="仿宋_GB2312" w:hAnsi="Calibri" w:eastAsia="仿宋_GB2312"/>
          <w:sz w:val="30"/>
          <w:szCs w:val="30"/>
        </w:rPr>
        <w:t>栏）之差；</w:t>
      </w:r>
    </w:p>
    <w:p>
      <w:pPr>
        <w:numPr>
          <w:ilvl w:val="0"/>
          <w:numId w:val="5"/>
        </w:numPr>
        <w:spacing w:line="360" w:lineRule="auto"/>
        <w:ind w:left="-151"/>
        <w:jc w:val="left"/>
        <w:rPr>
          <w:rFonts w:ascii="仿宋_GB2312" w:hAnsi="Calibri" w:eastAsia="仿宋_GB2312"/>
          <w:sz w:val="30"/>
          <w:szCs w:val="30"/>
        </w:rPr>
      </w:pPr>
      <w:r>
        <w:rPr>
          <w:rFonts w:ascii="仿宋_GB2312" w:hAnsi="Calibri" w:eastAsia="仿宋_GB2312"/>
          <w:sz w:val="30"/>
          <w:szCs w:val="30"/>
        </w:rPr>
        <w:t>净值（10栏）</w:t>
      </w:r>
      <w:r>
        <w:rPr>
          <w:rFonts w:hint="eastAsia" w:ascii="仿宋_GB2312" w:hAnsi="Calibri" w:eastAsia="仿宋_GB2312"/>
          <w:sz w:val="30"/>
          <w:szCs w:val="30"/>
        </w:rPr>
        <w:t>等于原值</w:t>
      </w:r>
      <w:r>
        <w:rPr>
          <w:rFonts w:ascii="仿宋_GB2312" w:hAnsi="Calibri" w:eastAsia="仿宋_GB2312"/>
          <w:sz w:val="30"/>
          <w:szCs w:val="30"/>
        </w:rPr>
        <w:t>（8</w:t>
      </w:r>
      <w:r>
        <w:rPr>
          <w:rFonts w:hint="eastAsia" w:ascii="仿宋_GB2312" w:hAnsi="Calibri" w:eastAsia="仿宋_GB2312"/>
          <w:sz w:val="30"/>
          <w:szCs w:val="30"/>
        </w:rPr>
        <w:t>栏）与累计折旧/摊销</w:t>
      </w:r>
      <w:r>
        <w:rPr>
          <w:rFonts w:ascii="仿宋_GB2312" w:hAnsi="Calibri" w:eastAsia="仿宋_GB2312"/>
          <w:sz w:val="30"/>
          <w:szCs w:val="30"/>
        </w:rPr>
        <w:t>（9</w:t>
      </w:r>
      <w:r>
        <w:rPr>
          <w:rFonts w:hint="eastAsia" w:ascii="仿宋_GB2312" w:hAnsi="Calibri" w:eastAsia="仿宋_GB2312"/>
          <w:sz w:val="30"/>
          <w:szCs w:val="30"/>
        </w:rPr>
        <w:t>栏）之差；</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供水厂（站）（27行）负有管理维护职责数量（6栏）应小于等于100，否则提示核实性错误，需结合实际情况修改或填写情况说明；</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污水处理厂（站）（33行）负有管理维护职责数量（6栏）应小于等于100，否则提示核实性错误，需结合实际情况修改或填写情况说明；</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给水管网（28行）负有管理维护职责数量（6栏）应小于等于5000，否则提示核实性错误，需结合实际情况修改或填写情况说明；</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排水管网（31行）负有管理维护职责数量（6栏）应小于等于10000，否则提示核实性错误，需结合实际情况修改或填写情况说明；</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供气管网（36行）负有管理维护职责数量（6栏）应小于等于1000，否则提示核实性错误，需结合实际情况修改或填写情况说明；</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供热管网（38行）负有管理维护职责数量（6栏）应小于等于2000，否则提示核实性错误，需结合实际情况修改或填写情况说明；</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管廊本体（58行）负有管理维护职责数量（6栏）应小于等于2000，否则提示核实性错误，需结合实际情况修改或填写情况说明；</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如果数量（2、7栏）大于0，则原值（3、8栏）大于0；</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如果原值（3、8栏）大于0，则数量（2、7栏）大于0；</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原值（</w:t>
      </w:r>
      <w:r>
        <w:rPr>
          <w:rFonts w:hint="eastAsia" w:hAnsi="Calibri"/>
          <w:sz w:val="30"/>
          <w:szCs w:val="30"/>
        </w:rPr>
        <w:t>8栏</w:t>
      </w:r>
      <w:r>
        <w:rPr>
          <w:rFonts w:hint="eastAsia" w:hAnsi="仿宋"/>
          <w:sz w:val="30"/>
          <w:szCs w:val="30"/>
        </w:rPr>
        <w:t>）</w:t>
      </w:r>
      <w:r>
        <w:rPr>
          <w:rFonts w:hint="eastAsia" w:hAnsi="Calibri"/>
          <w:sz w:val="30"/>
          <w:szCs w:val="30"/>
        </w:rPr>
        <w:t>等于“</w:t>
      </w:r>
      <w:r>
        <w:rPr>
          <w:rFonts w:hAnsi="Calibri"/>
          <w:sz w:val="30"/>
          <w:szCs w:val="30"/>
        </w:rPr>
        <w:t>1</w:t>
      </w:r>
      <w:r>
        <w:rPr>
          <w:rFonts w:hint="eastAsia" w:hAnsi="Calibri"/>
          <w:sz w:val="30"/>
          <w:szCs w:val="30"/>
        </w:rPr>
        <w:t>元”时，提示核实性错误，市政基础设施不能名义金额计价。</w:t>
      </w:r>
    </w:p>
    <w:p>
      <w:pPr>
        <w:pStyle w:val="7"/>
        <w:numPr>
          <w:ilvl w:val="0"/>
          <w:numId w:val="5"/>
        </w:numPr>
        <w:spacing w:line="360" w:lineRule="auto"/>
        <w:ind w:left="-151" w:firstLineChars="0"/>
        <w:rPr>
          <w:rFonts w:hint="eastAsia" w:hAnsi="仿宋"/>
          <w:sz w:val="30"/>
          <w:szCs w:val="30"/>
        </w:rPr>
      </w:pPr>
      <w:r>
        <w:rPr>
          <w:rFonts w:hint="eastAsia" w:hAnsi="仿宋"/>
          <w:sz w:val="30"/>
          <w:szCs w:val="30"/>
        </w:rPr>
        <w:t>市政交通设施（2行）、市政供排水设施（24行）、市政能源设施（34行）、市政环卫设施（39行）、市政园林绿化设施（42行）、市政综合类设施（56行）、市政信息通信设施（60行）、其他市政设施（62行）5栏等于上年期末账面价值，否则提示核实性错误，填写情况说明。</w:t>
      </w:r>
    </w:p>
    <w:p>
      <w:pPr>
        <w:pStyle w:val="2"/>
        <w:rPr>
          <w:rFonts w:hint="eastAsia"/>
          <w:color w:val="auto"/>
        </w:rPr>
      </w:pPr>
      <w:r>
        <w:rPr>
          <w:rFonts w:hint="eastAsia"/>
          <w:color w:val="auto"/>
        </w:rPr>
        <w:t>（十六）公共基础设施-其他公共基础设施情况表（财资12-</w:t>
      </w:r>
      <w:r>
        <w:rPr>
          <w:color w:val="auto"/>
        </w:rPr>
        <w:t>4</w:t>
      </w:r>
      <w:r>
        <w:rPr>
          <w:rFonts w:hint="eastAsia"/>
          <w:color w:val="auto"/>
        </w:rPr>
        <w:t>表）</w:t>
      </w:r>
    </w:p>
    <w:p>
      <w:pPr>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sz w:val="30"/>
          <w:szCs w:val="30"/>
        </w:rPr>
        <w:t>本表反映行政事业单位负有管理维护职责的其他公共基础设施期初、期末资产数量和已按政府会计准则制度规定登记入账的资产数量、账面价值。</w:t>
      </w:r>
      <w:r>
        <w:rPr>
          <w:rFonts w:hint="eastAsia" w:ascii="仿宋_GB2312" w:hAnsi="仿宋" w:eastAsia="仿宋_GB2312"/>
          <w:sz w:val="30"/>
          <w:szCs w:val="30"/>
        </w:rPr>
        <w:t>由涉及到其他公共基础设施的相关部门依据财务账、资产台账等手工填报。“负有管理维护职责数量”指标应按照《政府会计准则5号——公共基础设施》相关规定，填写填报单位应当予以确认的资产数量。</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其他公共基础设施：指公共基础设施中除交通、水利、市政以外的其他基础设施。涉及到其他公共基础设施的相关部门填报。各级人防部门管理的人防工程、指挥、通信、警报设备设施等国有资产已划归地方管理，在此填列。填报人防工程以外的其他公共基础设施的，应在填报说明中说明相关资产名称、数量等具体情况。</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期初数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负有管理维护职责的各类其他公共基础设施的期初数量，其中：账面数是指账面记账的期初数量和金额（原值、累计折旧</w:t>
      </w:r>
      <w:r>
        <w:rPr>
          <w:rFonts w:ascii="仿宋_GB2312" w:hAnsi="仿宋" w:eastAsia="仿宋_GB2312"/>
          <w:sz w:val="30"/>
          <w:szCs w:val="30"/>
        </w:rPr>
        <w:t>/</w:t>
      </w:r>
      <w:r>
        <w:rPr>
          <w:rFonts w:hint="eastAsia" w:ascii="仿宋_GB2312" w:hAnsi="仿宋" w:eastAsia="仿宋_GB2312"/>
          <w:sz w:val="30"/>
          <w:szCs w:val="30"/>
        </w:rPr>
        <w:t>摊销、净值）。</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期末数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负有管理维护职责的各类其他公共基础设施的期末数量，其中：账面数是指账面记账的期末数量和金额（原值、累计折旧</w:t>
      </w:r>
      <w:r>
        <w:rPr>
          <w:rFonts w:ascii="仿宋_GB2312" w:hAnsi="仿宋" w:eastAsia="仿宋_GB2312"/>
          <w:sz w:val="30"/>
          <w:szCs w:val="30"/>
        </w:rPr>
        <w:t>/</w:t>
      </w:r>
      <w:r>
        <w:rPr>
          <w:rFonts w:hint="eastAsia" w:ascii="仿宋_GB2312" w:hAnsi="仿宋" w:eastAsia="仿宋_GB2312"/>
          <w:sz w:val="30"/>
          <w:szCs w:val="30"/>
        </w:rPr>
        <w:t>摊销、净值）。</w:t>
      </w:r>
    </w:p>
    <w:p>
      <w:pPr>
        <w:snapToGrid w:val="0"/>
        <w:spacing w:line="360" w:lineRule="auto"/>
        <w:ind w:firstLine="600" w:firstLineChars="200"/>
        <w:rPr>
          <w:rFonts w:hint="eastAsia" w:ascii="仿宋_GB2312" w:hAnsi="宋体" w:eastAsia="仿宋_GB2312" w:cs="宋体"/>
          <w:kern w:val="0"/>
          <w:sz w:val="32"/>
          <w:szCs w:val="32"/>
        </w:rPr>
      </w:pPr>
      <w:r>
        <w:rPr>
          <w:rFonts w:ascii="仿宋_GB2312" w:hAnsi="仿宋" w:eastAsia="仿宋_GB2312"/>
          <w:sz w:val="30"/>
          <w:szCs w:val="30"/>
        </w:rPr>
        <w:t>3.</w:t>
      </w:r>
      <w:r>
        <w:rPr>
          <w:rFonts w:hint="eastAsia" w:ascii="仿宋_GB2312" w:hAnsi="仿宋" w:eastAsia="仿宋_GB2312"/>
          <w:sz w:val="30"/>
          <w:szCs w:val="30"/>
        </w:rPr>
        <w:t>人防工程：反映本单位本期已入账的人防工程价值。</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w:t>
      </w:r>
      <w:r>
        <w:rPr>
          <w:rFonts w:hint="eastAsia" w:ascii="仿宋_GB2312" w:hAnsi="宋体" w:eastAsia="仿宋_GB2312"/>
          <w:sz w:val="30"/>
          <w:szCs w:val="30"/>
        </w:rPr>
        <w:t>其他设施：反映本单位本期已入账除人防工程以外的各类其他公共基础设施数量及价值。</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5"/>
        </w:numPr>
        <w:spacing w:line="360" w:lineRule="auto"/>
        <w:rPr>
          <w:rFonts w:ascii="仿宋_GB2312" w:hAnsi="Calibri" w:eastAsia="仿宋_GB2312"/>
          <w:sz w:val="30"/>
          <w:szCs w:val="30"/>
        </w:rPr>
      </w:pPr>
      <w:bookmarkStart w:id="19" w:name="_Hlk146112919"/>
      <w:r>
        <w:rPr>
          <w:rFonts w:hint="eastAsia" w:ascii="仿宋_GB2312" w:hAnsi="Calibri" w:eastAsia="仿宋_GB2312"/>
          <w:sz w:val="30"/>
          <w:szCs w:val="30"/>
        </w:rPr>
        <w:t>合计（1行）等于人防工程（2行）</w:t>
      </w:r>
      <w:r>
        <w:rPr>
          <w:rFonts w:ascii="仿宋_GB2312" w:hAnsi="Calibri" w:eastAsia="仿宋_GB2312"/>
          <w:sz w:val="30"/>
          <w:szCs w:val="30"/>
        </w:rPr>
        <w:t>、</w:t>
      </w:r>
      <w:r>
        <w:rPr>
          <w:rFonts w:hint="eastAsia" w:ascii="仿宋_GB2312" w:hAnsi="Calibri" w:eastAsia="仿宋_GB2312"/>
          <w:sz w:val="30"/>
          <w:szCs w:val="30"/>
        </w:rPr>
        <w:t>其他设施（3行）之和</w:t>
      </w:r>
      <w:r>
        <w:rPr>
          <w:rFonts w:ascii="仿宋_GB2312" w:hAnsi="Calibri" w:eastAsia="仿宋_GB2312"/>
          <w:sz w:val="30"/>
          <w:szCs w:val="30"/>
        </w:rPr>
        <w:t>；</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其他设施（3行）等于浮动行之和</w:t>
      </w:r>
      <w:r>
        <w:rPr>
          <w:rFonts w:ascii="仿宋_GB2312" w:hAnsi="Calibri" w:eastAsia="仿宋_GB2312"/>
          <w:sz w:val="30"/>
          <w:szCs w:val="30"/>
        </w:rPr>
        <w:t>；</w:t>
      </w:r>
    </w:p>
    <w:p>
      <w:pPr>
        <w:numPr>
          <w:ilvl w:val="0"/>
          <w:numId w:val="5"/>
        </w:numPr>
        <w:spacing w:line="360" w:lineRule="auto"/>
        <w:jc w:val="left"/>
        <w:rPr>
          <w:rFonts w:ascii="仿宋_GB2312" w:hAnsi="Calibri" w:eastAsia="仿宋_GB2312"/>
          <w:sz w:val="30"/>
          <w:szCs w:val="30"/>
        </w:rPr>
      </w:pPr>
      <w:r>
        <w:rPr>
          <w:rFonts w:ascii="仿宋_GB2312" w:hAnsi="Calibri" w:eastAsia="仿宋_GB2312"/>
          <w:sz w:val="30"/>
          <w:szCs w:val="30"/>
        </w:rPr>
        <w:t>净值（5栏）</w:t>
      </w:r>
      <w:r>
        <w:rPr>
          <w:rFonts w:hint="eastAsia" w:ascii="仿宋_GB2312" w:hAnsi="Calibri" w:eastAsia="仿宋_GB2312"/>
          <w:sz w:val="30"/>
          <w:szCs w:val="30"/>
        </w:rPr>
        <w:t>等于原值（</w:t>
      </w:r>
      <w:r>
        <w:rPr>
          <w:rFonts w:ascii="仿宋_GB2312" w:hAnsi="Calibri" w:eastAsia="仿宋_GB2312"/>
          <w:sz w:val="30"/>
          <w:szCs w:val="30"/>
        </w:rPr>
        <w:t>3</w:t>
      </w:r>
      <w:r>
        <w:rPr>
          <w:rFonts w:hint="eastAsia" w:ascii="仿宋_GB2312" w:hAnsi="Calibri" w:eastAsia="仿宋_GB2312"/>
          <w:sz w:val="30"/>
          <w:szCs w:val="30"/>
        </w:rPr>
        <w:t>栏）与累计折旧/摊销（</w:t>
      </w:r>
      <w:r>
        <w:rPr>
          <w:rFonts w:ascii="仿宋_GB2312" w:hAnsi="Calibri" w:eastAsia="仿宋_GB2312"/>
          <w:sz w:val="30"/>
          <w:szCs w:val="30"/>
        </w:rPr>
        <w:t>4</w:t>
      </w:r>
      <w:r>
        <w:rPr>
          <w:rFonts w:hint="eastAsia" w:ascii="仿宋_GB2312" w:hAnsi="Calibri" w:eastAsia="仿宋_GB2312"/>
          <w:sz w:val="30"/>
          <w:szCs w:val="30"/>
        </w:rPr>
        <w:t>栏）之差；</w:t>
      </w:r>
    </w:p>
    <w:p>
      <w:pPr>
        <w:numPr>
          <w:ilvl w:val="0"/>
          <w:numId w:val="5"/>
        </w:numPr>
        <w:spacing w:line="360" w:lineRule="auto"/>
        <w:jc w:val="left"/>
        <w:rPr>
          <w:rFonts w:ascii="仿宋_GB2312" w:hAnsi="Calibri" w:eastAsia="仿宋_GB2312"/>
          <w:sz w:val="30"/>
          <w:szCs w:val="30"/>
        </w:rPr>
      </w:pPr>
      <w:r>
        <w:rPr>
          <w:rFonts w:ascii="仿宋_GB2312" w:hAnsi="Calibri" w:eastAsia="仿宋_GB2312"/>
          <w:sz w:val="30"/>
          <w:szCs w:val="30"/>
        </w:rPr>
        <w:t>净值（</w:t>
      </w:r>
      <w:r>
        <w:rPr>
          <w:rFonts w:hint="eastAsia" w:ascii="仿宋_GB2312" w:hAnsi="Calibri" w:eastAsia="仿宋_GB2312"/>
          <w:sz w:val="30"/>
          <w:szCs w:val="30"/>
        </w:rPr>
        <w:t>10</w:t>
      </w:r>
      <w:r>
        <w:rPr>
          <w:rFonts w:ascii="仿宋_GB2312" w:hAnsi="Calibri" w:eastAsia="仿宋_GB2312"/>
          <w:sz w:val="30"/>
          <w:szCs w:val="30"/>
        </w:rPr>
        <w:t>栏）</w:t>
      </w:r>
      <w:r>
        <w:rPr>
          <w:rFonts w:hint="eastAsia" w:ascii="仿宋_GB2312" w:hAnsi="Calibri" w:eastAsia="仿宋_GB2312"/>
          <w:sz w:val="30"/>
          <w:szCs w:val="30"/>
        </w:rPr>
        <w:t>等于原值（8栏）与累计折旧/摊销（9栏）之差；</w:t>
      </w:r>
    </w:p>
    <w:p>
      <w:pPr>
        <w:numPr>
          <w:ilvl w:val="0"/>
          <w:numId w:val="5"/>
        </w:numPr>
        <w:spacing w:line="360" w:lineRule="auto"/>
        <w:jc w:val="left"/>
        <w:rPr>
          <w:rFonts w:ascii="仿宋_GB2312" w:hAnsi="Calibri" w:eastAsia="仿宋_GB2312"/>
          <w:sz w:val="30"/>
          <w:szCs w:val="30"/>
        </w:rPr>
      </w:pPr>
      <w:r>
        <w:rPr>
          <w:rFonts w:hint="eastAsia" w:ascii="仿宋_GB2312" w:hAnsi="Calibri" w:eastAsia="仿宋_GB2312"/>
          <w:sz w:val="30"/>
          <w:szCs w:val="30"/>
        </w:rPr>
        <w:t>各</w:t>
      </w:r>
      <w:r>
        <w:rPr>
          <w:rFonts w:ascii="仿宋_GB2312" w:hAnsi="Calibri" w:eastAsia="仿宋_GB2312"/>
          <w:sz w:val="30"/>
          <w:szCs w:val="30"/>
        </w:rPr>
        <w:t>指标大于等于</w:t>
      </w:r>
      <w:r>
        <w:rPr>
          <w:rFonts w:hint="eastAsia" w:ascii="仿宋_GB2312" w:hAnsi="Calibri" w:eastAsia="仿宋_GB2312"/>
          <w:sz w:val="30"/>
          <w:szCs w:val="30"/>
        </w:rPr>
        <w:t>0；</w:t>
      </w:r>
    </w:p>
    <w:p>
      <w:pPr>
        <w:pStyle w:val="7"/>
        <w:numPr>
          <w:ilvl w:val="0"/>
          <w:numId w:val="5"/>
        </w:numPr>
        <w:spacing w:line="360" w:lineRule="auto"/>
        <w:ind w:firstLineChars="0"/>
        <w:rPr>
          <w:rFonts w:hint="eastAsia" w:hAnsi="仿宋"/>
          <w:sz w:val="30"/>
          <w:szCs w:val="30"/>
        </w:rPr>
      </w:pPr>
      <w:r>
        <w:rPr>
          <w:rFonts w:hint="eastAsia" w:hAnsi="仿宋"/>
          <w:sz w:val="30"/>
          <w:szCs w:val="30"/>
        </w:rPr>
        <w:t>当“其他设施”浮动行</w:t>
      </w:r>
      <w:r>
        <w:rPr>
          <w:rFonts w:hint="eastAsia" w:hAnsi="Calibri"/>
          <w:sz w:val="30"/>
          <w:szCs w:val="30"/>
        </w:rPr>
        <w:t>原值（8栏）</w:t>
      </w:r>
      <w:r>
        <w:rPr>
          <w:rFonts w:hint="eastAsia" w:hAnsi="仿宋"/>
          <w:sz w:val="30"/>
          <w:szCs w:val="30"/>
        </w:rPr>
        <w:t>价值大于0，那么“项目”必填。</w:t>
      </w:r>
    </w:p>
    <w:bookmarkEnd w:id="19"/>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5"/>
        </w:numPr>
        <w:spacing w:line="360" w:lineRule="auto"/>
        <w:ind w:firstLineChars="0"/>
        <w:rPr>
          <w:rFonts w:hint="eastAsia" w:hAnsi="仿宋"/>
          <w:sz w:val="30"/>
          <w:szCs w:val="30"/>
        </w:rPr>
      </w:pPr>
      <w:r>
        <w:rPr>
          <w:rFonts w:hint="eastAsia" w:hAnsi="仿宋"/>
          <w:sz w:val="30"/>
          <w:szCs w:val="30"/>
        </w:rPr>
        <w:t>当浮动行</w:t>
      </w:r>
      <w:r>
        <w:rPr>
          <w:rFonts w:hint="eastAsia" w:hAnsi="Calibri"/>
          <w:sz w:val="30"/>
          <w:szCs w:val="30"/>
        </w:rPr>
        <w:t>原值（8栏）</w:t>
      </w:r>
      <w:r>
        <w:rPr>
          <w:rFonts w:hint="eastAsia" w:hAnsi="仿宋"/>
          <w:sz w:val="30"/>
          <w:szCs w:val="30"/>
        </w:rPr>
        <w:t>等</w:t>
      </w:r>
      <w:r>
        <w:rPr>
          <w:rFonts w:hint="eastAsia" w:hAnsi="Calibri"/>
          <w:sz w:val="30"/>
          <w:szCs w:val="30"/>
        </w:rPr>
        <w:t>“</w:t>
      </w:r>
      <w:r>
        <w:rPr>
          <w:rFonts w:hAnsi="Calibri"/>
          <w:sz w:val="30"/>
          <w:szCs w:val="30"/>
        </w:rPr>
        <w:t>1</w:t>
      </w:r>
      <w:r>
        <w:rPr>
          <w:rFonts w:hint="eastAsia" w:hAnsi="Calibri"/>
          <w:sz w:val="30"/>
          <w:szCs w:val="30"/>
        </w:rPr>
        <w:t>元”</w:t>
      </w:r>
      <w:r>
        <w:rPr>
          <w:rFonts w:hint="eastAsia" w:hAnsi="仿宋"/>
          <w:sz w:val="30"/>
          <w:szCs w:val="30"/>
        </w:rPr>
        <w:t>时，提示核实性错误，需结合实际情况修改或填写情况说明；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int="eastAsia" w:hAnsi="仿宋"/>
          <w:sz w:val="30"/>
          <w:szCs w:val="30"/>
        </w:rPr>
        <w:t>当浮动行</w:t>
      </w:r>
      <w:r>
        <w:rPr>
          <w:rFonts w:hint="eastAsia" w:hAnsi="Calibri"/>
          <w:sz w:val="30"/>
          <w:szCs w:val="30"/>
        </w:rPr>
        <w:t>原值（8栏）</w:t>
      </w:r>
      <w:r>
        <w:rPr>
          <w:rFonts w:hint="eastAsia" w:hAnsi="仿宋"/>
          <w:sz w:val="30"/>
          <w:szCs w:val="30"/>
        </w:rPr>
        <w:t>大于0时，浮动行数量</w:t>
      </w:r>
      <w:r>
        <w:rPr>
          <w:rFonts w:hint="eastAsia" w:hAnsi="Calibri"/>
          <w:sz w:val="30"/>
          <w:szCs w:val="30"/>
        </w:rPr>
        <w:t>（</w:t>
      </w:r>
      <w:r>
        <w:rPr>
          <w:rFonts w:hint="eastAsia" w:hAnsi="仿宋"/>
          <w:sz w:val="30"/>
          <w:szCs w:val="30"/>
        </w:rPr>
        <w:t>7栏</w:t>
      </w:r>
      <w:r>
        <w:rPr>
          <w:rFonts w:hint="eastAsia" w:hAnsi="Calibri"/>
          <w:sz w:val="30"/>
          <w:szCs w:val="30"/>
        </w:rPr>
        <w:t>）</w:t>
      </w:r>
      <w:r>
        <w:rPr>
          <w:rFonts w:hint="eastAsia" w:hAnsi="仿宋"/>
          <w:sz w:val="30"/>
          <w:szCs w:val="30"/>
        </w:rPr>
        <w:t>应大于0，否则提示核实性错误，需结合实际情况修改或填写情况说明；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int="eastAsia" w:hAnsi="仿宋"/>
          <w:sz w:val="30"/>
          <w:szCs w:val="30"/>
        </w:rPr>
        <w:t>当浮动行</w:t>
      </w:r>
      <w:r>
        <w:rPr>
          <w:rFonts w:hint="eastAsia" w:hAnsi="Calibri"/>
          <w:sz w:val="30"/>
          <w:szCs w:val="30"/>
        </w:rPr>
        <w:t>原值（8栏）</w:t>
      </w:r>
      <w:r>
        <w:rPr>
          <w:rFonts w:hint="eastAsia" w:hAnsi="仿宋"/>
          <w:sz w:val="30"/>
          <w:szCs w:val="30"/>
        </w:rPr>
        <w:t>大于0时，浮动行数量单位不为空，否则提示核实性错误，需结合实际情况修改或填写情况说明；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Ansi="仿宋"/>
          <w:sz w:val="30"/>
          <w:szCs w:val="30"/>
        </w:rPr>
        <w:t>原值期末数与期初数增减变动超过</w:t>
      </w:r>
      <w:r>
        <w:rPr>
          <w:rFonts w:hint="eastAsia" w:hAnsi="仿宋"/>
          <w:sz w:val="30"/>
          <w:szCs w:val="30"/>
        </w:rPr>
        <w:t>5</w:t>
      </w:r>
      <w:r>
        <w:rPr>
          <w:rFonts w:hAnsi="仿宋"/>
          <w:sz w:val="30"/>
          <w:szCs w:val="30"/>
        </w:rPr>
        <w:t>0%，请提供说明。</w:t>
      </w:r>
    </w:p>
    <w:p>
      <w:pPr>
        <w:pStyle w:val="7"/>
        <w:spacing w:line="360" w:lineRule="auto"/>
        <w:ind w:left="576" w:firstLine="0" w:firstLineChars="0"/>
        <w:rPr>
          <w:rFonts w:hint="eastAsia" w:hAnsi="仿宋"/>
          <w:b/>
          <w:sz w:val="30"/>
          <w:szCs w:val="30"/>
        </w:rPr>
      </w:pPr>
      <w:r>
        <w:rPr>
          <w:rFonts w:hint="eastAsia" w:hAnsi="仿宋"/>
          <w:b/>
          <w:sz w:val="30"/>
          <w:szCs w:val="30"/>
        </w:rPr>
        <w:t>提示性公式：</w:t>
      </w:r>
    </w:p>
    <w:p>
      <w:pPr>
        <w:pStyle w:val="7"/>
        <w:numPr>
          <w:ilvl w:val="0"/>
          <w:numId w:val="5"/>
        </w:numPr>
        <w:spacing w:line="360" w:lineRule="auto"/>
        <w:ind w:firstLineChars="0"/>
        <w:rPr>
          <w:rFonts w:hint="eastAsia" w:hAnsi="仿宋"/>
          <w:sz w:val="30"/>
          <w:szCs w:val="30"/>
        </w:rPr>
      </w:pPr>
      <w:r>
        <w:rPr>
          <w:rFonts w:hint="eastAsia" w:hAnsi="仿宋"/>
          <w:sz w:val="30"/>
          <w:szCs w:val="30"/>
        </w:rPr>
        <w:t>其他设施（3行）各栏之和大于0，则提示请核实该设施属于其他公共基础设施。</w:t>
      </w:r>
    </w:p>
    <w:p>
      <w:pPr>
        <w:pStyle w:val="2"/>
        <w:ind w:firstLine="0" w:firstLineChars="0"/>
        <w:rPr>
          <w:rFonts w:hint="eastAsia"/>
          <w:b/>
          <w:color w:val="auto"/>
        </w:rPr>
      </w:pPr>
      <w:r>
        <w:rPr>
          <w:rFonts w:hint="eastAsia"/>
          <w:color w:val="auto"/>
        </w:rPr>
        <w:t>（十七）政府储备物资情况表（财资1</w:t>
      </w:r>
      <w:r>
        <w:rPr>
          <w:color w:val="auto"/>
        </w:rPr>
        <w:t>3</w:t>
      </w:r>
      <w:r>
        <w:rPr>
          <w:rFonts w:hint="eastAsia"/>
          <w:color w:val="auto"/>
        </w:rPr>
        <w:t>表）</w:t>
      </w:r>
      <w:r>
        <w:rPr>
          <w:color w:val="auto"/>
        </w:rPr>
        <w:t xml:space="preserve"> </w:t>
      </w:r>
    </w:p>
    <w:p>
      <w:pPr>
        <w:adjustRightInd w:val="0"/>
        <w:snapToGrid w:val="0"/>
        <w:spacing w:line="360" w:lineRule="auto"/>
        <w:ind w:firstLine="600" w:firstLineChars="200"/>
        <w:rPr>
          <w:rFonts w:hint="eastAsia" w:ascii="仿宋_GB2312" w:hAnsi="楷体" w:eastAsia="仿宋_GB2312"/>
          <w:bCs/>
          <w:sz w:val="30"/>
          <w:szCs w:val="30"/>
        </w:rPr>
      </w:pPr>
      <w:r>
        <w:rPr>
          <w:rFonts w:hint="eastAsia" w:ascii="仿宋_GB2312" w:hAnsi="宋体" w:eastAsia="仿宋_GB2312"/>
          <w:bCs/>
          <w:sz w:val="30"/>
          <w:szCs w:val="30"/>
        </w:rPr>
        <w:t>本表反映的是执行政府会计准则制度的行政事业单位管理的政府储备物资的账面期初、期末情况，原则上本表数据从资产卡片提取，行政事业单位可根据实际情况进行手工修改。</w:t>
      </w:r>
    </w:p>
    <w:p>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楷体" w:eastAsia="仿宋_GB2312"/>
          <w:bCs/>
          <w:sz w:val="30"/>
          <w:szCs w:val="30"/>
        </w:rPr>
        <w:t>政府储备物资。</w:t>
      </w:r>
      <w:r>
        <w:rPr>
          <w:rFonts w:hint="eastAsia" w:ascii="仿宋_GB2312" w:hAnsi="宋体" w:eastAsia="仿宋_GB2312"/>
          <w:bCs/>
          <w:sz w:val="30"/>
          <w:szCs w:val="30"/>
        </w:rPr>
        <w:t>是指</w:t>
      </w:r>
      <w:r>
        <w:rPr>
          <w:rFonts w:hint="eastAsia" w:ascii="仿宋_GB2312" w:hAnsi="宋体" w:eastAsia="仿宋_GB2312"/>
          <w:sz w:val="30"/>
          <w:szCs w:val="30"/>
        </w:rPr>
        <w:t>为满足实施国家安全与发展战略、进行抗灾救灾、应对公共突发事件等特定公共需求而控制的资产，按照国家政府储备资产相关政策填写，主要包括粮食等农产品和农资储备、能源储备、矿产品原材料储备、应急专用物资储备，不包括企业受托代储的政府储备物资和商业储备资产（即政府部门对该项储备资产无所有权）。</w:t>
      </w:r>
    </w:p>
    <w:p>
      <w:pPr>
        <w:spacing w:line="360" w:lineRule="auto"/>
        <w:ind w:firstLine="576" w:firstLineChars="192"/>
        <w:rPr>
          <w:rFonts w:ascii="仿宋_GB2312" w:eastAsia="仿宋_GB2312"/>
          <w:sz w:val="30"/>
          <w:szCs w:val="30"/>
        </w:rPr>
      </w:pPr>
      <w:r>
        <w:rPr>
          <w:rFonts w:hint="eastAsia" w:ascii="仿宋_GB2312" w:hAnsi="黑体" w:eastAsia="仿宋_GB2312"/>
          <w:sz w:val="30"/>
          <w:szCs w:val="30"/>
        </w:rPr>
        <w:t>政府储备物资计价方式。</w:t>
      </w:r>
      <w:r>
        <w:rPr>
          <w:rFonts w:hint="eastAsia" w:ascii="仿宋_GB2312" w:hAnsi="宋体" w:eastAsia="仿宋_GB2312"/>
          <w:sz w:val="30"/>
          <w:szCs w:val="30"/>
        </w:rPr>
        <w:t>政府储备物资的登记入账核算按照《政府会计制度——行政事业单位会计科目和报表》、《政府会计准则第6号——政府储备物资》的规定执行。政</w:t>
      </w:r>
      <w:r>
        <w:rPr>
          <w:rFonts w:hint="eastAsia" w:ascii="仿宋_GB2312" w:hAnsi="宋体" w:eastAsia="仿宋_GB2312"/>
          <w:bCs/>
          <w:sz w:val="30"/>
          <w:szCs w:val="30"/>
        </w:rPr>
        <w:t>府储备物资报</w:t>
      </w:r>
      <w:r>
        <w:rPr>
          <w:rFonts w:hint="eastAsia" w:ascii="仿宋_GB2312" w:hAnsi="宋体" w:eastAsia="仿宋_GB2312"/>
          <w:sz w:val="30"/>
          <w:szCs w:val="30"/>
        </w:rPr>
        <w:t>表原则上按照账面价值进行计价。对于应当确认为政府储备物资，但已确认为存货、固定资产等其他资产的，应当将该资产按其账面价值在政府储备物资报表进行反映。没有账面价值的,按照下列原则确定其初始入账成本：一是可以取得相关原始凭据的，其成本按照有关原始凭据注明的金额确定；二是没有相关凭据可供取得，但按规定经过资产评估的，其成本按照评估价值确定；三是没有相关凭据可供取得、也未经资产评估</w:t>
      </w:r>
      <w:r>
        <w:rPr>
          <w:rFonts w:hint="eastAsia" w:ascii="仿宋_GB2312" w:eastAsia="仿宋_GB2312"/>
          <w:sz w:val="30"/>
          <w:szCs w:val="30"/>
        </w:rPr>
        <w:t>的，其成本按照重置成本确定。</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adjustRightInd w:val="0"/>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1.粮食等农产品和农资储备。包括粮食、棉花、食糖、肉类、食盐、边销茶、生丝、化肥、农药和救灾备荒种子等。由各级负责储备的管理部门（单位）填报。</w:t>
      </w:r>
    </w:p>
    <w:p>
      <w:pPr>
        <w:adjustRightInd w:val="0"/>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2.能源储备。由国家粮食和物资储备局和其他负责重要能源储备的部门（单位）填报。</w:t>
      </w:r>
    </w:p>
    <w:p>
      <w:pPr>
        <w:adjustRightInd w:val="0"/>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3.矿产品原材料储备。包括天然橡胶等。由国家粮食和物资储备局和其他负责矿产品原材料储备的部门（单位）填报。</w:t>
      </w:r>
    </w:p>
    <w:p>
      <w:pPr>
        <w:adjustRightInd w:val="0"/>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4.应急专用物资储备。包括应急抢险救灾物资、医药、重大动物疫病应急物资、国家区域性交通应急装备物资、应急运力和重大海上溢油应急物资等。由各级负责储备的管理部门（单位）填报。</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5.政府储备物资资产报告工作涉及国家安全和秘密的，应当符合国家有关保密制度的规定和要求。</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6.收储是指根据国家指令按程序开展储备物资入库。</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7.动用是指根据国家指令按程序开展储备物资出库。</w:t>
      </w:r>
    </w:p>
    <w:p>
      <w:pPr>
        <w:snapToGrid w:val="0"/>
        <w:spacing w:line="360" w:lineRule="auto"/>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8.轮换是指为保证品质按程序进行储备物资的更新。</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360" w:lineRule="auto"/>
        <w:ind w:firstLine="602" w:firstLineChars="200"/>
        <w:rPr>
          <w:rFonts w:hint="eastAsia" w:ascii="仿宋_GB2312" w:hAnsi="仿宋" w:eastAsia="仿宋_GB2312"/>
          <w:b/>
          <w:sz w:val="30"/>
          <w:szCs w:val="30"/>
        </w:rPr>
      </w:pPr>
      <w:r>
        <w:rPr>
          <w:rFonts w:hint="eastAsia" w:ascii="仿宋_GB2312" w:hAnsi="仿宋" w:eastAsia="仿宋_GB2312"/>
          <w:b/>
          <w:sz w:val="30"/>
          <w:szCs w:val="30"/>
        </w:rPr>
        <w:t>表内公式：</w:t>
      </w:r>
      <w:bookmarkStart w:id="20" w:name="_Hlk22771444"/>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合计（1行）等于粮食等农产品和农资储备（2行）、</w:t>
      </w:r>
      <w:r>
        <w:rPr>
          <w:rFonts w:ascii="仿宋_GB2312" w:eastAsia="仿宋_GB2312"/>
          <w:sz w:val="30"/>
          <w:szCs w:val="30"/>
        </w:rPr>
        <w:t>能源储备（13行）、矿产品原材料储备（14行）</w:t>
      </w:r>
      <w:r>
        <w:rPr>
          <w:rFonts w:hint="eastAsia" w:ascii="仿宋_GB2312" w:eastAsia="仿宋_GB2312"/>
          <w:sz w:val="30"/>
          <w:szCs w:val="30"/>
        </w:rPr>
        <w:t>、</w:t>
      </w:r>
      <w:r>
        <w:rPr>
          <w:rFonts w:ascii="仿宋_GB2312" w:eastAsia="仿宋_GB2312"/>
          <w:sz w:val="30"/>
          <w:szCs w:val="30"/>
        </w:rPr>
        <w:t>应急专用物资储备（16行）</w:t>
      </w:r>
      <w:r>
        <w:rPr>
          <w:rFonts w:hint="eastAsia" w:ascii="仿宋_GB2312" w:eastAsia="仿宋_GB2312"/>
          <w:sz w:val="30"/>
          <w:szCs w:val="30"/>
        </w:rPr>
        <w:t>各项之和；</w:t>
      </w:r>
    </w:p>
    <w:p>
      <w:pPr>
        <w:numPr>
          <w:ilvl w:val="0"/>
          <w:numId w:val="5"/>
        </w:numPr>
        <w:spacing w:line="360" w:lineRule="auto"/>
        <w:rPr>
          <w:rFonts w:ascii="仿宋_GB2312" w:eastAsia="仿宋_GB2312"/>
          <w:sz w:val="30"/>
          <w:szCs w:val="30"/>
        </w:rPr>
      </w:pPr>
      <w:bookmarkStart w:id="21" w:name="_Hlk54774091"/>
      <w:r>
        <w:rPr>
          <w:rFonts w:hint="eastAsia" w:ascii="仿宋_GB2312" w:eastAsia="仿宋_GB2312"/>
          <w:sz w:val="30"/>
          <w:szCs w:val="30"/>
        </w:rPr>
        <w:t>粮食等农产品和农资储备（2行）</w:t>
      </w:r>
      <w:bookmarkEnd w:id="21"/>
      <w:r>
        <w:rPr>
          <w:rFonts w:hint="eastAsia" w:ascii="仿宋_GB2312" w:eastAsia="仿宋_GB2312"/>
          <w:sz w:val="30"/>
          <w:szCs w:val="30"/>
        </w:rPr>
        <w:t>等于粮食（3</w:t>
      </w:r>
      <w:r>
        <w:rPr>
          <w:rFonts w:ascii="仿宋_GB2312" w:eastAsia="仿宋_GB2312"/>
          <w:sz w:val="30"/>
          <w:szCs w:val="30"/>
        </w:rPr>
        <w:t>行）</w:t>
      </w:r>
      <w:r>
        <w:rPr>
          <w:rFonts w:hint="eastAsia" w:ascii="仿宋_GB2312" w:eastAsia="仿宋_GB2312"/>
          <w:sz w:val="30"/>
          <w:szCs w:val="30"/>
        </w:rPr>
        <w:t>、棉花（</w:t>
      </w:r>
      <w:r>
        <w:rPr>
          <w:rFonts w:ascii="仿宋_GB2312" w:eastAsia="仿宋_GB2312"/>
          <w:sz w:val="30"/>
          <w:szCs w:val="30"/>
        </w:rPr>
        <w:t>4行）</w:t>
      </w:r>
      <w:r>
        <w:rPr>
          <w:rFonts w:hint="eastAsia" w:ascii="仿宋_GB2312" w:eastAsia="仿宋_GB2312"/>
          <w:sz w:val="30"/>
          <w:szCs w:val="30"/>
        </w:rPr>
        <w:t>、食糖（</w:t>
      </w:r>
      <w:r>
        <w:rPr>
          <w:rFonts w:ascii="仿宋_GB2312" w:eastAsia="仿宋_GB2312"/>
          <w:sz w:val="30"/>
          <w:szCs w:val="30"/>
        </w:rPr>
        <w:t>5行）</w:t>
      </w:r>
      <w:r>
        <w:rPr>
          <w:rFonts w:hint="eastAsia" w:ascii="仿宋_GB2312" w:eastAsia="仿宋_GB2312"/>
          <w:sz w:val="30"/>
          <w:szCs w:val="30"/>
        </w:rPr>
        <w:t>、肉类（</w:t>
      </w:r>
      <w:r>
        <w:rPr>
          <w:rFonts w:ascii="仿宋_GB2312" w:eastAsia="仿宋_GB2312"/>
          <w:sz w:val="30"/>
          <w:szCs w:val="30"/>
        </w:rPr>
        <w:t>6行）</w:t>
      </w:r>
      <w:r>
        <w:rPr>
          <w:rFonts w:hint="eastAsia" w:ascii="仿宋_GB2312" w:eastAsia="仿宋_GB2312"/>
          <w:sz w:val="30"/>
          <w:szCs w:val="30"/>
        </w:rPr>
        <w:t>、食盐（7</w:t>
      </w:r>
      <w:r>
        <w:rPr>
          <w:rFonts w:ascii="仿宋_GB2312" w:eastAsia="仿宋_GB2312"/>
          <w:sz w:val="30"/>
          <w:szCs w:val="30"/>
        </w:rPr>
        <w:t>行）、边销茶（8行）、生丝（9行）、化肥（10行）、农药（11行）、救灾备荒种子（12行）</w:t>
      </w:r>
      <w:r>
        <w:rPr>
          <w:rFonts w:hint="eastAsia" w:ascii="仿宋_GB2312" w:eastAsia="仿宋_GB2312"/>
          <w:sz w:val="30"/>
          <w:szCs w:val="30"/>
        </w:rPr>
        <w:t>各项之和；</w:t>
      </w:r>
    </w:p>
    <w:p>
      <w:pPr>
        <w:numPr>
          <w:ilvl w:val="0"/>
          <w:numId w:val="5"/>
        </w:numPr>
        <w:spacing w:line="360" w:lineRule="auto"/>
        <w:rPr>
          <w:rFonts w:ascii="仿宋_GB2312" w:eastAsia="仿宋_GB2312"/>
          <w:sz w:val="30"/>
          <w:szCs w:val="30"/>
        </w:rPr>
      </w:pPr>
      <w:r>
        <w:rPr>
          <w:rFonts w:ascii="仿宋_GB2312" w:eastAsia="仿宋_GB2312"/>
          <w:sz w:val="30"/>
          <w:szCs w:val="30"/>
        </w:rPr>
        <w:t>矿产品原材料储备（14行）</w:t>
      </w:r>
      <w:r>
        <w:rPr>
          <w:rFonts w:hint="eastAsia" w:ascii="仿宋_GB2312" w:eastAsia="仿宋_GB2312"/>
          <w:sz w:val="30"/>
          <w:szCs w:val="30"/>
        </w:rPr>
        <w:t>大于等于天然橡胶</w:t>
      </w:r>
      <w:r>
        <w:rPr>
          <w:rFonts w:ascii="仿宋_GB2312" w:eastAsia="仿宋_GB2312"/>
          <w:sz w:val="30"/>
          <w:szCs w:val="30"/>
        </w:rPr>
        <w:t>（</w:t>
      </w:r>
      <w:r>
        <w:rPr>
          <w:rFonts w:hint="eastAsia" w:ascii="仿宋_GB2312" w:eastAsia="仿宋_GB2312"/>
          <w:sz w:val="30"/>
          <w:szCs w:val="30"/>
        </w:rPr>
        <w:t>1</w:t>
      </w:r>
      <w:r>
        <w:rPr>
          <w:rFonts w:ascii="仿宋_GB2312" w:eastAsia="仿宋_GB2312"/>
          <w:sz w:val="30"/>
          <w:szCs w:val="30"/>
        </w:rPr>
        <w:t>5</w:t>
      </w:r>
      <w:r>
        <w:rPr>
          <w:rFonts w:hint="eastAsia" w:ascii="仿宋_GB2312" w:eastAsia="仿宋_GB2312"/>
          <w:sz w:val="30"/>
          <w:szCs w:val="30"/>
        </w:rPr>
        <w:t>行</w:t>
      </w:r>
      <w:r>
        <w:rPr>
          <w:rFonts w:ascii="仿宋_GB2312" w:eastAsia="仿宋_GB2312"/>
          <w:sz w:val="30"/>
          <w:szCs w:val="30"/>
        </w:rPr>
        <w:t>）</w:t>
      </w:r>
      <w:r>
        <w:rPr>
          <w:rFonts w:hint="eastAsia" w:ascii="仿宋_GB2312" w:eastAsia="仿宋_GB2312"/>
          <w:sz w:val="30"/>
          <w:szCs w:val="30"/>
        </w:rPr>
        <w:t>；</w:t>
      </w:r>
    </w:p>
    <w:p>
      <w:pPr>
        <w:numPr>
          <w:ilvl w:val="0"/>
          <w:numId w:val="5"/>
        </w:numPr>
        <w:spacing w:line="360" w:lineRule="auto"/>
        <w:rPr>
          <w:rFonts w:ascii="仿宋_GB2312" w:eastAsia="仿宋_GB2312"/>
          <w:sz w:val="30"/>
          <w:szCs w:val="30"/>
        </w:rPr>
      </w:pPr>
      <w:r>
        <w:rPr>
          <w:rFonts w:ascii="仿宋_GB2312" w:eastAsia="仿宋_GB2312"/>
          <w:sz w:val="30"/>
          <w:szCs w:val="30"/>
        </w:rPr>
        <w:t>应急专用物资储备（16行）</w:t>
      </w:r>
      <w:r>
        <w:rPr>
          <w:rFonts w:hint="eastAsia" w:ascii="仿宋_GB2312" w:eastAsia="仿宋_GB2312"/>
          <w:sz w:val="30"/>
          <w:szCs w:val="30"/>
        </w:rPr>
        <w:t>大于等于应急抢险救灾物资（17行）</w:t>
      </w:r>
      <w:r>
        <w:rPr>
          <w:rFonts w:ascii="仿宋_GB2312" w:eastAsia="仿宋_GB2312"/>
          <w:sz w:val="30"/>
          <w:szCs w:val="30"/>
        </w:rPr>
        <w:t>、医药（1</w:t>
      </w:r>
      <w:r>
        <w:rPr>
          <w:rFonts w:hint="eastAsia" w:ascii="仿宋_GB2312" w:eastAsia="仿宋_GB2312"/>
          <w:sz w:val="30"/>
          <w:szCs w:val="30"/>
        </w:rPr>
        <w:t>8</w:t>
      </w:r>
      <w:r>
        <w:rPr>
          <w:rFonts w:ascii="仿宋_GB2312" w:eastAsia="仿宋_GB2312"/>
          <w:sz w:val="30"/>
          <w:szCs w:val="30"/>
        </w:rPr>
        <w:t>行）、重大动物疫病应急物资（1</w:t>
      </w:r>
      <w:r>
        <w:rPr>
          <w:rFonts w:hint="eastAsia" w:ascii="仿宋_GB2312" w:eastAsia="仿宋_GB2312"/>
          <w:sz w:val="30"/>
          <w:szCs w:val="30"/>
        </w:rPr>
        <w:t>9</w:t>
      </w:r>
      <w:r>
        <w:rPr>
          <w:rFonts w:ascii="仿宋_GB2312" w:eastAsia="仿宋_GB2312"/>
          <w:sz w:val="30"/>
          <w:szCs w:val="30"/>
        </w:rPr>
        <w:t>行）、国家区域性交通应急装备物资（20行）、应急运力和重大海上溢油应急物资（21行）</w:t>
      </w:r>
      <w:r>
        <w:rPr>
          <w:rFonts w:hint="eastAsia" w:ascii="仿宋_GB2312" w:eastAsia="仿宋_GB2312"/>
          <w:sz w:val="30"/>
          <w:szCs w:val="30"/>
        </w:rPr>
        <w:t>之和；</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p>
    <w:bookmarkEnd w:id="20"/>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合计（1行）期初账面数价值（2栏）等于财资01表政府储备物资（</w:t>
      </w:r>
      <w:r>
        <w:rPr>
          <w:rFonts w:ascii="仿宋_GB2312" w:eastAsia="仿宋_GB2312"/>
          <w:sz w:val="30"/>
          <w:szCs w:val="30"/>
        </w:rPr>
        <w:t>31</w:t>
      </w:r>
      <w:r>
        <w:rPr>
          <w:rFonts w:hint="eastAsia" w:ascii="仿宋_GB2312" w:eastAsia="仿宋_GB2312"/>
          <w:sz w:val="30"/>
          <w:szCs w:val="30"/>
        </w:rPr>
        <w:t>行）价值（1栏）；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合计（1行）期末账面数价值（7栏）等于财资01表政府储备物资（</w:t>
      </w:r>
      <w:r>
        <w:rPr>
          <w:rFonts w:ascii="仿宋_GB2312" w:eastAsia="仿宋_GB2312"/>
          <w:sz w:val="30"/>
          <w:szCs w:val="30"/>
        </w:rPr>
        <w:t>31</w:t>
      </w:r>
      <w:r>
        <w:rPr>
          <w:rFonts w:hint="eastAsia" w:ascii="仿宋_GB2312" w:eastAsia="仿宋_GB2312"/>
          <w:sz w:val="30"/>
          <w:szCs w:val="30"/>
        </w:rPr>
        <w:t>行）价值（2栏）。</w:t>
      </w:r>
    </w:p>
    <w:p>
      <w:pPr>
        <w:snapToGrid w:val="0"/>
        <w:spacing w:line="360" w:lineRule="auto"/>
        <w:ind w:firstLine="602" w:firstLineChars="200"/>
        <w:rPr>
          <w:rFonts w:ascii="仿宋_GB2312" w:eastAsia="仿宋_GB2312"/>
          <w:b/>
          <w:sz w:val="30"/>
          <w:szCs w:val="30"/>
        </w:rPr>
      </w:pPr>
      <w:r>
        <w:rPr>
          <w:rFonts w:hint="eastAsia" w:ascii="仿宋_GB2312" w:eastAsia="仿宋_GB2312"/>
          <w:b/>
          <w:sz w:val="30"/>
          <w:szCs w:val="30"/>
        </w:rPr>
        <w:t>核实性公式：</w:t>
      </w:r>
    </w:p>
    <w:p>
      <w:pPr>
        <w:numPr>
          <w:ilvl w:val="0"/>
          <w:numId w:val="5"/>
        </w:numPr>
        <w:spacing w:line="360" w:lineRule="auto"/>
        <w:rPr>
          <w:rFonts w:hint="eastAsia" w:ascii="仿宋_GB2312" w:hAnsi="仿宋" w:eastAsia="仿宋_GB2312"/>
          <w:sz w:val="30"/>
          <w:szCs w:val="30"/>
        </w:rPr>
      </w:pPr>
      <w:r>
        <w:rPr>
          <w:rFonts w:hint="eastAsia" w:ascii="仿宋_GB2312" w:hAnsi="仿宋" w:eastAsia="仿宋_GB2312"/>
          <w:sz w:val="30"/>
          <w:szCs w:val="30"/>
        </w:rPr>
        <w:t>数量（1、6栏）大于</w:t>
      </w:r>
      <w:r>
        <w:rPr>
          <w:rFonts w:ascii="仿宋_GB2312" w:hAnsi="仿宋" w:eastAsia="仿宋_GB2312"/>
          <w:sz w:val="30"/>
          <w:szCs w:val="30"/>
        </w:rPr>
        <w:t>0,</w:t>
      </w:r>
      <w:r>
        <w:rPr>
          <w:rFonts w:hint="eastAsia" w:ascii="仿宋_GB2312" w:hAnsi="仿宋" w:eastAsia="仿宋_GB2312"/>
          <w:sz w:val="30"/>
          <w:szCs w:val="30"/>
        </w:rPr>
        <w:t>则</w:t>
      </w:r>
      <w:r>
        <w:rPr>
          <w:rFonts w:ascii="仿宋_GB2312" w:hAnsi="仿宋" w:eastAsia="仿宋_GB2312"/>
          <w:sz w:val="30"/>
          <w:szCs w:val="30"/>
        </w:rPr>
        <w:t>价值（2、7栏）</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，否则提示核实性错误，填写情况说明；</w:t>
      </w:r>
    </w:p>
    <w:p>
      <w:pPr>
        <w:numPr>
          <w:ilvl w:val="0"/>
          <w:numId w:val="5"/>
        </w:numPr>
        <w:spacing w:line="360" w:lineRule="auto"/>
        <w:rPr>
          <w:rFonts w:hint="eastAsia" w:ascii="仿宋_GB2312" w:hAnsi="仿宋" w:eastAsia="仿宋_GB2312"/>
          <w:sz w:val="30"/>
          <w:szCs w:val="30"/>
        </w:rPr>
      </w:pPr>
      <w:r>
        <w:rPr>
          <w:rFonts w:ascii="仿宋_GB2312" w:hAnsi="仿宋" w:eastAsia="仿宋_GB2312"/>
          <w:sz w:val="30"/>
          <w:szCs w:val="30"/>
        </w:rPr>
        <w:t>价值（2、7栏）</w:t>
      </w:r>
      <w:r>
        <w:rPr>
          <w:rFonts w:hint="eastAsia" w:ascii="仿宋_GB2312" w:hAnsi="仿宋" w:eastAsia="仿宋_GB2312"/>
          <w:sz w:val="30"/>
          <w:szCs w:val="30"/>
        </w:rPr>
        <w:t>大于</w:t>
      </w:r>
      <w:r>
        <w:rPr>
          <w:rFonts w:ascii="仿宋_GB2312" w:hAnsi="仿宋" w:eastAsia="仿宋_GB2312"/>
          <w:sz w:val="30"/>
          <w:szCs w:val="30"/>
        </w:rPr>
        <w:t>0,</w:t>
      </w:r>
      <w:r>
        <w:rPr>
          <w:rFonts w:hint="eastAsia" w:ascii="仿宋_GB2312" w:hAnsi="仿宋" w:eastAsia="仿宋_GB2312"/>
          <w:sz w:val="30"/>
          <w:szCs w:val="30"/>
        </w:rPr>
        <w:t>则数量（1、6栏）大于</w:t>
      </w:r>
      <w:r>
        <w:rPr>
          <w:rFonts w:ascii="仿宋_GB2312" w:hAnsi="仿宋" w:eastAsia="仿宋_GB2312"/>
          <w:sz w:val="30"/>
          <w:szCs w:val="30"/>
        </w:rPr>
        <w:t>0</w:t>
      </w:r>
      <w:r>
        <w:rPr>
          <w:rFonts w:hint="eastAsia" w:ascii="仿宋_GB2312" w:hAnsi="仿宋" w:eastAsia="仿宋_GB2312"/>
          <w:sz w:val="30"/>
          <w:szCs w:val="30"/>
        </w:rPr>
        <w:t>，否则提示核实性错误，填写情况说明；</w:t>
      </w:r>
    </w:p>
    <w:p>
      <w:pPr>
        <w:numPr>
          <w:ilvl w:val="0"/>
          <w:numId w:val="5"/>
        </w:numPr>
        <w:spacing w:line="360" w:lineRule="auto"/>
        <w:rPr>
          <w:rFonts w:hint="eastAsia" w:ascii="仿宋_GB2312" w:hAnsi="仿宋" w:eastAsia="仿宋_GB2312"/>
          <w:sz w:val="30"/>
          <w:szCs w:val="30"/>
        </w:rPr>
      </w:pPr>
      <w:r>
        <w:rPr>
          <w:rFonts w:hint="eastAsia" w:ascii="仿宋_GB2312" w:hAnsi="仿宋" w:eastAsia="仿宋_GB2312"/>
          <w:sz w:val="30"/>
          <w:szCs w:val="30"/>
        </w:rPr>
        <w:t>期初账面价值应等于上年期末账面价值，否则提示核实性错误，填写情况说明。</w:t>
      </w:r>
    </w:p>
    <w:p>
      <w:pPr>
        <w:pStyle w:val="2"/>
        <w:rPr>
          <w:rFonts w:hint="eastAsia"/>
          <w:b/>
          <w:color w:val="auto"/>
        </w:rPr>
      </w:pPr>
      <w:r>
        <w:rPr>
          <w:rFonts w:hint="eastAsia"/>
          <w:color w:val="auto"/>
        </w:rPr>
        <w:t>（十八）文物资源情况表（财资1</w:t>
      </w:r>
      <w:r>
        <w:rPr>
          <w:color w:val="auto"/>
        </w:rPr>
        <w:t>4</w:t>
      </w:r>
      <w:r>
        <w:rPr>
          <w:rFonts w:hint="eastAsia"/>
          <w:color w:val="auto"/>
        </w:rPr>
        <w:t>表）</w:t>
      </w:r>
    </w:p>
    <w:p>
      <w:pPr>
        <w:spacing w:line="360" w:lineRule="auto"/>
        <w:ind w:firstLine="599" w:firstLineChars="192"/>
        <w:rPr>
          <w:rFonts w:hint="eastAsia" w:ascii="仿宋_GB2312" w:hAnsi="仿宋" w:eastAsia="仿宋_GB2312"/>
          <w:spacing w:val="6"/>
          <w:sz w:val="30"/>
          <w:szCs w:val="30"/>
        </w:rPr>
      </w:pPr>
      <w:r>
        <w:rPr>
          <w:rFonts w:hint="eastAsia" w:ascii="仿宋_GB2312" w:hAnsi="仿宋" w:eastAsia="仿宋_GB2312"/>
          <w:spacing w:val="6"/>
          <w:sz w:val="30"/>
          <w:szCs w:val="30"/>
        </w:rPr>
        <w:t>本表反映由行政事业单位承担管理收藏职责的文物资源情况。原则上本表数据从资产卡片提取，行政事业单位可根据实际情况进行手工修改。</w:t>
      </w:r>
    </w:p>
    <w:p>
      <w:pPr>
        <w:spacing w:line="360" w:lineRule="auto"/>
        <w:ind w:firstLine="599" w:firstLineChars="192"/>
        <w:rPr>
          <w:rFonts w:ascii="仿宋_GB2312" w:eastAsia="仿宋_GB2312"/>
          <w:b/>
          <w:bCs/>
          <w:sz w:val="30"/>
          <w:szCs w:val="30"/>
        </w:rPr>
      </w:pPr>
      <w:r>
        <w:rPr>
          <w:rFonts w:hint="eastAsia" w:ascii="仿宋_GB2312" w:hAnsi="仿宋" w:eastAsia="仿宋_GB2312"/>
          <w:spacing w:val="6"/>
          <w:sz w:val="30"/>
          <w:szCs w:val="30"/>
        </w:rPr>
        <w:t>文物资源的确认、计量、填报和登记入账核算按照《国有文物资源资产管理暂行办法》、《政府会计准则第11号——文物资源》、《政府会计准则第11号——文物资源》应用指南的规定执行。数量中，“账面数”中填列已入账数量，价值填列以成本计量价值或以名义金额计量价值。</w:t>
      </w:r>
    </w:p>
    <w:p>
      <w:pPr>
        <w:spacing w:line="360" w:lineRule="auto"/>
        <w:ind w:firstLine="578" w:firstLineChars="192"/>
        <w:rPr>
          <w:rFonts w:hint="eastAsia" w:ascii="仿宋_GB2312" w:hAnsi="仿宋" w:eastAsia="仿宋_GB2312"/>
          <w:b/>
          <w:bCs/>
          <w:sz w:val="30"/>
          <w:szCs w:val="30"/>
        </w:rPr>
      </w:pPr>
      <w:r>
        <w:rPr>
          <w:rFonts w:hint="eastAsia" w:ascii="仿宋_GB2312"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不可移动文物。《中华人民共和国文物保护法》规定，古文化遗址、古墓葬、古建筑、石窟寺、古石刻、古壁画、近代现代重要史迹和代表性建筑等不可移动文物，分为文物保护单位和未核定公布为文物保护单位的不可移动文物；文物保护单位分为全国重点文物保护单位，省级文物保护单位，设区的市级、县级文物保护单位。其中：</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全国重点文物保护单位，由国务院文物行政部门在省级和设区的市级、县级文物保护单位中，选择具有重大历史、艺术、科学价值的确定为全国重点文物保护单位，或者直接确定为全国重点文物保护单位，报国务院核定公布。</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省级文物保护单位，由省、自治区、直辖市人民政府核定公布，并报国务院备案。</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设区的市级、县级文物保护单位，分别由设区的市、自治州人民政府和县级人民政府核定公布，并报省、自治区、直辖市人民政府备案。</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未核定公布为文物保护单位的不可移动文物，由县级人民政府文物行政部门登记，报本级人民政府和上一级人民政府文物行政部门备案，并向社会公布。</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2.可移动文物。历史上各时代重要实物、艺术品、工艺美术品、文献资料、手稿、图书资料、代表性实物等可移动文物，分为珍贵文物、一般文物和未定级文物。珍贵文物分为一级文物、二级文物、三级文物。</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3.其他藏品。是指除不可移动文物、可移动文物以外的其他藏品。</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合计（1行）等于不可移动文物（</w:t>
      </w:r>
      <w:r>
        <w:rPr>
          <w:rFonts w:hAnsi="仿宋"/>
          <w:sz w:val="30"/>
          <w:szCs w:val="30"/>
        </w:rPr>
        <w:t>2</w:t>
      </w:r>
      <w:r>
        <w:rPr>
          <w:rFonts w:hint="eastAsia" w:hAnsi="仿宋"/>
          <w:sz w:val="30"/>
          <w:szCs w:val="30"/>
        </w:rPr>
        <w:t>行）、可移动文物（</w:t>
      </w:r>
      <w:r>
        <w:rPr>
          <w:rFonts w:hAnsi="仿宋"/>
          <w:sz w:val="30"/>
          <w:szCs w:val="30"/>
        </w:rPr>
        <w:t>7</w:t>
      </w:r>
      <w:r>
        <w:rPr>
          <w:rFonts w:hint="eastAsia" w:hAnsi="仿宋"/>
          <w:sz w:val="30"/>
          <w:szCs w:val="30"/>
        </w:rPr>
        <w:t>行）、其他藏品（</w:t>
      </w:r>
      <w:r>
        <w:rPr>
          <w:rFonts w:hAnsi="仿宋"/>
          <w:sz w:val="30"/>
          <w:szCs w:val="30"/>
        </w:rPr>
        <w:t>13</w:t>
      </w:r>
      <w:r>
        <w:rPr>
          <w:rFonts w:hint="eastAsia" w:hAnsi="仿宋"/>
          <w:sz w:val="30"/>
          <w:szCs w:val="30"/>
        </w:rPr>
        <w:t>行）各项之和；</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不可移动文物（</w:t>
      </w:r>
      <w:r>
        <w:rPr>
          <w:rFonts w:hAnsi="仿宋"/>
          <w:sz w:val="30"/>
          <w:szCs w:val="30"/>
        </w:rPr>
        <w:t>2</w:t>
      </w:r>
      <w:r>
        <w:rPr>
          <w:rFonts w:hint="eastAsia" w:hAnsi="仿宋"/>
          <w:sz w:val="30"/>
          <w:szCs w:val="30"/>
        </w:rPr>
        <w:t>行）等于全国重点文物保护单位（3行）、省级文物保护单位（</w:t>
      </w:r>
      <w:r>
        <w:rPr>
          <w:rFonts w:hAnsi="仿宋"/>
          <w:sz w:val="30"/>
          <w:szCs w:val="30"/>
        </w:rPr>
        <w:t>4</w:t>
      </w:r>
      <w:r>
        <w:rPr>
          <w:rFonts w:hint="eastAsia" w:hAnsi="仿宋"/>
          <w:sz w:val="30"/>
          <w:szCs w:val="30"/>
        </w:rPr>
        <w:t>行）、设区</w:t>
      </w:r>
      <w:r>
        <w:rPr>
          <w:rFonts w:hint="eastAsia" w:hAnsi="仿宋"/>
          <w:sz w:val="30"/>
          <w:szCs w:val="30"/>
          <w:lang w:val="en-US" w:eastAsia="zh-CN"/>
        </w:rPr>
        <w:t>的</w:t>
      </w:r>
      <w:r>
        <w:rPr>
          <w:rFonts w:hint="eastAsia" w:hAnsi="仿宋"/>
          <w:sz w:val="30"/>
          <w:szCs w:val="30"/>
        </w:rPr>
        <w:t>市级、县级文物保护单位（</w:t>
      </w:r>
      <w:r>
        <w:rPr>
          <w:rFonts w:hAnsi="仿宋"/>
          <w:sz w:val="30"/>
          <w:szCs w:val="30"/>
        </w:rPr>
        <w:t>5</w:t>
      </w:r>
      <w:r>
        <w:rPr>
          <w:rFonts w:hint="eastAsia" w:hAnsi="仿宋"/>
          <w:sz w:val="30"/>
          <w:szCs w:val="30"/>
        </w:rPr>
        <w:t>行）、未核定公布为文物保护单位的不可移动文物（</w:t>
      </w:r>
      <w:r>
        <w:rPr>
          <w:rFonts w:hAnsi="仿宋"/>
          <w:sz w:val="30"/>
          <w:szCs w:val="30"/>
        </w:rPr>
        <w:t>6</w:t>
      </w:r>
      <w:r>
        <w:rPr>
          <w:rFonts w:hint="eastAsia" w:hAnsi="仿宋"/>
          <w:sz w:val="30"/>
          <w:szCs w:val="30"/>
        </w:rPr>
        <w:t>行）各项之和；</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可移动文物（</w:t>
      </w:r>
      <w:r>
        <w:rPr>
          <w:rFonts w:hAnsi="仿宋"/>
          <w:sz w:val="30"/>
          <w:szCs w:val="30"/>
        </w:rPr>
        <w:t>7</w:t>
      </w:r>
      <w:r>
        <w:rPr>
          <w:rFonts w:hint="eastAsia" w:hAnsi="仿宋"/>
          <w:sz w:val="30"/>
          <w:szCs w:val="30"/>
        </w:rPr>
        <w:t>行）等于一级文物（8行）、二级文物（</w:t>
      </w:r>
      <w:r>
        <w:rPr>
          <w:rFonts w:hAnsi="仿宋"/>
          <w:sz w:val="30"/>
          <w:szCs w:val="30"/>
        </w:rPr>
        <w:t>9</w:t>
      </w:r>
      <w:r>
        <w:rPr>
          <w:rFonts w:hint="eastAsia" w:hAnsi="仿宋"/>
          <w:sz w:val="30"/>
          <w:szCs w:val="30"/>
        </w:rPr>
        <w:t>行）、三级文物（</w:t>
      </w:r>
      <w:r>
        <w:rPr>
          <w:rFonts w:hAnsi="仿宋"/>
          <w:sz w:val="30"/>
          <w:szCs w:val="30"/>
        </w:rPr>
        <w:t>10</w:t>
      </w:r>
      <w:r>
        <w:rPr>
          <w:rFonts w:hint="eastAsia" w:hAnsi="仿宋"/>
          <w:sz w:val="30"/>
          <w:szCs w:val="30"/>
        </w:rPr>
        <w:t>行）、一般文物（</w:t>
      </w:r>
      <w:r>
        <w:rPr>
          <w:rFonts w:hAnsi="仿宋"/>
          <w:sz w:val="30"/>
          <w:szCs w:val="30"/>
        </w:rPr>
        <w:t>11</w:t>
      </w:r>
      <w:r>
        <w:rPr>
          <w:rFonts w:hint="eastAsia" w:hAnsi="仿宋"/>
          <w:sz w:val="30"/>
          <w:szCs w:val="30"/>
        </w:rPr>
        <w:t>行）、未定级文物（</w:t>
      </w:r>
      <w:r>
        <w:rPr>
          <w:rFonts w:hAnsi="仿宋"/>
          <w:sz w:val="30"/>
          <w:szCs w:val="30"/>
        </w:rPr>
        <w:t>12</w:t>
      </w:r>
      <w:r>
        <w:rPr>
          <w:rFonts w:hint="eastAsia" w:hAnsi="仿宋"/>
          <w:sz w:val="30"/>
          <w:szCs w:val="30"/>
        </w:rPr>
        <w:t>行）各项之和；</w:t>
      </w:r>
    </w:p>
    <w:p>
      <w:pPr>
        <w:numPr>
          <w:ilvl w:val="0"/>
          <w:numId w:val="8"/>
        </w:numPr>
        <w:snapToGrid w:val="0"/>
        <w:spacing w:line="360" w:lineRule="auto"/>
        <w:ind w:left="0" w:firstLine="576"/>
        <w:rPr>
          <w:rFonts w:hint="eastAsia" w:ascii="仿宋_GB2312" w:hAnsi="仿宋" w:eastAsia="仿宋_GB2312"/>
          <w:spacing w:val="6"/>
          <w:sz w:val="30"/>
          <w:szCs w:val="30"/>
        </w:rPr>
      </w:pPr>
      <w:r>
        <w:rPr>
          <w:rFonts w:hint="eastAsia" w:ascii="仿宋_GB2312" w:hAnsi="仿宋" w:eastAsia="仿宋_GB2312"/>
          <w:spacing w:val="6"/>
          <w:sz w:val="30"/>
          <w:szCs w:val="30"/>
        </w:rPr>
        <w:t>承担管理收藏职责数量</w:t>
      </w:r>
      <w:r>
        <w:rPr>
          <w:rFonts w:hint="eastAsia" w:ascii="仿宋_GB2312" w:hAnsi="仿宋" w:eastAsia="仿宋_GB2312"/>
          <w:sz w:val="30"/>
          <w:szCs w:val="30"/>
        </w:rPr>
        <w:t>（</w:t>
      </w:r>
      <w:r>
        <w:rPr>
          <w:rFonts w:hint="eastAsia" w:ascii="仿宋_GB2312" w:hAnsi="仿宋" w:eastAsia="仿宋_GB2312"/>
          <w:spacing w:val="6"/>
          <w:sz w:val="30"/>
          <w:szCs w:val="30"/>
        </w:rPr>
        <w:t>1栏）大于等于数量</w:t>
      </w:r>
      <w:r>
        <w:rPr>
          <w:rFonts w:hint="eastAsia" w:ascii="仿宋_GB2312" w:hAnsi="仿宋" w:eastAsia="仿宋_GB2312"/>
          <w:sz w:val="30"/>
          <w:szCs w:val="30"/>
        </w:rPr>
        <w:t>（</w:t>
      </w:r>
      <w:r>
        <w:rPr>
          <w:rFonts w:ascii="仿宋_GB2312" w:hAnsi="仿宋" w:eastAsia="仿宋_GB2312"/>
          <w:spacing w:val="6"/>
          <w:sz w:val="30"/>
          <w:szCs w:val="30"/>
        </w:rPr>
        <w:t>2栏</w:t>
      </w:r>
      <w:r>
        <w:rPr>
          <w:rFonts w:hint="eastAsia" w:ascii="仿宋_GB2312" w:hAnsi="仿宋" w:eastAsia="仿宋_GB2312"/>
          <w:spacing w:val="6"/>
          <w:sz w:val="30"/>
          <w:szCs w:val="30"/>
        </w:rPr>
        <w:t>）；</w:t>
      </w:r>
    </w:p>
    <w:p>
      <w:pPr>
        <w:numPr>
          <w:ilvl w:val="0"/>
          <w:numId w:val="8"/>
        </w:numPr>
        <w:spacing w:line="360" w:lineRule="auto"/>
        <w:ind w:left="0" w:firstLine="576"/>
        <w:rPr>
          <w:rFonts w:hint="eastAsia" w:hAnsi="仿宋"/>
          <w:sz w:val="30"/>
          <w:szCs w:val="30"/>
        </w:rPr>
      </w:pPr>
      <w:r>
        <w:rPr>
          <w:rFonts w:hint="eastAsia" w:ascii="仿宋_GB2312" w:hAnsi="仿宋" w:eastAsia="仿宋_GB2312"/>
          <w:spacing w:val="6"/>
          <w:sz w:val="30"/>
          <w:szCs w:val="30"/>
        </w:rPr>
        <w:t>承担管理收藏职责数量</w:t>
      </w:r>
      <w:r>
        <w:rPr>
          <w:rFonts w:hint="eastAsia" w:ascii="仿宋_GB2312" w:hAnsi="仿宋" w:eastAsia="仿宋_GB2312"/>
          <w:sz w:val="30"/>
          <w:szCs w:val="30"/>
        </w:rPr>
        <w:t>（</w:t>
      </w:r>
      <w:r>
        <w:rPr>
          <w:rFonts w:hint="eastAsia" w:ascii="仿宋_GB2312" w:hAnsi="仿宋" w:eastAsia="仿宋_GB2312"/>
          <w:spacing w:val="6"/>
          <w:sz w:val="30"/>
          <w:szCs w:val="30"/>
        </w:rPr>
        <w:t>6栏）大于等于数量</w:t>
      </w:r>
      <w:r>
        <w:rPr>
          <w:rFonts w:hint="eastAsia" w:ascii="仿宋_GB2312" w:hAnsi="仿宋" w:eastAsia="仿宋_GB2312"/>
          <w:sz w:val="30"/>
          <w:szCs w:val="30"/>
        </w:rPr>
        <w:t>（</w:t>
      </w:r>
      <w:r>
        <w:rPr>
          <w:rFonts w:hint="eastAsia" w:ascii="仿宋_GB2312" w:hAnsi="仿宋" w:eastAsia="仿宋_GB2312"/>
          <w:spacing w:val="6"/>
          <w:sz w:val="30"/>
          <w:szCs w:val="30"/>
        </w:rPr>
        <w:t>7</w:t>
      </w:r>
      <w:r>
        <w:rPr>
          <w:rFonts w:ascii="仿宋_GB2312" w:hAnsi="仿宋" w:eastAsia="仿宋_GB2312"/>
          <w:spacing w:val="6"/>
          <w:sz w:val="30"/>
          <w:szCs w:val="30"/>
        </w:rPr>
        <w:t>栏</w:t>
      </w:r>
      <w:r>
        <w:rPr>
          <w:rFonts w:hint="eastAsia" w:ascii="仿宋_GB2312" w:hAnsi="仿宋" w:eastAsia="仿宋_GB2312"/>
          <w:spacing w:val="6"/>
          <w:sz w:val="30"/>
          <w:szCs w:val="30"/>
        </w:rPr>
        <w:t>）；</w:t>
      </w:r>
    </w:p>
    <w:p>
      <w:pPr>
        <w:numPr>
          <w:ilvl w:val="0"/>
          <w:numId w:val="8"/>
        </w:numPr>
        <w:spacing w:line="360" w:lineRule="auto"/>
        <w:ind w:left="0" w:firstLine="576"/>
        <w:rPr>
          <w:rFonts w:hint="eastAsia" w:hAnsi="仿宋"/>
          <w:sz w:val="30"/>
          <w:szCs w:val="30"/>
        </w:rPr>
      </w:pPr>
      <w:r>
        <w:rPr>
          <w:rFonts w:hint="eastAsia" w:ascii="仿宋_GB2312" w:hAnsi="仿宋" w:eastAsia="仿宋_GB2312"/>
          <w:spacing w:val="6"/>
          <w:sz w:val="30"/>
          <w:szCs w:val="30"/>
        </w:rPr>
        <w:t>账面数价值小计</w:t>
      </w:r>
      <w:r>
        <w:rPr>
          <w:rFonts w:hint="eastAsia" w:ascii="仿宋_GB2312" w:hAnsi="仿宋" w:eastAsia="仿宋_GB2312"/>
          <w:sz w:val="30"/>
          <w:szCs w:val="30"/>
        </w:rPr>
        <w:t>（3</w:t>
      </w:r>
      <w:r>
        <w:rPr>
          <w:rFonts w:hint="eastAsia" w:ascii="仿宋_GB2312" w:hAnsi="仿宋" w:eastAsia="仿宋_GB2312"/>
          <w:spacing w:val="6"/>
          <w:sz w:val="30"/>
          <w:szCs w:val="30"/>
        </w:rPr>
        <w:t>栏、8栏）等于成本计量价值</w:t>
      </w:r>
      <w:r>
        <w:rPr>
          <w:rFonts w:hint="eastAsia" w:ascii="仿宋_GB2312" w:hAnsi="仿宋" w:eastAsia="仿宋_GB2312"/>
          <w:sz w:val="30"/>
          <w:szCs w:val="30"/>
        </w:rPr>
        <w:t>（4</w:t>
      </w:r>
      <w:r>
        <w:rPr>
          <w:rFonts w:hint="eastAsia" w:ascii="仿宋_GB2312" w:hAnsi="仿宋" w:eastAsia="仿宋_GB2312"/>
          <w:spacing w:val="6"/>
          <w:sz w:val="30"/>
          <w:szCs w:val="30"/>
        </w:rPr>
        <w:t>栏、9栏）、名义金额计量价值</w:t>
      </w:r>
      <w:r>
        <w:rPr>
          <w:rFonts w:hint="eastAsia" w:ascii="仿宋_GB2312" w:hAnsi="仿宋" w:eastAsia="仿宋_GB2312"/>
          <w:sz w:val="30"/>
          <w:szCs w:val="30"/>
        </w:rPr>
        <w:t>（5</w:t>
      </w:r>
      <w:r>
        <w:rPr>
          <w:rFonts w:hint="eastAsia" w:ascii="仿宋_GB2312" w:hAnsi="仿宋" w:eastAsia="仿宋_GB2312"/>
          <w:spacing w:val="6"/>
          <w:sz w:val="30"/>
          <w:szCs w:val="30"/>
        </w:rPr>
        <w:t>栏、10栏）之和；</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表间公式：</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合计（1行）期初价值（3栏）等于财资0</w:t>
      </w:r>
      <w:r>
        <w:rPr>
          <w:rFonts w:hAnsi="仿宋"/>
          <w:sz w:val="30"/>
          <w:szCs w:val="30"/>
        </w:rPr>
        <w:t>1</w:t>
      </w:r>
      <w:r>
        <w:rPr>
          <w:rFonts w:hint="eastAsia" w:hAnsi="仿宋"/>
          <w:sz w:val="30"/>
          <w:szCs w:val="30"/>
        </w:rPr>
        <w:t>表文物资源（3</w:t>
      </w:r>
      <w:r>
        <w:rPr>
          <w:rFonts w:hAnsi="仿宋"/>
          <w:sz w:val="30"/>
          <w:szCs w:val="30"/>
        </w:rPr>
        <w:t>2</w:t>
      </w:r>
      <w:r>
        <w:rPr>
          <w:rFonts w:hint="eastAsia" w:hAnsi="仿宋"/>
          <w:sz w:val="30"/>
          <w:szCs w:val="30"/>
        </w:rPr>
        <w:t>行）期初数（1栏）；</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合计（1行）期末价值（8栏）等于财资0</w:t>
      </w:r>
      <w:r>
        <w:rPr>
          <w:rFonts w:hAnsi="仿宋"/>
          <w:sz w:val="30"/>
          <w:szCs w:val="30"/>
        </w:rPr>
        <w:t>1</w:t>
      </w:r>
      <w:r>
        <w:rPr>
          <w:rFonts w:hint="eastAsia" w:hAnsi="仿宋"/>
          <w:sz w:val="30"/>
          <w:szCs w:val="30"/>
        </w:rPr>
        <w:t>表文物资源（</w:t>
      </w:r>
      <w:r>
        <w:rPr>
          <w:rFonts w:hAnsi="仿宋"/>
          <w:sz w:val="30"/>
          <w:szCs w:val="30"/>
        </w:rPr>
        <w:t>32</w:t>
      </w:r>
      <w:r>
        <w:rPr>
          <w:rFonts w:hint="eastAsia" w:hAnsi="仿宋"/>
          <w:sz w:val="30"/>
          <w:szCs w:val="30"/>
        </w:rPr>
        <w:t>行）期末数（2栏）。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账面数（2、7栏）大于0,则价值</w:t>
      </w:r>
      <w:r>
        <w:rPr>
          <w:rFonts w:hint="eastAsia" w:hAnsi="仿宋"/>
          <w:bCs/>
          <w:sz w:val="30"/>
          <w:szCs w:val="30"/>
        </w:rPr>
        <w:t>（3</w:t>
      </w:r>
      <w:r>
        <w:rPr>
          <w:rFonts w:hint="eastAsia" w:hAnsi="仿宋"/>
          <w:sz w:val="30"/>
          <w:szCs w:val="30"/>
        </w:rPr>
        <w:t>、8栏）大于0</w:t>
      </w:r>
      <w:r>
        <w:rPr>
          <w:rFonts w:hAnsi="仿宋"/>
          <w:sz w:val="30"/>
          <w:szCs w:val="30"/>
        </w:rPr>
        <w:t>，否则提示核实性错误，需结合实际情况修改或填写情况说明</w:t>
      </w:r>
      <w:r>
        <w:rPr>
          <w:rFonts w:hint="eastAsia" w:hAnsi="仿宋"/>
          <w:sz w:val="30"/>
          <w:szCs w:val="30"/>
        </w:rPr>
        <w:t>；</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价值</w:t>
      </w:r>
      <w:r>
        <w:rPr>
          <w:rFonts w:hint="eastAsia" w:hAnsi="仿宋"/>
          <w:bCs/>
          <w:sz w:val="30"/>
          <w:szCs w:val="30"/>
        </w:rPr>
        <w:t>（3</w:t>
      </w:r>
      <w:r>
        <w:rPr>
          <w:rFonts w:hint="eastAsia" w:hAnsi="仿宋"/>
          <w:sz w:val="30"/>
          <w:szCs w:val="30"/>
        </w:rPr>
        <w:t>、8栏）大于0,则账面数（2、7栏）大于0，</w:t>
      </w:r>
      <w:r>
        <w:rPr>
          <w:rFonts w:hAnsi="仿宋"/>
          <w:sz w:val="30"/>
          <w:szCs w:val="30"/>
        </w:rPr>
        <w:t>否则提示核实性错误，需结合实际情况修改或填写情况说明</w:t>
      </w:r>
      <w:r>
        <w:rPr>
          <w:rFonts w:hint="eastAsia" w:hAnsi="仿宋"/>
          <w:sz w:val="30"/>
          <w:szCs w:val="30"/>
        </w:rPr>
        <w:t>；</w:t>
      </w:r>
    </w:p>
    <w:p>
      <w:pPr>
        <w:pStyle w:val="7"/>
        <w:numPr>
          <w:ilvl w:val="0"/>
          <w:numId w:val="8"/>
        </w:numPr>
        <w:spacing w:line="360" w:lineRule="auto"/>
        <w:ind w:left="16" w:firstLine="560" w:firstLineChars="0"/>
        <w:rPr>
          <w:rFonts w:hint="eastAsia" w:hAnsi="仿宋"/>
          <w:sz w:val="30"/>
          <w:szCs w:val="30"/>
        </w:rPr>
      </w:pPr>
      <w:r>
        <w:rPr>
          <w:rFonts w:hint="eastAsia" w:hAnsi="仿宋"/>
          <w:bCs/>
          <w:sz w:val="30"/>
          <w:szCs w:val="30"/>
        </w:rPr>
        <w:t>合计（1行）承担管理收藏职责数量小计（</w:t>
      </w:r>
      <w:r>
        <w:rPr>
          <w:rFonts w:hint="eastAsia" w:hAnsi="仿宋"/>
          <w:sz w:val="30"/>
          <w:szCs w:val="30"/>
        </w:rPr>
        <w:t>6栏）</w:t>
      </w:r>
      <w:r>
        <w:rPr>
          <w:rFonts w:hint="eastAsia" w:hAnsi="仿宋"/>
          <w:bCs/>
          <w:sz w:val="30"/>
          <w:szCs w:val="30"/>
        </w:rPr>
        <w:t>应小于等于100万，否则提示核实性错误，需结合实际情况修改或填写情况说明;</w:t>
      </w:r>
    </w:p>
    <w:p>
      <w:pPr>
        <w:numPr>
          <w:ilvl w:val="0"/>
          <w:numId w:val="2"/>
        </w:numPr>
        <w:adjustRightInd w:val="0"/>
        <w:spacing w:line="360" w:lineRule="auto"/>
        <w:ind w:left="0" w:firstLine="600"/>
        <w:rPr>
          <w:rFonts w:hint="eastAsia" w:hAnsi="仿宋"/>
          <w:sz w:val="30"/>
          <w:szCs w:val="30"/>
        </w:rPr>
      </w:pPr>
      <w:r>
        <w:rPr>
          <w:rFonts w:hint="eastAsia" w:ascii="仿宋_GB2312" w:hAnsi="仿宋" w:eastAsia="仿宋_GB2312"/>
          <w:bCs/>
          <w:spacing w:val="6"/>
          <w:sz w:val="30"/>
          <w:szCs w:val="30"/>
        </w:rPr>
        <w:t>不可移动文物（</w:t>
      </w:r>
      <w:r>
        <w:rPr>
          <w:rFonts w:ascii="仿宋_GB2312" w:hAnsi="仿宋" w:eastAsia="仿宋_GB2312"/>
          <w:bCs/>
          <w:spacing w:val="6"/>
          <w:sz w:val="30"/>
          <w:szCs w:val="30"/>
        </w:rPr>
        <w:t>2</w:t>
      </w:r>
      <w:r>
        <w:rPr>
          <w:rFonts w:hint="eastAsia" w:ascii="仿宋_GB2312" w:hAnsi="仿宋" w:eastAsia="仿宋_GB2312"/>
          <w:bCs/>
          <w:spacing w:val="6"/>
          <w:sz w:val="30"/>
          <w:szCs w:val="30"/>
        </w:rPr>
        <w:t>行）</w:t>
      </w:r>
      <w:r>
        <w:rPr>
          <w:rFonts w:hint="eastAsia" w:ascii="仿宋_GB2312" w:hAnsi="仿宋" w:eastAsia="仿宋_GB2312"/>
          <w:sz w:val="30"/>
          <w:szCs w:val="30"/>
        </w:rPr>
        <w:t>、</w:t>
      </w:r>
      <w:r>
        <w:rPr>
          <w:rFonts w:hint="eastAsia" w:ascii="仿宋_GB2312" w:hAnsi="仿宋" w:eastAsia="仿宋_GB2312"/>
          <w:bCs/>
          <w:spacing w:val="6"/>
          <w:sz w:val="30"/>
          <w:szCs w:val="30"/>
        </w:rPr>
        <w:t>可移动文物（</w:t>
      </w:r>
      <w:r>
        <w:rPr>
          <w:rFonts w:ascii="仿宋_GB2312" w:hAnsi="仿宋" w:eastAsia="仿宋_GB2312"/>
          <w:bCs/>
          <w:spacing w:val="6"/>
          <w:sz w:val="30"/>
          <w:szCs w:val="30"/>
        </w:rPr>
        <w:t>7</w:t>
      </w:r>
      <w:r>
        <w:rPr>
          <w:rFonts w:hint="eastAsia" w:ascii="仿宋_GB2312" w:hAnsi="仿宋" w:eastAsia="仿宋_GB2312"/>
          <w:bCs/>
          <w:spacing w:val="6"/>
          <w:sz w:val="30"/>
          <w:szCs w:val="30"/>
        </w:rPr>
        <w:t>行）</w:t>
      </w:r>
      <w:r>
        <w:rPr>
          <w:rFonts w:hint="eastAsia" w:ascii="仿宋_GB2312" w:hAnsi="仿宋" w:eastAsia="仿宋_GB2312"/>
          <w:sz w:val="30"/>
          <w:szCs w:val="30"/>
        </w:rPr>
        <w:t>期初账面价</w:t>
      </w:r>
      <w:r>
        <w:rPr>
          <w:rFonts w:hint="eastAsia" w:ascii="仿宋_GB2312" w:hAnsi="仿宋" w:eastAsia="仿宋_GB2312"/>
          <w:bCs/>
          <w:spacing w:val="6"/>
          <w:sz w:val="30"/>
          <w:szCs w:val="30"/>
        </w:rPr>
        <w:t>值（3栏）应</w:t>
      </w:r>
      <w:r>
        <w:rPr>
          <w:rFonts w:hint="eastAsia" w:ascii="仿宋_GB2312" w:hAnsi="仿宋" w:eastAsia="仿宋_GB2312"/>
          <w:sz w:val="30"/>
          <w:szCs w:val="30"/>
        </w:rPr>
        <w:t>等于上年财资1</w:t>
      </w:r>
      <w:r>
        <w:rPr>
          <w:rFonts w:ascii="仿宋_GB2312" w:hAnsi="仿宋" w:eastAsia="仿宋_GB2312"/>
          <w:sz w:val="30"/>
          <w:szCs w:val="30"/>
        </w:rPr>
        <w:t>4</w:t>
      </w:r>
      <w:r>
        <w:rPr>
          <w:rFonts w:hint="eastAsia" w:ascii="仿宋_GB2312" w:hAnsi="仿宋" w:eastAsia="仿宋_GB2312"/>
          <w:sz w:val="30"/>
          <w:szCs w:val="30"/>
        </w:rPr>
        <w:t>表期末账面价值，否则提示核实性错误，填写情况说明；</w:t>
      </w:r>
    </w:p>
    <w:p>
      <w:pPr>
        <w:numPr>
          <w:ilvl w:val="0"/>
          <w:numId w:val="2"/>
        </w:numPr>
        <w:adjustRightInd w:val="0"/>
        <w:snapToGrid w:val="0"/>
        <w:spacing w:line="360" w:lineRule="auto"/>
        <w:ind w:left="0" w:firstLine="600"/>
        <w:rPr>
          <w:rFonts w:hint="eastAsia" w:hAnsi="仿宋"/>
          <w:sz w:val="30"/>
          <w:szCs w:val="30"/>
        </w:rPr>
      </w:pPr>
      <w:r>
        <w:rPr>
          <w:rFonts w:hint="eastAsia" w:ascii="仿宋_GB2312" w:hAnsi="仿宋" w:eastAsia="仿宋_GB2312"/>
          <w:bCs/>
          <w:spacing w:val="6"/>
          <w:sz w:val="30"/>
          <w:szCs w:val="30"/>
        </w:rPr>
        <w:t>不可移动文物（2行）、可移动文物（7行）期初数量（1、2栏）应等于上年财资14表期末数量，否则提示核实性错误，填写情况说明；</w:t>
      </w:r>
    </w:p>
    <w:p>
      <w:pPr>
        <w:pStyle w:val="7"/>
        <w:numPr>
          <w:ilvl w:val="0"/>
          <w:numId w:val="8"/>
        </w:numPr>
        <w:spacing w:line="360" w:lineRule="auto"/>
        <w:ind w:left="16" w:firstLine="560" w:firstLineChars="0"/>
        <w:rPr>
          <w:rFonts w:hint="eastAsia" w:hAnsi="仿宋"/>
          <w:sz w:val="30"/>
          <w:szCs w:val="30"/>
        </w:rPr>
      </w:pPr>
      <w:r>
        <w:rPr>
          <w:rFonts w:hint="eastAsia" w:hAnsi="仿宋"/>
          <w:bCs/>
          <w:sz w:val="30"/>
          <w:szCs w:val="30"/>
        </w:rPr>
        <w:t>合计（1行）价值（8栏）应小于等于20亿元，否则提示核实性错误，需结合实际情况修改或填写情况说明；</w:t>
      </w:r>
    </w:p>
    <w:p>
      <w:pPr>
        <w:pStyle w:val="7"/>
        <w:numPr>
          <w:ilvl w:val="0"/>
          <w:numId w:val="5"/>
        </w:numPr>
        <w:spacing w:line="360" w:lineRule="auto"/>
        <w:ind w:firstLineChars="0"/>
        <w:rPr>
          <w:rFonts w:hint="eastAsia" w:hAnsi="仿宋"/>
          <w:sz w:val="30"/>
          <w:szCs w:val="30"/>
        </w:rPr>
      </w:pPr>
      <w:r>
        <w:rPr>
          <w:rFonts w:hint="eastAsia" w:hAnsi="仿宋"/>
          <w:sz w:val="30"/>
          <w:szCs w:val="30"/>
        </w:rPr>
        <w:t>当一级文物</w:t>
      </w:r>
      <w:r>
        <w:rPr>
          <w:rFonts w:hint="eastAsia" w:hAnsi="仿宋"/>
          <w:bCs/>
          <w:sz w:val="30"/>
          <w:szCs w:val="30"/>
        </w:rPr>
        <w:t>（</w:t>
      </w:r>
      <w:r>
        <w:rPr>
          <w:rFonts w:hint="eastAsia" w:hAnsi="仿宋"/>
          <w:sz w:val="30"/>
          <w:szCs w:val="30"/>
        </w:rPr>
        <w:t>8</w:t>
      </w:r>
      <w:r>
        <w:rPr>
          <w:rFonts w:hint="eastAsia" w:hAnsi="仿宋"/>
          <w:bCs/>
          <w:sz w:val="30"/>
          <w:szCs w:val="30"/>
        </w:rPr>
        <w:t>行）</w:t>
      </w:r>
      <w:r>
        <w:rPr>
          <w:rFonts w:hint="eastAsia"/>
          <w:sz w:val="30"/>
          <w:szCs w:val="30"/>
        </w:rPr>
        <w:t>、国家重点文物保护单位</w:t>
      </w:r>
      <w:r>
        <w:rPr>
          <w:rFonts w:hint="eastAsia" w:hAnsi="仿宋"/>
          <w:bCs/>
          <w:sz w:val="30"/>
          <w:szCs w:val="30"/>
        </w:rPr>
        <w:t>（</w:t>
      </w:r>
      <w:r>
        <w:rPr>
          <w:rFonts w:hint="eastAsia"/>
          <w:sz w:val="30"/>
          <w:szCs w:val="30"/>
        </w:rPr>
        <w:t>3行</w:t>
      </w:r>
      <w:r>
        <w:rPr>
          <w:rFonts w:hint="eastAsia" w:hAnsi="仿宋"/>
          <w:bCs/>
          <w:sz w:val="30"/>
          <w:szCs w:val="30"/>
        </w:rPr>
        <w:t>）的期末数量小计</w:t>
      </w:r>
      <w:r>
        <w:rPr>
          <w:rFonts w:hint="eastAsia"/>
          <w:sz w:val="30"/>
          <w:szCs w:val="30"/>
        </w:rPr>
        <w:t>（6栏</w:t>
      </w:r>
      <w:r>
        <w:rPr>
          <w:rFonts w:hint="eastAsia" w:hAnsi="仿宋"/>
          <w:bCs/>
          <w:sz w:val="30"/>
          <w:szCs w:val="30"/>
        </w:rPr>
        <w:t>）</w:t>
      </w:r>
      <w:r>
        <w:rPr>
          <w:rFonts w:hint="eastAsia"/>
          <w:sz w:val="30"/>
          <w:szCs w:val="30"/>
        </w:rPr>
        <w:t>减期初</w:t>
      </w:r>
      <w:r>
        <w:rPr>
          <w:rFonts w:hint="eastAsia" w:hAnsi="仿宋"/>
          <w:bCs/>
          <w:sz w:val="30"/>
          <w:szCs w:val="30"/>
        </w:rPr>
        <w:t>数量小计（1栏）</w:t>
      </w:r>
      <w:r>
        <w:rPr>
          <w:rFonts w:hint="eastAsia" w:hAnsi="仿宋"/>
          <w:sz w:val="30"/>
          <w:szCs w:val="30"/>
        </w:rPr>
        <w:t>小于等于-10时，提示核实性错误，需结合实际情况修改或填写详细减少情况说明。</w:t>
      </w:r>
    </w:p>
    <w:p>
      <w:pPr>
        <w:pStyle w:val="2"/>
        <w:rPr>
          <w:rFonts w:hint="eastAsia"/>
          <w:b/>
          <w:color w:val="auto"/>
        </w:rPr>
      </w:pPr>
      <w:r>
        <w:rPr>
          <w:rFonts w:hint="eastAsia"/>
          <w:color w:val="auto"/>
        </w:rPr>
        <w:t>（十九）保障性住房情况表（财资15表）</w:t>
      </w:r>
    </w:p>
    <w:p>
      <w:pPr>
        <w:snapToGrid w:val="0"/>
        <w:spacing w:line="360" w:lineRule="auto"/>
        <w:ind w:firstLine="600" w:firstLineChars="200"/>
        <w:rPr>
          <w:rFonts w:hint="eastAsia" w:ascii="仿宋_GB2312" w:hAnsi="仿宋" w:eastAsia="仿宋_GB2312"/>
          <w:sz w:val="30"/>
          <w:szCs w:val="30"/>
        </w:rPr>
      </w:pPr>
      <w:r>
        <w:rPr>
          <w:rFonts w:hint="eastAsia" w:ascii="仿宋_GB2312" w:hAnsi="宋体" w:eastAsia="仿宋_GB2312"/>
          <w:sz w:val="30"/>
          <w:szCs w:val="30"/>
        </w:rPr>
        <w:t>本表反映行政事业单位已入账的保障性住房期初、期末账面数，包括公租房、经济适用房、保障性租赁住房、共有产权住房、配售型保障性住房和其他保障性住房</w:t>
      </w:r>
      <w:r>
        <w:rPr>
          <w:rFonts w:hint="eastAsia" w:ascii="仿宋_GB2312" w:hAnsi="宋体" w:eastAsia="仿宋_GB2312"/>
          <w:bCs/>
          <w:sz w:val="30"/>
          <w:szCs w:val="30"/>
        </w:rPr>
        <w:t>。</w:t>
      </w:r>
      <w:r>
        <w:rPr>
          <w:rFonts w:hint="eastAsia" w:ascii="仿宋_GB2312" w:hAnsi="仿宋" w:eastAsia="仿宋_GB2312"/>
          <w:sz w:val="30"/>
          <w:szCs w:val="30"/>
        </w:rPr>
        <w:t>保障性住房的登记入账核算按照《政府会计制度-行政事业单位会计科目和报表》中“保障性住房”的规定执行。有账面价值的资产,按照账面价值进行计价。没有价值的可以按照历史成本、重置成本、公允价值等方法进行计价。原则上本表数据从资产卡片提取，住房和城乡建设相关单位可根据保障性住房资产情况手工修改。</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公租房：根据《公共租赁住房资产管理暂行办法》规定，是指地方政府住房保障主管部门持有的，纳入城镇住房保障规划和年度计划，向符合条件的保障对象提供的住房。公租房资产包括公租房项目中的住宅，以及配套的非住宅资产（公共用房、经营性用房、车位、设施设备用房等房屋建筑物）。住房城乡建设部、财政部、国家发展改革委联合印发的《关于公共租赁住房和廉租房并轨运行的通知》（建保〔2013〕178号）规定，从2014年起各地公租房和廉租房并轨运行，统称为公租房。</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经济适用房：是指政府提供政策优惠，限定套型面积和销售价格，按照合理标准建设，面向城市低收入住房困难家庭供应，政府持有的（含共有产权）具有保障性质的政策性住房。购房人拥有有限产权，购房满5年可转让，但应按照规定交纳土地收益等价款，政府具有优先回购权。</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保障性租赁住房：根据国务院办公厅发布的《关于加快发展保障性租赁住房的意见》要求，主要解决符合条件的新市民、青年人等群体国有产权住房困难问题，以建筑面积不超过7</w:t>
      </w:r>
      <w:r>
        <w:rPr>
          <w:rFonts w:ascii="仿宋_GB2312" w:hAnsi="仿宋" w:eastAsia="仿宋_GB2312"/>
          <w:sz w:val="30"/>
          <w:szCs w:val="30"/>
        </w:rPr>
        <w:t>0</w:t>
      </w:r>
      <w:r>
        <w:rPr>
          <w:rFonts w:hint="eastAsia" w:ascii="仿宋_GB2312" w:hAnsi="仿宋" w:eastAsia="仿宋_GB2312"/>
          <w:sz w:val="30"/>
          <w:szCs w:val="30"/>
        </w:rPr>
        <w:t>平方米的小户型为主，租金低于同地段、同品质市场租赁住房租金，准入和退出具体条件、小户型的具体面积由城市人民政府按照保基本的原则合理确定。</w:t>
      </w:r>
    </w:p>
    <w:p>
      <w:pPr>
        <w:snapToGrid w:val="0"/>
        <w:spacing w:line="360" w:lineRule="auto"/>
        <w:ind w:firstLine="600" w:firstLineChars="200"/>
        <w:rPr>
          <w:rFonts w:hint="eastAsia"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共有产权住房：是指由政府引导并给予政策支持，面向符合规定条件的住房困难群体供应，实行购房人与政府按份共有所有权的住房。</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5.配售型保障性住房：是指面向工薪收入群体供应，每个家庭只能购买一套，实施封闭管理，禁止变更为商品住房流入市场，如需退出的由城市人民政府按规定予以收购。</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本次填报不涉及“限价商品房”、“棚改安置住房”。</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合计（1行）等于公租房（2行）</w:t>
      </w:r>
      <w:r>
        <w:rPr>
          <w:rFonts w:ascii="仿宋_GB2312" w:hAnsi="Calibri" w:eastAsia="仿宋_GB2312"/>
          <w:sz w:val="30"/>
          <w:szCs w:val="30"/>
        </w:rPr>
        <w:t>、</w:t>
      </w:r>
      <w:r>
        <w:rPr>
          <w:rFonts w:hint="eastAsia" w:ascii="仿宋_GB2312" w:hAnsi="Calibri" w:eastAsia="仿宋_GB2312"/>
          <w:sz w:val="30"/>
          <w:szCs w:val="30"/>
        </w:rPr>
        <w:t>经济适用房（</w:t>
      </w:r>
      <w:r>
        <w:rPr>
          <w:rFonts w:ascii="仿宋_GB2312" w:hAnsi="Calibri" w:eastAsia="仿宋_GB2312"/>
          <w:sz w:val="30"/>
          <w:szCs w:val="30"/>
        </w:rPr>
        <w:t>3</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保障性租赁住房（</w:t>
      </w:r>
      <w:r>
        <w:rPr>
          <w:rFonts w:ascii="仿宋_GB2312" w:hAnsi="Calibri" w:eastAsia="仿宋_GB2312"/>
          <w:sz w:val="30"/>
          <w:szCs w:val="30"/>
        </w:rPr>
        <w:t>4</w:t>
      </w:r>
      <w:r>
        <w:rPr>
          <w:rFonts w:hint="eastAsia" w:ascii="仿宋_GB2312" w:hAnsi="Calibri" w:eastAsia="仿宋_GB2312"/>
          <w:sz w:val="30"/>
          <w:szCs w:val="30"/>
        </w:rPr>
        <w:t>行）</w:t>
      </w:r>
      <w:r>
        <w:rPr>
          <w:rFonts w:ascii="仿宋_GB2312" w:hAnsi="Calibri" w:eastAsia="仿宋_GB2312"/>
          <w:sz w:val="30"/>
          <w:szCs w:val="30"/>
        </w:rPr>
        <w:t>、</w:t>
      </w:r>
      <w:r>
        <w:rPr>
          <w:rFonts w:hint="eastAsia" w:ascii="仿宋_GB2312" w:hAnsi="Calibri" w:eastAsia="仿宋_GB2312"/>
          <w:sz w:val="30"/>
          <w:szCs w:val="30"/>
        </w:rPr>
        <w:t>共有产权住房（</w:t>
      </w:r>
      <w:r>
        <w:rPr>
          <w:rFonts w:ascii="仿宋_GB2312" w:hAnsi="Calibri" w:eastAsia="仿宋_GB2312"/>
          <w:sz w:val="30"/>
          <w:szCs w:val="30"/>
        </w:rPr>
        <w:t>5</w:t>
      </w:r>
      <w:r>
        <w:rPr>
          <w:rFonts w:hint="eastAsia" w:ascii="仿宋_GB2312" w:hAnsi="Calibri" w:eastAsia="仿宋_GB2312"/>
          <w:sz w:val="30"/>
          <w:szCs w:val="30"/>
        </w:rPr>
        <w:t>行）、配售型保障性住房（6行）、其他（7行）各项之和</w:t>
      </w:r>
      <w:r>
        <w:rPr>
          <w:rFonts w:ascii="仿宋_GB2312" w:hAnsi="Calibri" w:eastAsia="仿宋_GB2312"/>
          <w:sz w:val="30"/>
          <w:szCs w:val="30"/>
        </w:rPr>
        <w:t>；</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净值（</w:t>
      </w:r>
      <w:r>
        <w:rPr>
          <w:rFonts w:ascii="仿宋_GB2312" w:hAnsi="Calibri" w:eastAsia="仿宋_GB2312"/>
          <w:sz w:val="30"/>
          <w:szCs w:val="30"/>
        </w:rPr>
        <w:t>5</w:t>
      </w:r>
      <w:r>
        <w:rPr>
          <w:rFonts w:hint="eastAsia" w:ascii="仿宋_GB2312" w:hAnsi="Calibri" w:eastAsia="仿宋_GB2312"/>
          <w:sz w:val="30"/>
          <w:szCs w:val="30"/>
        </w:rPr>
        <w:t>栏）等于原值（</w:t>
      </w:r>
      <w:r>
        <w:rPr>
          <w:rFonts w:ascii="仿宋_GB2312" w:hAnsi="Calibri" w:eastAsia="仿宋_GB2312"/>
          <w:sz w:val="30"/>
          <w:szCs w:val="30"/>
        </w:rPr>
        <w:t>3</w:t>
      </w:r>
      <w:r>
        <w:rPr>
          <w:rFonts w:hint="eastAsia" w:ascii="仿宋_GB2312" w:hAnsi="Calibri" w:eastAsia="仿宋_GB2312"/>
          <w:sz w:val="30"/>
          <w:szCs w:val="30"/>
        </w:rPr>
        <w:t>栏）与累计折旧（</w:t>
      </w:r>
      <w:r>
        <w:rPr>
          <w:rFonts w:ascii="仿宋_GB2312" w:hAnsi="Calibri" w:eastAsia="仿宋_GB2312"/>
          <w:sz w:val="30"/>
          <w:szCs w:val="30"/>
        </w:rPr>
        <w:t>4</w:t>
      </w:r>
      <w:r>
        <w:rPr>
          <w:rFonts w:hint="eastAsia" w:ascii="仿宋_GB2312" w:hAnsi="Calibri" w:eastAsia="仿宋_GB2312"/>
          <w:sz w:val="30"/>
          <w:szCs w:val="30"/>
        </w:rPr>
        <w:t>栏）之差；</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净值（11栏）等于原值（9栏）与累计折旧（10栏）之差；</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面积（1栏、6栏）大于0，则套数（2栏、7栏）大于0；</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套数（2栏、7栏）大于0，则面积（1栏、6栏）大于0；</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面积（1栏）不等于套数（2栏）；</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面积（6栏）不等于套数（7栏）；</w:t>
      </w:r>
    </w:p>
    <w:p>
      <w:pPr>
        <w:numPr>
          <w:ilvl w:val="0"/>
          <w:numId w:val="5"/>
        </w:numPr>
        <w:spacing w:line="360" w:lineRule="auto"/>
        <w:rPr>
          <w:rFonts w:ascii="仿宋_GB2312" w:hAnsi="Calibri"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r>
        <w:rPr>
          <w:rFonts w:hint="eastAsia" w:ascii="仿宋_GB2312" w:hAnsi="Calibri" w:eastAsia="仿宋_GB2312"/>
          <w:sz w:val="30"/>
          <w:szCs w:val="30"/>
        </w:rPr>
        <w:t>。</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合计（1行）期初原值（</w:t>
      </w:r>
      <w:r>
        <w:rPr>
          <w:rFonts w:ascii="仿宋_GB2312" w:hAnsi="仿宋" w:eastAsia="仿宋_GB2312"/>
          <w:bCs/>
          <w:spacing w:val="6"/>
          <w:sz w:val="30"/>
          <w:szCs w:val="30"/>
        </w:rPr>
        <w:t>3</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表保障性住房原值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3</w:t>
      </w:r>
      <w:r>
        <w:rPr>
          <w:rFonts w:hint="eastAsia" w:ascii="仿宋_GB2312" w:hAnsi="仿宋" w:eastAsia="仿宋_GB2312"/>
          <w:bCs/>
          <w:spacing w:val="6"/>
          <w:sz w:val="30"/>
          <w:szCs w:val="30"/>
        </w:rPr>
        <w:t>行</w:t>
      </w:r>
      <w:r>
        <w:rPr>
          <w:rFonts w:hint="eastAsia" w:ascii="仿宋_GB2312" w:hAnsi="Calibri" w:eastAsia="仿宋_GB2312"/>
          <w:sz w:val="30"/>
          <w:szCs w:val="30"/>
        </w:rPr>
        <w:t>）期初数（</w:t>
      </w:r>
      <w:r>
        <w:rPr>
          <w:rFonts w:hint="eastAsia" w:ascii="仿宋_GB2312" w:hAnsi="仿宋" w:eastAsia="仿宋_GB2312"/>
          <w:bCs/>
          <w:spacing w:val="6"/>
          <w:sz w:val="30"/>
          <w:szCs w:val="30"/>
        </w:rPr>
        <w:t>1</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合计（1行）期初累计折旧（</w:t>
      </w:r>
      <w:r>
        <w:rPr>
          <w:rFonts w:ascii="仿宋_GB2312" w:hAnsi="仿宋" w:eastAsia="仿宋_GB2312"/>
          <w:bCs/>
          <w:spacing w:val="6"/>
          <w:sz w:val="30"/>
          <w:szCs w:val="30"/>
        </w:rPr>
        <w:t>4</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表保障性住房累计折旧</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4</w:t>
      </w:r>
      <w:r>
        <w:rPr>
          <w:rFonts w:hint="eastAsia" w:ascii="仿宋_GB2312" w:hAnsi="仿宋" w:eastAsia="仿宋_GB2312"/>
          <w:bCs/>
          <w:spacing w:val="6"/>
          <w:sz w:val="30"/>
          <w:szCs w:val="30"/>
        </w:rPr>
        <w:t>行</w:t>
      </w:r>
      <w:r>
        <w:rPr>
          <w:rFonts w:hint="eastAsia" w:ascii="仿宋_GB2312" w:hAnsi="Calibri" w:eastAsia="仿宋_GB2312"/>
          <w:sz w:val="30"/>
          <w:szCs w:val="30"/>
        </w:rPr>
        <w:t>）期初数（</w:t>
      </w:r>
      <w:r>
        <w:rPr>
          <w:rFonts w:hint="eastAsia" w:ascii="仿宋_GB2312" w:hAnsi="仿宋" w:eastAsia="仿宋_GB2312"/>
          <w:bCs/>
          <w:spacing w:val="6"/>
          <w:sz w:val="30"/>
          <w:szCs w:val="30"/>
        </w:rPr>
        <w:t>1</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合计（1行）期初净值（</w:t>
      </w:r>
      <w:r>
        <w:rPr>
          <w:rFonts w:ascii="仿宋_GB2312" w:hAnsi="仿宋" w:eastAsia="仿宋_GB2312"/>
          <w:bCs/>
          <w:spacing w:val="6"/>
          <w:sz w:val="30"/>
          <w:szCs w:val="30"/>
        </w:rPr>
        <w:t>5</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表保障性住房净值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5</w:t>
      </w:r>
      <w:r>
        <w:rPr>
          <w:rFonts w:hint="eastAsia" w:ascii="仿宋_GB2312" w:hAnsi="仿宋" w:eastAsia="仿宋_GB2312"/>
          <w:bCs/>
          <w:spacing w:val="6"/>
          <w:sz w:val="30"/>
          <w:szCs w:val="30"/>
        </w:rPr>
        <w:t>行</w:t>
      </w:r>
      <w:r>
        <w:rPr>
          <w:rFonts w:hint="eastAsia" w:ascii="仿宋_GB2312" w:hAnsi="Calibri" w:eastAsia="仿宋_GB2312"/>
          <w:sz w:val="30"/>
          <w:szCs w:val="30"/>
        </w:rPr>
        <w:t>）期初数（</w:t>
      </w:r>
      <w:r>
        <w:rPr>
          <w:rFonts w:hint="eastAsia" w:ascii="仿宋_GB2312" w:hAnsi="仿宋" w:eastAsia="仿宋_GB2312"/>
          <w:bCs/>
          <w:spacing w:val="6"/>
          <w:sz w:val="30"/>
          <w:szCs w:val="30"/>
        </w:rPr>
        <w:t>1</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合计（1行）期末原值（</w:t>
      </w:r>
      <w:r>
        <w:rPr>
          <w:rFonts w:ascii="仿宋_GB2312" w:hAnsi="仿宋" w:eastAsia="仿宋_GB2312"/>
          <w:bCs/>
          <w:spacing w:val="6"/>
          <w:sz w:val="30"/>
          <w:szCs w:val="30"/>
        </w:rPr>
        <w:t>9</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表保障性住房原值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3</w:t>
      </w:r>
      <w:r>
        <w:rPr>
          <w:rFonts w:hint="eastAsia" w:ascii="仿宋_GB2312" w:hAnsi="仿宋" w:eastAsia="仿宋_GB2312"/>
          <w:bCs/>
          <w:spacing w:val="6"/>
          <w:sz w:val="30"/>
          <w:szCs w:val="30"/>
        </w:rPr>
        <w:t>行</w:t>
      </w:r>
      <w:r>
        <w:rPr>
          <w:rFonts w:hint="eastAsia" w:ascii="仿宋_GB2312" w:hAnsi="Calibri" w:eastAsia="仿宋_GB2312"/>
          <w:sz w:val="30"/>
          <w:szCs w:val="30"/>
        </w:rPr>
        <w:t>）期末数（</w:t>
      </w:r>
      <w:r>
        <w:rPr>
          <w:rFonts w:ascii="仿宋_GB2312" w:hAnsi="仿宋" w:eastAsia="仿宋_GB2312"/>
          <w:bCs/>
          <w:spacing w:val="6"/>
          <w:sz w:val="30"/>
          <w:szCs w:val="30"/>
        </w:rPr>
        <w:t>2</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合计（1行）期末累计折旧（</w:t>
      </w:r>
      <w:r>
        <w:rPr>
          <w:rFonts w:ascii="仿宋_GB2312" w:hAnsi="仿宋" w:eastAsia="仿宋_GB2312"/>
          <w:bCs/>
          <w:spacing w:val="6"/>
          <w:sz w:val="30"/>
          <w:szCs w:val="30"/>
        </w:rPr>
        <w:t>10</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表保障性住房累计折旧</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4</w:t>
      </w:r>
      <w:r>
        <w:rPr>
          <w:rFonts w:hint="eastAsia" w:ascii="仿宋_GB2312" w:hAnsi="仿宋" w:eastAsia="仿宋_GB2312"/>
          <w:bCs/>
          <w:spacing w:val="6"/>
          <w:sz w:val="30"/>
          <w:szCs w:val="30"/>
        </w:rPr>
        <w:t>行</w:t>
      </w:r>
      <w:r>
        <w:rPr>
          <w:rFonts w:hint="eastAsia" w:ascii="仿宋_GB2312" w:hAnsi="Calibri" w:eastAsia="仿宋_GB2312"/>
          <w:sz w:val="30"/>
          <w:szCs w:val="30"/>
        </w:rPr>
        <w:t>）期末数（</w:t>
      </w:r>
      <w:r>
        <w:rPr>
          <w:rFonts w:ascii="仿宋_GB2312" w:hAnsi="仿宋" w:eastAsia="仿宋_GB2312"/>
          <w:bCs/>
          <w:spacing w:val="6"/>
          <w:sz w:val="30"/>
          <w:szCs w:val="30"/>
        </w:rPr>
        <w:t>2</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numPr>
          <w:ilvl w:val="0"/>
          <w:numId w:val="5"/>
        </w:numPr>
        <w:spacing w:line="360" w:lineRule="auto"/>
        <w:rPr>
          <w:rFonts w:hint="eastAsia" w:ascii="仿宋_GB2312" w:hAnsi="仿宋" w:eastAsia="仿宋_GB2312"/>
          <w:bCs/>
          <w:spacing w:val="6"/>
          <w:sz w:val="30"/>
          <w:szCs w:val="30"/>
        </w:rPr>
      </w:pPr>
      <w:r>
        <w:rPr>
          <w:rFonts w:hint="eastAsia" w:ascii="仿宋_GB2312" w:hAnsi="Calibri" w:eastAsia="仿宋_GB2312"/>
          <w:sz w:val="30"/>
          <w:szCs w:val="30"/>
        </w:rPr>
        <w:t>合计（1行）期末净值（</w:t>
      </w:r>
      <w:r>
        <w:rPr>
          <w:rFonts w:ascii="仿宋_GB2312" w:hAnsi="仿宋" w:eastAsia="仿宋_GB2312"/>
          <w:bCs/>
          <w:spacing w:val="6"/>
          <w:sz w:val="30"/>
          <w:szCs w:val="30"/>
        </w:rPr>
        <w:t>11</w:t>
      </w:r>
      <w:r>
        <w:rPr>
          <w:rFonts w:hint="eastAsia" w:ascii="仿宋_GB2312" w:hAnsi="Calibri" w:eastAsia="仿宋_GB2312"/>
          <w:sz w:val="30"/>
          <w:szCs w:val="30"/>
        </w:rPr>
        <w:t>栏）</w:t>
      </w:r>
      <w:r>
        <w:rPr>
          <w:rFonts w:hint="eastAsia" w:ascii="仿宋_GB2312" w:hAnsi="仿宋" w:eastAsia="仿宋_GB2312"/>
          <w:bCs/>
          <w:spacing w:val="6"/>
          <w:sz w:val="30"/>
          <w:szCs w:val="30"/>
        </w:rPr>
        <w:t>等于财资0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表保障性住房净值</w:t>
      </w:r>
      <w:r>
        <w:rPr>
          <w:rFonts w:hint="eastAsia" w:ascii="仿宋_GB2312" w:hAnsi="Calibri" w:eastAsia="仿宋_GB2312"/>
          <w:sz w:val="30"/>
          <w:szCs w:val="30"/>
        </w:rPr>
        <w:t>（</w:t>
      </w:r>
      <w:r>
        <w:rPr>
          <w:rFonts w:hint="eastAsia" w:ascii="仿宋_GB2312" w:hAnsi="仿宋" w:eastAsia="仿宋_GB2312"/>
          <w:bCs/>
          <w:spacing w:val="6"/>
          <w:sz w:val="30"/>
          <w:szCs w:val="30"/>
        </w:rPr>
        <w:t>3</w:t>
      </w:r>
      <w:r>
        <w:rPr>
          <w:rFonts w:ascii="仿宋_GB2312" w:hAnsi="仿宋" w:eastAsia="仿宋_GB2312"/>
          <w:bCs/>
          <w:spacing w:val="6"/>
          <w:sz w:val="30"/>
          <w:szCs w:val="30"/>
        </w:rPr>
        <w:t>5</w:t>
      </w:r>
      <w:r>
        <w:rPr>
          <w:rFonts w:hint="eastAsia" w:ascii="仿宋_GB2312" w:hAnsi="仿宋" w:eastAsia="仿宋_GB2312"/>
          <w:bCs/>
          <w:spacing w:val="6"/>
          <w:sz w:val="30"/>
          <w:szCs w:val="30"/>
        </w:rPr>
        <w:t>行</w:t>
      </w:r>
      <w:r>
        <w:rPr>
          <w:rFonts w:hint="eastAsia" w:ascii="仿宋_GB2312" w:hAnsi="Calibri" w:eastAsia="仿宋_GB2312"/>
          <w:sz w:val="30"/>
          <w:szCs w:val="30"/>
        </w:rPr>
        <w:t>）期末数（</w:t>
      </w:r>
      <w:r>
        <w:rPr>
          <w:rFonts w:ascii="仿宋_GB2312" w:hAnsi="仿宋" w:eastAsia="仿宋_GB2312"/>
          <w:bCs/>
          <w:spacing w:val="6"/>
          <w:sz w:val="30"/>
          <w:szCs w:val="30"/>
        </w:rPr>
        <w:t>2</w:t>
      </w:r>
      <w:r>
        <w:rPr>
          <w:rFonts w:hint="eastAsia" w:ascii="仿宋_GB2312" w:hAnsi="Calibri" w:eastAsia="仿宋_GB2312"/>
          <w:sz w:val="30"/>
          <w:szCs w:val="30"/>
        </w:rPr>
        <w:t>栏）</w:t>
      </w:r>
      <w:r>
        <w:rPr>
          <w:rFonts w:hint="eastAsia" w:ascii="仿宋_GB2312" w:hAnsi="仿宋" w:eastAsia="仿宋_GB2312"/>
          <w:bCs/>
          <w:spacing w:val="6"/>
          <w:sz w:val="30"/>
          <w:szCs w:val="30"/>
        </w:rPr>
        <w:t>。</w:t>
      </w:r>
    </w:p>
    <w:p>
      <w:pPr>
        <w:snapToGrid w:val="0"/>
        <w:spacing w:line="360" w:lineRule="auto"/>
        <w:ind w:firstLine="626" w:firstLineChars="200"/>
        <w:rPr>
          <w:rFonts w:hint="eastAsia" w:ascii="仿宋_GB2312" w:hAnsi="仿宋" w:eastAsia="仿宋_GB2312"/>
          <w:b/>
          <w:spacing w:val="6"/>
          <w:sz w:val="30"/>
          <w:szCs w:val="30"/>
        </w:rPr>
      </w:pPr>
      <w:r>
        <w:rPr>
          <w:rFonts w:hint="eastAsia" w:ascii="仿宋_GB2312" w:hAnsi="仿宋" w:eastAsia="仿宋_GB2312"/>
          <w:b/>
          <w:spacing w:val="6"/>
          <w:sz w:val="30"/>
          <w:szCs w:val="30"/>
        </w:rPr>
        <w:t>核实性公式：</w:t>
      </w:r>
    </w:p>
    <w:p>
      <w:pPr>
        <w:numPr>
          <w:ilvl w:val="0"/>
          <w:numId w:val="2"/>
        </w:numPr>
        <w:adjustRightInd w:val="0"/>
        <w:snapToGrid w:val="0"/>
        <w:spacing w:line="360" w:lineRule="auto"/>
        <w:ind w:left="0" w:firstLine="600"/>
        <w:rPr>
          <w:rFonts w:hint="eastAsia" w:hAnsi="仿宋"/>
          <w:sz w:val="30"/>
          <w:szCs w:val="30"/>
        </w:rPr>
      </w:pPr>
      <w:r>
        <w:rPr>
          <w:rFonts w:hint="eastAsia" w:ascii="仿宋_GB2312" w:hAnsi="仿宋" w:eastAsia="仿宋_GB2312"/>
          <w:sz w:val="30"/>
          <w:szCs w:val="30"/>
        </w:rPr>
        <w:t>公租房（2行）、经济适用房（3行）、保障性租赁住房（4行）、共有产权住房（5行）的套数（2栏）和净值（5栏）本期期初数等于上年财资15表期末数量，否则提示核实性错误，填写情况说明；</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套数</w:t>
      </w:r>
      <w:r>
        <w:rPr>
          <w:rFonts w:hint="eastAsia" w:hAnsi="Calibri"/>
          <w:sz w:val="30"/>
          <w:szCs w:val="30"/>
        </w:rPr>
        <w:t>（</w:t>
      </w:r>
      <w:r>
        <w:rPr>
          <w:rFonts w:hAnsi="仿宋"/>
          <w:sz w:val="30"/>
          <w:szCs w:val="30"/>
        </w:rPr>
        <w:t>2</w:t>
      </w:r>
      <w:r>
        <w:rPr>
          <w:rFonts w:hint="eastAsia" w:hAnsi="仿宋"/>
          <w:sz w:val="30"/>
          <w:szCs w:val="30"/>
        </w:rPr>
        <w:t>、</w:t>
      </w:r>
      <w:r>
        <w:rPr>
          <w:rFonts w:hAnsi="仿宋"/>
          <w:sz w:val="30"/>
          <w:szCs w:val="30"/>
        </w:rPr>
        <w:t>7</w:t>
      </w:r>
      <w:r>
        <w:rPr>
          <w:rFonts w:hint="eastAsia" w:hAnsi="仿宋"/>
          <w:sz w:val="30"/>
          <w:szCs w:val="30"/>
        </w:rPr>
        <w:t>栏</w:t>
      </w:r>
      <w:r>
        <w:rPr>
          <w:rFonts w:hint="eastAsia" w:hAnsi="Calibri"/>
          <w:sz w:val="30"/>
          <w:szCs w:val="30"/>
        </w:rPr>
        <w:t>）</w:t>
      </w:r>
      <w:r>
        <w:rPr>
          <w:rFonts w:hint="eastAsia" w:hAnsi="仿宋"/>
          <w:sz w:val="30"/>
          <w:szCs w:val="30"/>
        </w:rPr>
        <w:t>大于</w:t>
      </w:r>
      <w:r>
        <w:rPr>
          <w:rFonts w:hAnsi="仿宋"/>
          <w:sz w:val="30"/>
          <w:szCs w:val="30"/>
        </w:rPr>
        <w:t>0,</w:t>
      </w:r>
      <w:r>
        <w:rPr>
          <w:rFonts w:hint="eastAsia" w:hAnsi="仿宋"/>
          <w:sz w:val="30"/>
          <w:szCs w:val="30"/>
        </w:rPr>
        <w:t>则价值（</w:t>
      </w:r>
      <w:r>
        <w:rPr>
          <w:rFonts w:hAnsi="仿宋"/>
          <w:sz w:val="30"/>
          <w:szCs w:val="30"/>
        </w:rPr>
        <w:t>3</w:t>
      </w:r>
      <w:r>
        <w:rPr>
          <w:rFonts w:hint="eastAsia" w:hAnsi="仿宋"/>
          <w:sz w:val="30"/>
          <w:szCs w:val="30"/>
        </w:rPr>
        <w:t>、5、9、11栏）大于1000,否则提示核实性错误，需结合实际情况修改或填写情况说明；</w:t>
      </w:r>
    </w:p>
    <w:p>
      <w:pPr>
        <w:pStyle w:val="7"/>
        <w:numPr>
          <w:ilvl w:val="0"/>
          <w:numId w:val="8"/>
        </w:numPr>
        <w:tabs>
          <w:tab w:val="left" w:pos="840"/>
        </w:tabs>
        <w:spacing w:line="360" w:lineRule="auto"/>
        <w:ind w:left="16" w:firstLine="560" w:firstLineChars="0"/>
        <w:rPr>
          <w:rFonts w:hint="eastAsia" w:hAnsi="仿宋"/>
          <w:sz w:val="30"/>
          <w:szCs w:val="30"/>
        </w:rPr>
      </w:pPr>
      <w:r>
        <w:rPr>
          <w:rFonts w:hint="eastAsia" w:hAnsi="仿宋"/>
          <w:sz w:val="30"/>
          <w:szCs w:val="30"/>
        </w:rPr>
        <w:t>原值（</w:t>
      </w:r>
      <w:r>
        <w:rPr>
          <w:rFonts w:hAnsi="仿宋"/>
          <w:sz w:val="30"/>
          <w:szCs w:val="30"/>
        </w:rPr>
        <w:t>3</w:t>
      </w:r>
      <w:r>
        <w:rPr>
          <w:rFonts w:hint="eastAsia" w:hAnsi="仿宋"/>
          <w:sz w:val="30"/>
          <w:szCs w:val="30"/>
        </w:rPr>
        <w:t>、</w:t>
      </w:r>
      <w:r>
        <w:rPr>
          <w:rFonts w:hAnsi="仿宋"/>
          <w:sz w:val="30"/>
          <w:szCs w:val="30"/>
        </w:rPr>
        <w:t>9</w:t>
      </w:r>
      <w:r>
        <w:rPr>
          <w:rFonts w:hint="eastAsia" w:hAnsi="仿宋"/>
          <w:sz w:val="30"/>
          <w:szCs w:val="30"/>
        </w:rPr>
        <w:t>栏）大于</w:t>
      </w:r>
      <w:r>
        <w:rPr>
          <w:rFonts w:hAnsi="仿宋"/>
          <w:sz w:val="30"/>
          <w:szCs w:val="30"/>
        </w:rPr>
        <w:t>0,</w:t>
      </w:r>
      <w:r>
        <w:rPr>
          <w:rFonts w:hint="eastAsia" w:hAnsi="仿宋"/>
          <w:sz w:val="30"/>
          <w:szCs w:val="30"/>
        </w:rPr>
        <w:t>则套数（</w:t>
      </w:r>
      <w:r>
        <w:rPr>
          <w:rFonts w:hAnsi="仿宋"/>
          <w:sz w:val="30"/>
          <w:szCs w:val="30"/>
        </w:rPr>
        <w:t>2</w:t>
      </w:r>
      <w:r>
        <w:rPr>
          <w:rFonts w:hint="eastAsia" w:hAnsi="仿宋"/>
          <w:sz w:val="30"/>
          <w:szCs w:val="30"/>
        </w:rPr>
        <w:t>、</w:t>
      </w:r>
      <w:r>
        <w:rPr>
          <w:rFonts w:hAnsi="仿宋"/>
          <w:sz w:val="30"/>
          <w:szCs w:val="30"/>
        </w:rPr>
        <w:t>7</w:t>
      </w:r>
      <w:r>
        <w:rPr>
          <w:rFonts w:hint="eastAsia" w:hAnsi="仿宋"/>
          <w:sz w:val="30"/>
          <w:szCs w:val="30"/>
        </w:rPr>
        <w:t>栏）大于</w:t>
      </w:r>
      <w:r>
        <w:rPr>
          <w:rFonts w:hAnsi="仿宋"/>
          <w:sz w:val="30"/>
          <w:szCs w:val="30"/>
        </w:rPr>
        <w:t>0</w:t>
      </w:r>
      <w:r>
        <w:rPr>
          <w:rFonts w:hint="eastAsia" w:hAnsi="仿宋"/>
          <w:sz w:val="30"/>
          <w:szCs w:val="30"/>
        </w:rPr>
        <w:t>，否则提示核实性错误，需结合实际情况修改或填写情况说明；</w:t>
      </w:r>
    </w:p>
    <w:p>
      <w:pPr>
        <w:pStyle w:val="7"/>
        <w:numPr>
          <w:ilvl w:val="0"/>
          <w:numId w:val="8"/>
        </w:numPr>
        <w:spacing w:line="360" w:lineRule="auto"/>
        <w:ind w:left="16" w:firstLine="560" w:firstLineChars="0"/>
        <w:rPr>
          <w:rFonts w:hint="eastAsia" w:hAnsi="仿宋"/>
          <w:sz w:val="30"/>
          <w:szCs w:val="30"/>
        </w:rPr>
      </w:pPr>
      <w:r>
        <w:rPr>
          <w:rFonts w:hint="eastAsia" w:hAnsi="仿宋"/>
          <w:sz w:val="30"/>
          <w:szCs w:val="30"/>
        </w:rPr>
        <w:t>原值（</w:t>
      </w:r>
      <w:r>
        <w:rPr>
          <w:rFonts w:hAnsi="仿宋"/>
          <w:sz w:val="30"/>
          <w:szCs w:val="30"/>
        </w:rPr>
        <w:t>3</w:t>
      </w:r>
      <w:r>
        <w:rPr>
          <w:rFonts w:hint="eastAsia" w:hAnsi="仿宋"/>
          <w:sz w:val="30"/>
          <w:szCs w:val="30"/>
        </w:rPr>
        <w:t>、</w:t>
      </w:r>
      <w:r>
        <w:rPr>
          <w:rFonts w:hAnsi="仿宋"/>
          <w:sz w:val="30"/>
          <w:szCs w:val="30"/>
        </w:rPr>
        <w:t>9</w:t>
      </w:r>
      <w:r>
        <w:rPr>
          <w:rFonts w:hint="eastAsia" w:hAnsi="仿宋"/>
          <w:sz w:val="30"/>
          <w:szCs w:val="30"/>
        </w:rPr>
        <w:t>栏）大于0,则净值（5、11栏）大于0，否则提示核实性错误，需结合实际情况修改或填写情况说明；</w:t>
      </w:r>
    </w:p>
    <w:p>
      <w:pPr>
        <w:numPr>
          <w:ilvl w:val="0"/>
          <w:numId w:val="5"/>
        </w:numPr>
        <w:spacing w:line="360" w:lineRule="auto"/>
        <w:rPr>
          <w:rFonts w:ascii="仿宋_GB2312" w:hAnsi="Calibri" w:eastAsia="仿宋_GB2312"/>
          <w:sz w:val="30"/>
          <w:szCs w:val="30"/>
        </w:rPr>
      </w:pPr>
      <w:r>
        <w:rPr>
          <w:rFonts w:hint="eastAsia" w:ascii="仿宋_GB2312" w:hAnsi="Calibri" w:eastAsia="仿宋_GB2312"/>
          <w:sz w:val="30"/>
          <w:szCs w:val="30"/>
        </w:rPr>
        <w:t>平均每套房面积（1栏/2栏或6栏/7栏）应小于等于200，否则提示核实性错误，需结合实际情况修改或填写情况说明；</w:t>
      </w:r>
    </w:p>
    <w:p>
      <w:pPr>
        <w:numPr>
          <w:ilvl w:val="0"/>
          <w:numId w:val="5"/>
        </w:numPr>
        <w:spacing w:line="360" w:lineRule="auto"/>
        <w:ind w:firstLine="600" w:firstLineChars="200"/>
        <w:rPr>
          <w:rFonts w:ascii="仿宋_GB2312" w:hAnsi="Calibri" w:eastAsia="仿宋_GB2312"/>
          <w:sz w:val="30"/>
          <w:szCs w:val="30"/>
        </w:rPr>
      </w:pPr>
      <w:r>
        <w:rPr>
          <w:rFonts w:hint="eastAsia" w:ascii="仿宋_GB2312" w:hAnsi="Calibri" w:eastAsia="仿宋_GB2312"/>
          <w:sz w:val="30"/>
          <w:szCs w:val="30"/>
        </w:rPr>
        <w:t>平均每平方米价格（3栏/1栏或9栏/6栏）应大于等于1000，小于等于100000，否则提示核实性错误，需结合实际情况修改或填写情况说明；</w:t>
      </w:r>
    </w:p>
    <w:p>
      <w:pPr>
        <w:numPr>
          <w:ilvl w:val="0"/>
          <w:numId w:val="5"/>
        </w:numPr>
        <w:spacing w:line="360" w:lineRule="auto"/>
        <w:ind w:firstLine="600" w:firstLineChars="200"/>
        <w:rPr>
          <w:rFonts w:ascii="仿宋_GB2312" w:eastAsia="仿宋_GB2312"/>
          <w:sz w:val="30"/>
          <w:szCs w:val="30"/>
        </w:rPr>
      </w:pPr>
      <w:r>
        <w:rPr>
          <w:rFonts w:hint="eastAsia" w:ascii="仿宋_GB2312" w:hAnsi="Calibri" w:eastAsia="仿宋_GB2312"/>
          <w:sz w:val="30"/>
          <w:szCs w:val="30"/>
        </w:rPr>
        <w:t>每套房均价（3栏/2栏或9栏/7栏）应大于等于30000，小于等于10000000，否则提示核实性错误，需结合实际情况修改或填写情况说明。</w:t>
      </w:r>
    </w:p>
    <w:p>
      <w:pPr>
        <w:pStyle w:val="2"/>
        <w:rPr>
          <w:rFonts w:hint="eastAsia"/>
          <w:b/>
          <w:color w:val="auto"/>
        </w:rPr>
      </w:pPr>
      <w:r>
        <w:rPr>
          <w:rFonts w:hint="eastAsia"/>
          <w:color w:val="auto"/>
        </w:rPr>
        <w:t>（二十）2025年度资产盘活情况表（财资附01表）</w:t>
      </w:r>
    </w:p>
    <w:p>
      <w:pPr>
        <w:spacing w:line="360" w:lineRule="auto"/>
        <w:ind w:firstLine="600" w:firstLineChars="200"/>
        <w:rPr>
          <w:rFonts w:ascii="仿宋_GB2312" w:hAnsi="Calibri" w:eastAsia="仿宋_GB2312"/>
          <w:sz w:val="30"/>
          <w:szCs w:val="30"/>
        </w:rPr>
      </w:pPr>
      <w:r>
        <w:rPr>
          <w:rFonts w:hint="eastAsia" w:ascii="仿宋_GB2312" w:hAnsi="宋体" w:eastAsia="仿宋_GB2312"/>
          <w:sz w:val="30"/>
          <w:szCs w:val="30"/>
        </w:rPr>
        <w:t>本表反映行政事业单位本年资产盘活情况，包括本年实收往期盘活资产收益情况，单位根据实际情况，</w:t>
      </w:r>
      <w:r>
        <w:rPr>
          <w:rFonts w:hint="eastAsia" w:ascii="仿宋_GB2312" w:hAnsi="Calibri" w:eastAsia="仿宋_GB2312"/>
          <w:sz w:val="30"/>
          <w:szCs w:val="30"/>
        </w:rPr>
        <w:t>按照盘活方式划分为内部挖潜、共享共用、调剂利用（无偿划转）、对外出租、转让（出售）、其他方式等进行手动填报。</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主要指标解释：</w:t>
      </w:r>
    </w:p>
    <w:p>
      <w:pPr>
        <w:spacing w:line="360" w:lineRule="auto"/>
        <w:ind w:firstLine="576" w:firstLineChars="192"/>
        <w:rPr>
          <w:rFonts w:ascii="仿宋_GB2312" w:hAnsi="Calibri" w:eastAsia="仿宋_GB2312"/>
          <w:bCs/>
          <w:sz w:val="30"/>
          <w:szCs w:val="30"/>
        </w:rPr>
      </w:pPr>
      <w:r>
        <w:rPr>
          <w:rFonts w:hint="eastAsia" w:ascii="仿宋_GB2312" w:eastAsia="仿宋_GB2312"/>
          <w:bCs/>
          <w:sz w:val="30"/>
          <w:szCs w:val="30"/>
        </w:rPr>
        <w:t>1.内部挖潜：</w:t>
      </w:r>
      <w:r>
        <w:rPr>
          <w:rFonts w:hint="eastAsia" w:ascii="仿宋_GB2312" w:hAnsi="Calibri" w:eastAsia="仿宋_GB2312"/>
          <w:bCs/>
          <w:sz w:val="30"/>
          <w:szCs w:val="30"/>
        </w:rPr>
        <w:t>指单位内部以挖潜利用的方式盘活资产的行为。</w:t>
      </w:r>
    </w:p>
    <w:p>
      <w:pPr>
        <w:spacing w:line="360" w:lineRule="auto"/>
        <w:ind w:firstLine="576" w:firstLineChars="192"/>
        <w:rPr>
          <w:rFonts w:ascii="仿宋_GB2312" w:hAnsi="Calibri" w:eastAsia="仿宋_GB2312"/>
          <w:bCs/>
          <w:sz w:val="30"/>
          <w:szCs w:val="30"/>
        </w:rPr>
      </w:pPr>
      <w:r>
        <w:rPr>
          <w:rFonts w:hint="eastAsia" w:ascii="仿宋_GB2312" w:eastAsia="仿宋_GB2312"/>
          <w:bCs/>
          <w:sz w:val="30"/>
          <w:szCs w:val="30"/>
        </w:rPr>
        <w:t>2.共享共用：</w:t>
      </w:r>
      <w:r>
        <w:rPr>
          <w:rFonts w:hint="eastAsia" w:ascii="仿宋_GB2312" w:hAnsi="Calibri" w:eastAsia="仿宋_GB2312"/>
          <w:bCs/>
          <w:sz w:val="30"/>
          <w:szCs w:val="30"/>
        </w:rPr>
        <w:t>指通过允许其他单位共享使用的方式盘活资产的行为。</w:t>
      </w:r>
    </w:p>
    <w:p>
      <w:pPr>
        <w:spacing w:line="360" w:lineRule="auto"/>
        <w:ind w:firstLine="576" w:firstLineChars="192"/>
        <w:rPr>
          <w:rFonts w:ascii="仿宋_GB2312" w:eastAsia="仿宋_GB2312"/>
          <w:bCs/>
          <w:sz w:val="30"/>
          <w:szCs w:val="30"/>
        </w:rPr>
      </w:pPr>
      <w:r>
        <w:rPr>
          <w:rFonts w:hint="eastAsia" w:ascii="仿宋_GB2312" w:eastAsia="仿宋_GB2312"/>
          <w:bCs/>
          <w:sz w:val="30"/>
          <w:szCs w:val="30"/>
        </w:rPr>
        <w:t>3.调剂利用（无偿划转）：</w:t>
      </w:r>
      <w:r>
        <w:rPr>
          <w:rFonts w:hint="eastAsia" w:ascii="仿宋_GB2312" w:hAnsi="Calibri" w:eastAsia="仿宋_GB2312"/>
          <w:bCs/>
          <w:sz w:val="30"/>
          <w:szCs w:val="30"/>
        </w:rPr>
        <w:t>指在</w:t>
      </w:r>
      <w:r>
        <w:rPr>
          <w:rFonts w:hint="eastAsia" w:ascii="仿宋_GB2312" w:eastAsia="仿宋_GB2312"/>
          <w:bCs/>
          <w:sz w:val="30"/>
          <w:szCs w:val="30"/>
        </w:rPr>
        <w:t>不改变国有资产性质的前提下，以无偿转让的方式变更国有资产占有、使用权的行为。</w:t>
      </w:r>
    </w:p>
    <w:p>
      <w:pPr>
        <w:tabs>
          <w:tab w:val="left" w:pos="551"/>
        </w:tabs>
        <w:spacing w:line="360" w:lineRule="auto"/>
        <w:ind w:firstLine="576" w:firstLineChars="192"/>
        <w:rPr>
          <w:rFonts w:ascii="仿宋_GB2312" w:eastAsia="仿宋_GB2312"/>
          <w:bCs/>
          <w:sz w:val="30"/>
          <w:szCs w:val="30"/>
        </w:rPr>
      </w:pPr>
      <w:r>
        <w:rPr>
          <w:rFonts w:hint="eastAsia" w:ascii="仿宋_GB2312" w:eastAsia="仿宋_GB2312"/>
          <w:bCs/>
          <w:sz w:val="30"/>
          <w:szCs w:val="30"/>
        </w:rPr>
        <w:t>4.对外出租：指通过对外出租方式盘活资产的行为。</w:t>
      </w:r>
    </w:p>
    <w:p>
      <w:pPr>
        <w:spacing w:line="360" w:lineRule="auto"/>
        <w:ind w:firstLine="576" w:firstLineChars="192"/>
        <w:rPr>
          <w:rFonts w:ascii="仿宋_GB2312" w:eastAsia="仿宋_GB2312"/>
          <w:bCs/>
          <w:sz w:val="30"/>
          <w:szCs w:val="30"/>
        </w:rPr>
      </w:pPr>
      <w:r>
        <w:rPr>
          <w:rFonts w:hint="eastAsia" w:ascii="仿宋_GB2312" w:eastAsia="仿宋_GB2312"/>
          <w:bCs/>
          <w:sz w:val="30"/>
          <w:szCs w:val="30"/>
        </w:rPr>
        <w:t>5.转让（出售）：指行政事业单位变更国有资产占有、使用权并获得收益的行为。</w:t>
      </w:r>
    </w:p>
    <w:p>
      <w:pPr>
        <w:spacing w:line="360" w:lineRule="auto"/>
        <w:ind w:firstLine="576" w:firstLineChars="192"/>
        <w:rPr>
          <w:rFonts w:ascii="仿宋_GB2312" w:eastAsia="仿宋_GB2312"/>
          <w:bCs/>
          <w:sz w:val="30"/>
          <w:szCs w:val="30"/>
        </w:rPr>
      </w:pPr>
      <w:r>
        <w:rPr>
          <w:rFonts w:hint="eastAsia" w:ascii="仿宋_GB2312" w:eastAsia="仿宋_GB2312"/>
          <w:bCs/>
          <w:sz w:val="30"/>
          <w:szCs w:val="30"/>
        </w:rPr>
        <w:t>6.其他方式：其他盘活资产的方式，包括对外捐赠等。</w:t>
      </w:r>
    </w:p>
    <w:p>
      <w:pPr>
        <w:spacing w:line="360" w:lineRule="auto"/>
        <w:ind w:firstLine="576" w:firstLineChars="192"/>
        <w:rPr>
          <w:rFonts w:ascii="仿宋_GB2312" w:eastAsia="仿宋_GB2312"/>
          <w:bCs/>
          <w:sz w:val="30"/>
          <w:szCs w:val="30"/>
        </w:rPr>
      </w:pPr>
      <w:r>
        <w:rPr>
          <w:rFonts w:hint="eastAsia" w:ascii="仿宋_GB2312" w:eastAsia="仿宋_GB2312"/>
          <w:bCs/>
          <w:sz w:val="30"/>
          <w:szCs w:val="30"/>
        </w:rPr>
        <w:t>7.本年实收往期盘活资产收益：指单位本年实际收到的以往年度盘活资产行为所产生的收入。</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578" w:firstLineChars="192"/>
        <w:rPr>
          <w:rFonts w:ascii="仿宋_GB2312" w:eastAsia="仿宋_GB2312"/>
          <w:b/>
          <w:sz w:val="30"/>
          <w:szCs w:val="30"/>
        </w:rPr>
      </w:pPr>
      <w:r>
        <w:rPr>
          <w:rFonts w:hint="eastAsia" w:ascii="仿宋_GB2312" w:hAnsi="等线" w:eastAsia="仿宋_GB2312"/>
          <w:b/>
          <w:sz w:val="30"/>
          <w:szCs w:val="30"/>
        </w:rPr>
        <w:t>表内</w:t>
      </w:r>
      <w:r>
        <w:rPr>
          <w:rFonts w:hint="eastAsia" w:ascii="仿宋_GB2312" w:eastAsia="仿宋_GB2312"/>
          <w:b/>
          <w:sz w:val="30"/>
          <w:szCs w:val="30"/>
        </w:rPr>
        <w:t>公式：</w:t>
      </w:r>
    </w:p>
    <w:p>
      <w:pPr>
        <w:numPr>
          <w:ilvl w:val="0"/>
          <w:numId w:val="5"/>
        </w:numPr>
        <w:spacing w:line="360" w:lineRule="auto"/>
        <w:ind w:firstLine="600" w:firstLineChars="200"/>
        <w:rPr>
          <w:rFonts w:ascii="仿宋_GB2312" w:hAnsi="Calibri" w:eastAsia="仿宋_GB2312"/>
          <w:sz w:val="30"/>
          <w:szCs w:val="30"/>
        </w:rPr>
      </w:pPr>
      <w:r>
        <w:rPr>
          <w:rFonts w:hint="eastAsia" w:ascii="仿宋_GB2312" w:hAnsi="Calibri" w:eastAsia="仿宋_GB2312"/>
          <w:sz w:val="30"/>
          <w:szCs w:val="30"/>
        </w:rPr>
        <w:t>合计栏等于内部挖潜、共享共用、调剂利用（无偿划转）、对外出租、转让（出售）、其他方式对应栏次之和；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固定资产（2行）的原值、盘活收入等于房屋和构筑物（3行）、设备（10行）、陈列品（15行）、图书和档案（16行）、家具和用具（17行）、特种动植物（18行）各项的对应栏次之和；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合计行的原值、盘活收入、本年实收往期盘活资产收益等于固定资产（2行）、无形资产（18行）、其他资产（23行）各项对应栏次之和；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房屋和构筑物（3行）的原值、盘活收入应大于等于土地（4行）、房屋（5行）对应栏次之和；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房屋（5行）等于办公用房（6行）、业务用房（7行）、其他用房（8行）对应栏次之和；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设备（9行）的原值、数量、盘活收入应大于等于车辆（10行）、单价100万（含）以上（不含车辆）（11行）对应栏次之和；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单价100万（含）以上（不含车辆）（11行）的原值、数量、盘活收入应大于等于医疗设备（12行）、科研设备（13行）对应栏次之和；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无形资产（18行）的原值、盘活收入应大于等于专利（19行）、非专利技术（20行）、土地使用权（21行）、计算机软件（22行）对应栏次之和；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盘活收入小计栏次应大于等于上交国库金额栏次；</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各指标大于等于0；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当盘活方式为其他方式原值（22栏大于0）时，需在备注中说明具体做法。</w:t>
      </w:r>
    </w:p>
    <w:p>
      <w:pPr>
        <w:numPr>
          <w:ilvl w:val="255"/>
          <w:numId w:val="0"/>
        </w:num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其他资产</w:t>
      </w:r>
      <w:r>
        <w:rPr>
          <w:rFonts w:hint="eastAsia" w:ascii="仿宋_GB2312" w:hAnsi="仿宋" w:eastAsia="仿宋_GB2312"/>
          <w:sz w:val="30"/>
          <w:szCs w:val="30"/>
        </w:rPr>
        <w:t>指标大于</w:t>
      </w:r>
      <w:r>
        <w:rPr>
          <w:rFonts w:ascii="仿宋_GB2312" w:hAnsi="仿宋" w:eastAsia="仿宋_GB2312"/>
          <w:sz w:val="30"/>
          <w:szCs w:val="30"/>
        </w:rPr>
        <w:t>0时，需</w:t>
      </w:r>
      <w:r>
        <w:rPr>
          <w:rFonts w:hint="eastAsia" w:ascii="仿宋_GB2312" w:hAnsi="仿宋" w:eastAsia="仿宋_GB2312"/>
          <w:sz w:val="30"/>
          <w:szCs w:val="30"/>
        </w:rPr>
        <w:t>在</w:t>
      </w:r>
      <w:r>
        <w:rPr>
          <w:rFonts w:ascii="仿宋_GB2312" w:hAnsi="仿宋" w:eastAsia="仿宋_GB2312"/>
          <w:sz w:val="30"/>
          <w:szCs w:val="30"/>
        </w:rPr>
        <w:t>备注</w:t>
      </w:r>
      <w:r>
        <w:rPr>
          <w:rFonts w:hint="eastAsia" w:ascii="仿宋_GB2312" w:hAnsi="仿宋" w:eastAsia="仿宋_GB2312"/>
          <w:sz w:val="30"/>
          <w:szCs w:val="30"/>
        </w:rPr>
        <w:t>中说明具体资产内容；</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土地（4行）、房屋（5行）、设备（9行）、车辆（10行）的“对外出租”数量、原值应等于财资09出租出借情况表中同一类资产出租出借方式为“出租”资产的数量、原值合计；</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ascii="仿宋_GB2312" w:hAnsi="仿宋" w:eastAsia="仿宋_GB2312"/>
          <w:sz w:val="30"/>
          <w:szCs w:val="30"/>
        </w:rPr>
        <w:t>无形资产的“对外出租”原值</w:t>
      </w:r>
      <w:r>
        <w:rPr>
          <w:rFonts w:hint="eastAsia" w:ascii="仿宋_GB2312" w:hAnsi="仿宋" w:eastAsia="仿宋_GB2312"/>
          <w:sz w:val="30"/>
          <w:szCs w:val="30"/>
        </w:rPr>
        <w:t>（18行14栏）应等于财资09出租出借情况表中同一类资产出租出借方式为“出租”资产的原值合计。</w:t>
      </w:r>
    </w:p>
    <w:p>
      <w:pPr>
        <w:pStyle w:val="2"/>
        <w:rPr>
          <w:rFonts w:hint="eastAsia"/>
          <w:b/>
          <w:color w:val="auto"/>
        </w:rPr>
      </w:pPr>
      <w:r>
        <w:rPr>
          <w:rFonts w:hint="eastAsia"/>
          <w:color w:val="auto"/>
        </w:rPr>
        <w:t>（二十一）执法执勤用车编制等情况备案表（中央部门）（财资附02-1表）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本表反映中央行政事业单位经中央批准的执法执勤部门用于一线执法执勤公务的机动车辆，不包含特种专业技术用车。</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1.编制数：取自财资02表机构人员情况表执法执勤用车（25行）编制数。</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2.实有数：取自财资06表车辆情况表车辆用途（19栏）为执法执勤用车的车辆数之和。</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3.配备数：2025年1月1日至12月31日配备的执法执勤用车数量。</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4.喷涂标识数：截止2025年12月31日已喷涂标识的执法执勤用车数量，提取财资06表车辆情况表车辆用途（19栏）为执法执勤用车，且是否喷涂标识为“是”的车辆数。</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逻辑性审核公式：</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表内公式：</w:t>
      </w:r>
    </w:p>
    <w:p>
      <w:pPr>
        <w:numPr>
          <w:ilvl w:val="0"/>
          <w:numId w:val="2"/>
        </w:numPr>
        <w:adjustRightInd w:val="0"/>
        <w:snapToGrid w:val="0"/>
        <w:spacing w:line="360" w:lineRule="auto"/>
        <w:ind w:left="0" w:firstLine="600"/>
        <w:rPr>
          <w:rFonts w:hint="eastAsia" w:ascii="仿宋_GB2312" w:hAnsi="仿宋" w:eastAsia="仿宋_GB2312"/>
          <w:b/>
          <w:bCs/>
          <w:sz w:val="30"/>
          <w:szCs w:val="30"/>
        </w:rPr>
      </w:pPr>
      <w:r>
        <w:rPr>
          <w:rFonts w:hint="eastAsia" w:ascii="仿宋_GB2312" w:hAnsi="仿宋" w:eastAsia="仿宋_GB2312"/>
          <w:sz w:val="30"/>
          <w:szCs w:val="30"/>
        </w:rPr>
        <w:t>若喷涂标识数（4栏）&lt;实有数（2栏），需备注说明具体原因。</w:t>
      </w:r>
    </w:p>
    <w:p>
      <w:pPr>
        <w:pStyle w:val="2"/>
        <w:rPr>
          <w:rFonts w:hint="eastAsia"/>
          <w:b/>
          <w:color w:val="auto"/>
        </w:rPr>
      </w:pPr>
      <w:r>
        <w:rPr>
          <w:rFonts w:hint="eastAsia"/>
          <w:color w:val="auto"/>
        </w:rPr>
        <w:t>（二十二）执法执勤用车编制等情况备案表（地方财政部门）（财资附02-2表）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本表反映地方行政事业单位经中央批准的执法执勤部门用于一线执法执勤公务的机动车辆，不包含特种专业技术用车。</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1.编制数：取自财资02表机构人员情况表执法执勤用车（25行）编制数。</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2.实有数：取自财资06表车辆情况表车辆用途（19栏）为执法执勤用车的车辆数之和。</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3.配备数：2025年1月1日至12月31日配备的执法执勤用车数量，取自资产信息卡。</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4.喷涂标识数：截至2025年12月31日已喷涂标识的执法执勤用车数量，提取财资06表车辆情况表车辆用途（19栏）为执法执勤用车，且是否喷涂标识为“是”的车辆数。</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逻辑性审核公式：</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表内公式：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ascii="仿宋_GB2312" w:hAnsi="仿宋" w:eastAsia="仿宋_GB2312"/>
          <w:sz w:val="30"/>
          <w:szCs w:val="30"/>
        </w:rPr>
        <w:t>合计</w:t>
      </w:r>
      <w:r>
        <w:rPr>
          <w:rFonts w:hint="eastAsia" w:ascii="仿宋_GB2312" w:hAnsi="仿宋" w:eastAsia="仿宋_GB2312"/>
          <w:sz w:val="30"/>
          <w:szCs w:val="30"/>
        </w:rPr>
        <w:t>行</w:t>
      </w:r>
      <w:r>
        <w:rPr>
          <w:rFonts w:ascii="仿宋_GB2312" w:hAnsi="仿宋" w:eastAsia="仿宋_GB2312"/>
          <w:sz w:val="30"/>
          <w:szCs w:val="30"/>
        </w:rPr>
        <w:t>等于省级、</w:t>
      </w:r>
      <w:r>
        <w:rPr>
          <w:rFonts w:hint="eastAsia" w:ascii="仿宋_GB2312" w:hAnsi="仿宋" w:eastAsia="仿宋_GB2312"/>
          <w:sz w:val="30"/>
          <w:szCs w:val="30"/>
        </w:rPr>
        <w:t>计划单列市、</w:t>
      </w:r>
      <w:r>
        <w:rPr>
          <w:rFonts w:ascii="仿宋_GB2312" w:hAnsi="仿宋" w:eastAsia="仿宋_GB2312"/>
          <w:sz w:val="30"/>
          <w:szCs w:val="30"/>
        </w:rPr>
        <w:t>市级、县级及以下</w:t>
      </w:r>
      <w:r>
        <w:rPr>
          <w:rFonts w:hint="eastAsia" w:ascii="仿宋_GB2312" w:hAnsi="仿宋" w:eastAsia="仿宋_GB2312"/>
          <w:sz w:val="30"/>
          <w:szCs w:val="30"/>
        </w:rPr>
        <w:t>各</w:t>
      </w:r>
      <w:r>
        <w:rPr>
          <w:rFonts w:ascii="仿宋_GB2312" w:hAnsi="仿宋" w:eastAsia="仿宋_GB2312"/>
          <w:sz w:val="30"/>
          <w:szCs w:val="30"/>
        </w:rPr>
        <w:t>行</w:t>
      </w:r>
      <w:r>
        <w:rPr>
          <w:rFonts w:hint="eastAsia" w:ascii="仿宋_GB2312" w:hAnsi="仿宋" w:eastAsia="仿宋_GB2312"/>
          <w:sz w:val="30"/>
          <w:szCs w:val="30"/>
        </w:rPr>
        <w:t>对应指标</w:t>
      </w:r>
      <w:r>
        <w:rPr>
          <w:rFonts w:ascii="仿宋_GB2312" w:hAnsi="仿宋" w:eastAsia="仿宋_GB2312"/>
          <w:sz w:val="30"/>
          <w:szCs w:val="30"/>
        </w:rPr>
        <w:t>之和</w:t>
      </w:r>
      <w:r>
        <w:rPr>
          <w:rFonts w:hint="eastAsia" w:ascii="仿宋_GB2312" w:hAnsi="仿宋" w:eastAsia="仿宋_GB2312"/>
          <w:sz w:val="30"/>
          <w:szCs w:val="30"/>
        </w:rPr>
        <w:t>；</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若喷涂标识数（4栏）&lt;实有数（2栏），需备注说明具体原因。</w:t>
      </w:r>
    </w:p>
    <w:p>
      <w:pPr>
        <w:snapToGrid w:val="0"/>
        <w:spacing w:line="360" w:lineRule="auto"/>
        <w:ind w:firstLine="602" w:firstLineChars="200"/>
        <w:rPr>
          <w:rFonts w:hint="eastAsia" w:ascii="仿宋_GB2312" w:hAnsi="仿宋" w:eastAsia="仿宋_GB2312"/>
          <w:sz w:val="30"/>
          <w:szCs w:val="30"/>
        </w:rPr>
      </w:pPr>
      <w:r>
        <w:rPr>
          <w:rFonts w:hint="eastAsia" w:ascii="仿宋_GB2312" w:hAnsi="仿宋" w:eastAsia="仿宋_GB2312"/>
          <w:b/>
          <w:bCs/>
          <w:sz w:val="30"/>
          <w:szCs w:val="30"/>
        </w:rPr>
        <w:t>表间公式：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当单户封面预算级次为“省级”时，除合计行外，省级（2行）大于等于0，其他行应为0；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当单户封面预算级次为“计划单列市”时，除合计行外，计划单列市（3行）大于等于0，其他行应为0；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当单户封面预算级次为“市级”时，除合计行外，市级（4行）大于等于0，其他行应为0；</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当单户封面预算级次为“县（区）级、乡级”，除合计行外，县级及以下（5行）大于等于0，其他行应为0。</w:t>
      </w:r>
    </w:p>
    <w:p>
      <w:pPr>
        <w:pStyle w:val="2"/>
        <w:rPr>
          <w:rFonts w:hint="eastAsia"/>
          <w:b/>
          <w:color w:val="auto"/>
        </w:rPr>
      </w:pPr>
      <w:r>
        <w:rPr>
          <w:rFonts w:hint="eastAsia"/>
          <w:color w:val="auto"/>
        </w:rPr>
        <w:t>（二十三）卫生健康行业资产情况表（财资附03表）</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本表由部门标识代码为“中华人民共和国国家卫生健康委员会”、“国家中医药管理局”、“国家疾病预防控制局”,或机构行业类型为“卫生”的单位进行填报，反映本单位卫生健康行业资产情况 ，由单位根据实际情况手动填列。</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1.管理人员：反映担负领导职责或管理任务的工作人员。包括从事医疗保健、疾病控制、卫生监督、医学科研与教学等业务管理工作的人员；主要从事党政、人事、财务、信息、安全保卫等行政管理工作的人员。</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2.卫生技术人员：包括执业医师、执业助理医师、注册护士、药师（士）、检验技师（士）、影像技师（士）、卫生监督员和见习医（药、护、技）师（士）等卫生专业人员。不包括仅从事管理工作的卫生技术人员（如院长、副院长、党委书记等）。</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1）执业（助理）医师：指医师执业证“级别”为“执业医师”、“执业助理医师”且实际从事医疗、预防保健工作的人员，不包括实际从事管理工作的执业医师、执业助理医师。执业（助理）医师类别分为临床、中医、口腔和公共卫生四类。</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（2）注册护士：指具有注册护士证书且实际从事护理工作的人员，不包括从事管理工作的护士。</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（3）其他：指卫生人员中除执业（助理）医师、注册护士外其他卫生技术人员。</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3.其他人员：指除管理人员和卫生技术人员外的其他人员。</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4.编制床位：反映单位经卫生健康主管部门核定的编制床位数。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5.年末实际开放床位：反映单位年末实际开放的床位数。包括因故（如消毒、小修理等）暂时停用的病床，不包括因医院病房扩建、大修理或粉刷而停用的病床及临时增设的病床</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6.年末病房房间数（个）：反映单位年末实际开放的病房房间个数。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7.单人间：反映单位年末实际开放的1人间病房个数。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8.双人间：反映单位年末实际开放的2人间病房个数。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9.三人间：反映单位年末实际开放的3人间病房个数。</w:t>
      </w:r>
    </w:p>
    <w:p>
      <w:pPr>
        <w:adjustRightInd w:val="0"/>
        <w:snapToGrid w:val="0"/>
        <w:spacing w:line="360" w:lineRule="auto"/>
        <w:ind w:firstLine="600"/>
        <w:rPr>
          <w:rFonts w:hint="eastAsia" w:ascii="仿宋_GB2312" w:hAnsi="宋体" w:eastAsia="仿宋_GB2312"/>
          <w:bCs/>
          <w:sz w:val="30"/>
          <w:szCs w:val="30"/>
        </w:rPr>
      </w:pPr>
      <w:r>
        <w:rPr>
          <w:rFonts w:hint="eastAsia" w:ascii="仿宋_GB2312" w:hAnsi="宋体" w:eastAsia="仿宋_GB2312"/>
          <w:bCs/>
          <w:sz w:val="30"/>
          <w:szCs w:val="30"/>
        </w:rPr>
        <w:t>10.四人间及以上：反映单位年末实际开放的4人及以上病房个数。</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逻辑性审核公式：</w:t>
      </w:r>
    </w:p>
    <w:p>
      <w:pPr>
        <w:numPr>
          <w:ilvl w:val="0"/>
          <w:numId w:val="2"/>
        </w:numPr>
        <w:adjustRightInd w:val="0"/>
        <w:snapToGrid w:val="0"/>
        <w:spacing w:line="360" w:lineRule="auto"/>
        <w:ind w:left="0" w:firstLine="600"/>
        <w:rPr>
          <w:rFonts w:ascii="仿宋_GB2312" w:eastAsia="仿宋_GB2312"/>
          <w:sz w:val="30"/>
          <w:szCs w:val="30"/>
        </w:rPr>
      </w:pPr>
      <w:r>
        <w:rPr>
          <w:rFonts w:hint="eastAsia" w:ascii="仿宋_GB2312" w:eastAsia="仿宋_GB2312"/>
          <w:sz w:val="30"/>
          <w:szCs w:val="30"/>
        </w:rPr>
        <w:t>年末在职职工人数（4行）等于管理人员（5行）、卫生技术人员（6行）、其他人员（10行）之和；</w:t>
      </w:r>
    </w:p>
    <w:p>
      <w:pPr>
        <w:numPr>
          <w:ilvl w:val="0"/>
          <w:numId w:val="2"/>
        </w:numPr>
        <w:adjustRightInd w:val="0"/>
        <w:snapToGrid w:val="0"/>
        <w:spacing w:line="360" w:lineRule="auto"/>
        <w:ind w:left="0" w:firstLine="600"/>
        <w:rPr>
          <w:rFonts w:ascii="仿宋_GB2312" w:eastAsia="仿宋_GB2312"/>
          <w:sz w:val="30"/>
          <w:szCs w:val="30"/>
        </w:rPr>
      </w:pPr>
      <w:r>
        <w:rPr>
          <w:rFonts w:hint="eastAsia" w:ascii="仿宋_GB2312" w:eastAsia="仿宋_GB2312"/>
          <w:sz w:val="30"/>
          <w:szCs w:val="30"/>
        </w:rPr>
        <w:t>卫生技术人员（6行）大于等于执业（助理）医师（7行）、注册护士（8行）、其他（9行）之和；</w:t>
      </w:r>
    </w:p>
    <w:p>
      <w:pPr>
        <w:numPr>
          <w:ilvl w:val="0"/>
          <w:numId w:val="2"/>
        </w:numPr>
        <w:adjustRightInd w:val="0"/>
        <w:snapToGrid w:val="0"/>
        <w:spacing w:line="360" w:lineRule="auto"/>
        <w:ind w:left="0" w:firstLine="600"/>
        <w:rPr>
          <w:rFonts w:ascii="仿宋_GB2312" w:eastAsia="仿宋_GB2312"/>
          <w:b/>
          <w:sz w:val="30"/>
          <w:szCs w:val="30"/>
        </w:rPr>
      </w:pPr>
      <w:r>
        <w:rPr>
          <w:rFonts w:hint="eastAsia" w:ascii="仿宋_GB2312" w:eastAsia="仿宋_GB2312"/>
          <w:sz w:val="30"/>
          <w:szCs w:val="30"/>
        </w:rPr>
        <w:t>年末病房房间数（15行）等于单人间（16行）、双人间（17行）、三人间（18行）、四人间及以上（19行）之和；</w:t>
      </w:r>
    </w:p>
    <w:p>
      <w:pPr>
        <w:numPr>
          <w:ilvl w:val="0"/>
          <w:numId w:val="2"/>
        </w:numPr>
        <w:adjustRightInd w:val="0"/>
        <w:snapToGrid w:val="0"/>
        <w:spacing w:line="360" w:lineRule="auto"/>
        <w:ind w:left="0" w:firstLine="600"/>
        <w:rPr>
          <w:rFonts w:ascii="仿宋_GB2312" w:eastAsia="仿宋_GB2312"/>
          <w:b/>
          <w:sz w:val="30"/>
          <w:szCs w:val="30"/>
        </w:rPr>
      </w:pPr>
      <w:r>
        <w:rPr>
          <w:rFonts w:hint="eastAsia" w:ascii="仿宋_GB2312" w:eastAsia="仿宋_GB2312"/>
          <w:sz w:val="30"/>
          <w:szCs w:val="30"/>
        </w:rPr>
        <w:t>万元(含)以上设备数量（22行）大于等于医疗设备数量（23行）；</w:t>
      </w:r>
    </w:p>
    <w:p>
      <w:pPr>
        <w:numPr>
          <w:ilvl w:val="0"/>
          <w:numId w:val="2"/>
        </w:numPr>
        <w:adjustRightInd w:val="0"/>
        <w:snapToGrid w:val="0"/>
        <w:spacing w:line="360" w:lineRule="auto"/>
        <w:ind w:left="0" w:firstLine="600"/>
        <w:rPr>
          <w:rFonts w:ascii="仿宋_GB2312" w:eastAsia="仿宋_GB2312"/>
          <w:b/>
          <w:sz w:val="30"/>
          <w:szCs w:val="30"/>
        </w:rPr>
      </w:pPr>
      <w:r>
        <w:rPr>
          <w:rFonts w:hint="eastAsia" w:ascii="仿宋_GB2312" w:eastAsia="仿宋_GB2312"/>
          <w:sz w:val="30"/>
          <w:szCs w:val="30"/>
        </w:rPr>
        <w:t>万元(含)以上设备原值（24行）大于等于医疗设备原值（25行）；</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eastAsia="仿宋_GB2312"/>
          <w:sz w:val="30"/>
          <w:szCs w:val="30"/>
        </w:rPr>
        <w:t>万元(含)以上设备净值（26行）大于等于医疗设备净值（27行）。</w:t>
      </w:r>
    </w:p>
    <w:p>
      <w:pPr>
        <w:numPr>
          <w:ilvl w:val="255"/>
          <w:numId w:val="0"/>
        </w:num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5"/>
        </w:numPr>
        <w:adjustRightInd w:val="0"/>
        <w:snapToGrid w:val="0"/>
        <w:spacing w:line="360" w:lineRule="auto"/>
        <w:ind w:firstLine="600" w:firstLineChars="200"/>
        <w:rPr>
          <w:rFonts w:ascii="仿宋_GB2312" w:eastAsia="仿宋_GB2312"/>
          <w:sz w:val="30"/>
          <w:szCs w:val="30"/>
        </w:rPr>
      </w:pPr>
      <w:r>
        <w:rPr>
          <w:rFonts w:ascii="仿宋_GB2312" w:eastAsia="仿宋_GB2312"/>
          <w:sz w:val="30"/>
          <w:szCs w:val="30"/>
        </w:rPr>
        <w:t>年末在职职工人数（人）（4行2栏）应等于财资02机构人员情况表编制内在职人员（人）（2行2栏）、其他人员（9行2栏）之和，否则</w:t>
      </w:r>
      <w:r>
        <w:rPr>
          <w:rFonts w:hint="eastAsia" w:ascii="仿宋_GB2312" w:hAnsi="仿宋" w:eastAsia="仿宋_GB2312"/>
          <w:sz w:val="30"/>
          <w:szCs w:val="30"/>
        </w:rPr>
        <w:t>提示核实性错误，需结合实际情况修改或填写情况说明。</w:t>
      </w:r>
    </w:p>
    <w:p>
      <w:pPr>
        <w:pStyle w:val="2"/>
        <w:rPr>
          <w:rFonts w:hint="eastAsia"/>
          <w:color w:val="auto"/>
        </w:rPr>
      </w:pPr>
      <w:r>
        <w:rPr>
          <w:rFonts w:hint="eastAsia"/>
          <w:color w:val="auto"/>
        </w:rPr>
        <w:t>二、汇总表编制说明</w:t>
      </w:r>
    </w:p>
    <w:p>
      <w:pPr>
        <w:pStyle w:val="2"/>
        <w:ind w:firstLine="0" w:firstLineChars="0"/>
        <w:rPr>
          <w:rFonts w:hint="eastAsia"/>
          <w:color w:val="auto"/>
        </w:rPr>
      </w:pPr>
      <w:r>
        <w:rPr>
          <w:rFonts w:hint="eastAsia"/>
          <w:color w:val="auto"/>
        </w:rPr>
        <w:t>（一）汇总封面</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本表反映单位的基本信息情况，根据单户封面填报情况，自动提取生成。</w:t>
      </w:r>
    </w:p>
    <w:p>
      <w:pPr>
        <w:pStyle w:val="2"/>
        <w:ind w:firstLine="0" w:firstLineChars="0"/>
        <w:rPr>
          <w:rFonts w:hint="eastAsia"/>
          <w:color w:val="auto"/>
        </w:rPr>
      </w:pPr>
      <w:r>
        <w:rPr>
          <w:rFonts w:hint="eastAsia"/>
          <w:color w:val="auto"/>
        </w:rPr>
        <w:t>（二）</w:t>
      </w:r>
      <w:r>
        <w:rPr>
          <w:color w:val="auto"/>
        </w:rPr>
        <w:t>资产负债汇总表</w:t>
      </w:r>
      <w:r>
        <w:rPr>
          <w:rFonts w:hint="eastAsia"/>
          <w:color w:val="auto"/>
        </w:rPr>
        <w:t>（</w:t>
      </w:r>
      <w:r>
        <w:rPr>
          <w:color w:val="auto"/>
        </w:rPr>
        <w:t>财资综01</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hint="eastAsia" w:ascii="仿宋_GB2312" w:hAnsi="仿宋" w:eastAsia="仿宋_GB2312"/>
          <w:sz w:val="30"/>
          <w:szCs w:val="30"/>
        </w:rPr>
        <w:t>反映单位期初、期末的资产、</w:t>
      </w:r>
      <w:r>
        <w:rPr>
          <w:rFonts w:ascii="仿宋_GB2312" w:hAnsi="仿宋" w:eastAsia="仿宋_GB2312"/>
          <w:sz w:val="30"/>
          <w:szCs w:val="30"/>
        </w:rPr>
        <w:t>负债</w:t>
      </w:r>
      <w:r>
        <w:rPr>
          <w:rFonts w:hint="eastAsia" w:ascii="仿宋_GB2312" w:hAnsi="仿宋" w:eastAsia="仿宋_GB2312"/>
          <w:sz w:val="30"/>
          <w:szCs w:val="30"/>
        </w:rPr>
        <w:t>和净资产账面情况。表中数据以财资01资产负债表为基础自动提取生成。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宋体" w:eastAsia="仿宋_GB2312"/>
          <w:sz w:val="30"/>
          <w:szCs w:val="30"/>
        </w:rPr>
        <w:t>资产合计（</w:t>
      </w:r>
      <w:r>
        <w:rPr>
          <w:rFonts w:hint="eastAsia" w:ascii="仿宋_GB2312" w:hAnsi="仿宋" w:eastAsia="仿宋_GB2312"/>
          <w:sz w:val="30"/>
          <w:szCs w:val="30"/>
        </w:rPr>
        <w:t>1行</w:t>
      </w:r>
      <w:r>
        <w:rPr>
          <w:rFonts w:hint="eastAsia" w:ascii="仿宋_GB2312" w:hAnsi="宋体" w:eastAsia="仿宋_GB2312"/>
          <w:sz w:val="30"/>
          <w:szCs w:val="30"/>
        </w:rPr>
        <w:t>）的期末数（2栏）与期初数（1栏）增减变动超过30%且≥±10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宋体" w:eastAsia="仿宋_GB2312"/>
          <w:sz w:val="30"/>
          <w:szCs w:val="30"/>
        </w:rPr>
        <w:t>流动资产（2</w:t>
      </w:r>
      <w:r>
        <w:rPr>
          <w:rFonts w:hint="eastAsia" w:ascii="仿宋_GB2312" w:hAnsi="仿宋" w:eastAsia="仿宋_GB2312"/>
          <w:sz w:val="30"/>
          <w:szCs w:val="30"/>
        </w:rPr>
        <w:t>行</w:t>
      </w:r>
      <w:r>
        <w:rPr>
          <w:rFonts w:hint="eastAsia" w:ascii="仿宋_GB2312" w:hAnsi="宋体" w:eastAsia="仿宋_GB2312"/>
          <w:sz w:val="30"/>
          <w:szCs w:val="30"/>
        </w:rPr>
        <w:t>）的期末数（2栏）与期初数（1栏）增减变动超过30%且≥±10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非流动资产（16行）的期末数（2栏）与期初数（1栏）增减变动超过30%且≥±100万元，提示核实性错误，并需填写情况说明；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长期股权投资（17行）的期末数（2栏）与期初数（1栏）增减变动超过30%且≥±100万元，提示核实性错误，并需填写情况说明；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长期债券投资（18行）的期末数（2栏）与期初数（1栏）增减变动超过30%且≥±100万元，提示核实性错误，并需填写情况说明；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固定资产原值（19行）的期末数（2栏）与期初数（1栏）增减变动超过30%且≥±100万元，提示核实性错误，并需填写情况说明；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在建工程（23行）的期末数（2栏）与期初数（1栏）增减变动超过30%且≥±100万元，提示核实性错误，并需填写情况说明；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无形资产原值（24行）的期末数（2栏）与期初数（1栏）增减变动超过30%且≥±100万元，提示核实性错误，并需填写情况说明；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净资产（62</w:t>
      </w:r>
      <w:r>
        <w:rPr>
          <w:rFonts w:ascii="仿宋_GB2312" w:hAnsi="仿宋" w:eastAsia="仿宋_GB2312"/>
          <w:sz w:val="30"/>
          <w:szCs w:val="30"/>
        </w:rPr>
        <w:t>行</w:t>
      </w:r>
      <w:r>
        <w:rPr>
          <w:rFonts w:hint="eastAsia" w:ascii="仿宋_GB2312" w:hAnsi="仿宋" w:eastAsia="仿宋_GB2312"/>
          <w:sz w:val="30"/>
          <w:szCs w:val="30"/>
        </w:rPr>
        <w:t>）的</w:t>
      </w:r>
      <w:r>
        <w:rPr>
          <w:rFonts w:hint="eastAsia" w:ascii="仿宋_GB2312" w:hAnsi="宋体" w:eastAsia="仿宋_GB2312"/>
          <w:sz w:val="30"/>
          <w:szCs w:val="30"/>
        </w:rPr>
        <w:t>期末数（2栏）与期初数（1栏）增减变动超过30%且≥±10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负债合计（</w:t>
      </w:r>
      <w:r>
        <w:rPr>
          <w:rFonts w:ascii="仿宋_GB2312" w:hAnsi="仿宋" w:eastAsia="仿宋_GB2312"/>
          <w:sz w:val="30"/>
          <w:szCs w:val="30"/>
        </w:rPr>
        <w:t>4</w:t>
      </w:r>
      <w:r>
        <w:rPr>
          <w:rFonts w:hint="eastAsia" w:ascii="仿宋_GB2312" w:hAnsi="仿宋" w:eastAsia="仿宋_GB2312"/>
          <w:sz w:val="30"/>
          <w:szCs w:val="30"/>
        </w:rPr>
        <w:t>0行）的</w:t>
      </w:r>
      <w:r>
        <w:rPr>
          <w:rFonts w:hint="eastAsia" w:ascii="仿宋_GB2312" w:hAnsi="宋体" w:eastAsia="仿宋_GB2312"/>
          <w:sz w:val="30"/>
          <w:szCs w:val="30"/>
        </w:rPr>
        <w:t>期末数（2栏）与期初数（1栏）增减变动超过30%且≥±50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非流动负债合计（56行）的</w:t>
      </w:r>
      <w:r>
        <w:rPr>
          <w:rFonts w:hint="eastAsia" w:ascii="仿宋_GB2312" w:hAnsi="宋体" w:eastAsia="仿宋_GB2312"/>
          <w:sz w:val="30"/>
          <w:szCs w:val="30"/>
        </w:rPr>
        <w:t>期末数（2栏）与期初数（1栏）增减变动超过30%且≥±50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资产合计的期末数（1行2栏）、固定资产原值的期末数（19行2栏）、无形资产原值的期末数（24行2栏）、公共基础设施原值的期末数（28行2栏）、保障性住房原值的期末数（33行2栏）全部=0，且财资综02表在职人员年末实有人数（2行2栏）&gt;0，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资产负债表期初账面数（本期1栏）不等于上年资产负债表期末账面数（上期2栏），提示核实性错误，并需填写情况说明；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货币性资金的期末数（3行2栏）占资产合计期末数（1行2栏）超过参考值50%，提示核实性错误，并需填写情况说明；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在建工程资产的期末数（23行2栏）占比资产合计期末数（1行2栏）超过参考值50%，提示核实性错误，并需填写情况说明；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总计受托代理资产的期末数（39行2栏）≠0时，提示核实性错误，并需填写情况说明；</w:t>
      </w:r>
    </w:p>
    <w:p>
      <w:pPr>
        <w:numPr>
          <w:ilvl w:val="0"/>
          <w:numId w:val="3"/>
        </w:numPr>
        <w:adjustRightInd w:val="0"/>
        <w:snapToGrid w:val="0"/>
        <w:spacing w:line="360" w:lineRule="auto"/>
        <w:ind w:left="0" w:firstLine="567"/>
        <w:rPr>
          <w:rFonts w:hint="eastAsia" w:ascii="仿宋_GB2312" w:hAnsi="仿宋" w:eastAsia="仿宋_GB2312"/>
          <w:sz w:val="30"/>
          <w:szCs w:val="30"/>
        </w:rPr>
      </w:pPr>
      <w:r>
        <w:rPr>
          <w:rFonts w:hint="eastAsia" w:ascii="仿宋_GB2312" w:hAnsi="仿宋" w:eastAsia="仿宋_GB2312"/>
          <w:sz w:val="30"/>
          <w:szCs w:val="30"/>
        </w:rPr>
        <w:t>其他非流动资产的期末数（38行2栏）占比资产合计期末数（1行2栏）超过参考值25%，提示核实性错误，并需填写情况说明。</w:t>
      </w:r>
    </w:p>
    <w:p>
      <w:pPr>
        <w:pStyle w:val="2"/>
        <w:ind w:firstLine="0" w:firstLineChars="0"/>
        <w:rPr>
          <w:rFonts w:hint="eastAsia"/>
          <w:color w:val="auto"/>
        </w:rPr>
      </w:pPr>
      <w:r>
        <w:rPr>
          <w:rFonts w:hint="eastAsia"/>
          <w:color w:val="auto"/>
        </w:rPr>
        <w:t>（三）</w:t>
      </w:r>
      <w:r>
        <w:rPr>
          <w:color w:val="auto"/>
        </w:rPr>
        <w:t>机构人员情况汇总表</w:t>
      </w:r>
      <w:r>
        <w:rPr>
          <w:rFonts w:hint="eastAsia"/>
          <w:color w:val="auto"/>
        </w:rPr>
        <w:t>（</w:t>
      </w:r>
      <w:r>
        <w:rPr>
          <w:color w:val="auto"/>
        </w:rPr>
        <w:t>财资综02</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hint="eastAsia" w:ascii="仿宋_GB2312" w:hAnsi="仿宋" w:eastAsia="仿宋_GB2312"/>
          <w:sz w:val="30"/>
          <w:szCs w:val="30"/>
        </w:rPr>
        <w:t>反映单位年末机构设置、人员编制及实有情况、公务用车编制及实有情况、体育场地情况。表中数据以财资02机构人员情况表和财资06车辆情况表为基础自动提取生成。</w:t>
      </w:r>
    </w:p>
    <w:p>
      <w:pPr>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1.实有数：该指标取自车辆情况表，车辆用途为同类的车辆数量之和。</w:t>
      </w:r>
    </w:p>
    <w:p>
      <w:pPr>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2.新能源汽车数：该指标取自车辆情况表排气量（升）为“新能源汽车”分类下，车辆用途为同类的车辆数量之和。</w:t>
      </w:r>
    </w:p>
    <w:p>
      <w:pPr>
        <w:adjustRightInd w:val="0"/>
        <w:snapToGrid w:val="0"/>
        <w:spacing w:before="120" w:beforeLines="50"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编制内在职人员的编制人数（2行1栏）</w:t>
      </w:r>
      <w:r>
        <w:rPr>
          <w:rFonts w:ascii="仿宋_GB2312" w:hAnsi="仿宋" w:eastAsia="仿宋_GB2312"/>
          <w:sz w:val="30"/>
          <w:szCs w:val="30"/>
        </w:rPr>
        <w:t>=0</w:t>
      </w:r>
      <w:r>
        <w:rPr>
          <w:rFonts w:hint="eastAsia" w:ascii="仿宋_GB2312" w:hAnsi="仿宋" w:eastAsia="仿宋_GB2312"/>
          <w:sz w:val="30"/>
          <w:szCs w:val="30"/>
        </w:rPr>
        <w:t>时</w:t>
      </w:r>
      <w:r>
        <w:rPr>
          <w:rFonts w:ascii="仿宋_GB2312" w:hAnsi="仿宋" w:eastAsia="仿宋_GB2312"/>
          <w:sz w:val="30"/>
          <w:szCs w:val="30"/>
        </w:rPr>
        <w:t>，</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编制内在职人员的年末实有人数（2行</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=0</w:t>
      </w:r>
      <w:r>
        <w:rPr>
          <w:rFonts w:hint="eastAsia" w:ascii="仿宋_GB2312" w:hAnsi="仿宋" w:eastAsia="仿宋_GB2312"/>
          <w:sz w:val="30"/>
          <w:szCs w:val="30"/>
        </w:rPr>
        <w:t>时</w:t>
      </w:r>
      <w:r>
        <w:rPr>
          <w:rFonts w:ascii="仿宋_GB2312" w:hAnsi="仿宋" w:eastAsia="仿宋_GB2312"/>
          <w:sz w:val="30"/>
          <w:szCs w:val="30"/>
        </w:rPr>
        <w:t>，</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单位机构的独立编制机构数（17行3栏）=0时，提示核实性错误，并需填写情况说明；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本期编制内在职人员与其他人员之和（2行+9行2栏）的年末实有人数大于20人时，与上期机构人员情况表的在职人员的年末实有人数（2行2栏），差异超过20%，提示核实性错误，并需填写情况说明；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本期单位机构的独立编制机构数（17行3栏）不等于上期机构人员情况表的单位机构的独立编制机构数（17行3栏），提示核实性错误，并需填写情况说明；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公务用车的实有数（6栏）&gt;公务用车的编制数（5栏）时，提示核实性错误，并需填写情况说明；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本期编制内在职人员的编制数（2行</w:t>
      </w:r>
      <w:r>
        <w:rPr>
          <w:rFonts w:ascii="仿宋_GB2312" w:hAnsi="仿宋" w:eastAsia="仿宋_GB2312"/>
          <w:sz w:val="30"/>
          <w:szCs w:val="30"/>
        </w:rPr>
        <w:t>1</w:t>
      </w:r>
      <w:r>
        <w:rPr>
          <w:rFonts w:hint="eastAsia" w:ascii="仿宋_GB2312" w:hAnsi="仿宋" w:eastAsia="仿宋_GB2312"/>
          <w:sz w:val="30"/>
          <w:szCs w:val="30"/>
        </w:rPr>
        <w:t>栏）与上期机构人员情况表的在职人员的编制数（2行</w:t>
      </w:r>
      <w:r>
        <w:rPr>
          <w:rFonts w:ascii="仿宋_GB2312" w:hAnsi="仿宋" w:eastAsia="仿宋_GB2312"/>
          <w:sz w:val="30"/>
          <w:szCs w:val="30"/>
        </w:rPr>
        <w:t>1</w:t>
      </w:r>
      <w:r>
        <w:rPr>
          <w:rFonts w:hint="eastAsia" w:ascii="仿宋_GB2312" w:hAnsi="仿宋" w:eastAsia="仿宋_GB2312"/>
          <w:sz w:val="30"/>
          <w:szCs w:val="30"/>
        </w:rPr>
        <w:t>栏），差异超过1</w:t>
      </w:r>
      <w:r>
        <w:rPr>
          <w:rFonts w:ascii="仿宋_GB2312" w:hAnsi="仿宋" w:eastAsia="仿宋_GB2312"/>
          <w:sz w:val="30"/>
          <w:szCs w:val="30"/>
        </w:rPr>
        <w:t>0%</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本期离休人员（13行2栏）的年末实有人数大于上期机构人员情况表的离休人员年末实有人数（13行2栏），提示核实性错误，并需填写情况说明。</w:t>
      </w:r>
    </w:p>
    <w:p>
      <w:pPr>
        <w:pStyle w:val="2"/>
        <w:ind w:firstLine="0" w:firstLineChars="0"/>
        <w:rPr>
          <w:rFonts w:hint="eastAsia"/>
          <w:color w:val="auto"/>
        </w:rPr>
      </w:pPr>
      <w:r>
        <w:rPr>
          <w:rFonts w:hint="eastAsia"/>
          <w:color w:val="auto"/>
        </w:rPr>
        <w:t>（四）</w:t>
      </w:r>
      <w:r>
        <w:rPr>
          <w:color w:val="auto"/>
        </w:rPr>
        <w:t>资产情况汇总表（一）</w:t>
      </w:r>
      <w:r>
        <w:rPr>
          <w:rFonts w:hint="eastAsia"/>
          <w:color w:val="auto"/>
        </w:rPr>
        <w:t>（</w:t>
      </w:r>
      <w:r>
        <w:rPr>
          <w:color w:val="auto"/>
        </w:rPr>
        <w:t>财资综03-1</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本表</w:t>
      </w:r>
      <w:r>
        <w:rPr>
          <w:rFonts w:hint="eastAsia" w:ascii="仿宋_GB2312" w:eastAsia="仿宋_GB2312"/>
          <w:kern w:val="0"/>
          <w:sz w:val="30"/>
          <w:szCs w:val="30"/>
        </w:rPr>
        <w:t>按照行政单位、事业单位口径汇总数据，</w:t>
      </w:r>
      <w:r>
        <w:rPr>
          <w:rFonts w:hint="eastAsia" w:ascii="仿宋_GB2312" w:hAnsi="仿宋" w:eastAsia="仿宋_GB2312"/>
          <w:sz w:val="30"/>
          <w:szCs w:val="30"/>
        </w:rPr>
        <w:t>反映流动资产、固定资产、无形资产、在建工程、长期投资、其他资产的总体情况，表中数据以财资01资产负债表、财资03固定和无形资产存量情况表、财资06车辆情况表、财资07在建工程情况表和财资11对外投资情况表为基础自动提取生成。</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表内审核公式：</w:t>
      </w:r>
    </w:p>
    <w:p>
      <w:pPr>
        <w:numPr>
          <w:ilvl w:val="0"/>
          <w:numId w:val="5"/>
        </w:num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sz w:val="30"/>
          <w:szCs w:val="30"/>
        </w:rPr>
        <w:t>房屋（7行）与房屋权属情况（67行）的期末合计数量（5栏）、行政单位期末小计数量（33栏）、事业单位期末小计数量（61栏）应相等。</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土地（6行）、无形资产土地使用权（33行）使用状况为闲置（18栏）或待处置（待报废、毁损等）（26栏）分别占固定资产总额（4行6栏）、无形资产总额（30行6栏）超过参考值5%，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房屋（7行）使用状况为闲置（18栏）或待处置（待报废、毁损等）（26栏）占固定资产总额（4行6栏）超过参考值5%，提示核实性错误，并需填写情况说明；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车辆（13行）使用状况为闲置（18栏）或待处置（待报废、毁损等）（26栏）占固定资产总额（4行6栏）超过参考值5%，提示核实性错误，并需填写情况说明；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固定资产合计使用状况为闲置（4行18栏）占固定资产总额（4行6栏）超过参考值5%，提示核实性错误，并需填写情况说明；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单价100万（含）以上设备（不含车辆）（22行）使用状况为闲置（18栏）或待处置（待报废、毁损等）（26栏）占固定资产总额（4行6栏）超过参考值5%，提示核实性错误，并需填写情况说明。</w:t>
      </w:r>
    </w:p>
    <w:p>
      <w:pPr>
        <w:pStyle w:val="2"/>
        <w:ind w:firstLine="0" w:firstLineChars="0"/>
        <w:rPr>
          <w:rFonts w:hint="eastAsia"/>
          <w:color w:val="auto"/>
        </w:rPr>
      </w:pPr>
      <w:r>
        <w:rPr>
          <w:rFonts w:hint="eastAsia"/>
          <w:color w:val="auto"/>
        </w:rPr>
        <w:t>（五）</w:t>
      </w:r>
      <w:r>
        <w:rPr>
          <w:color w:val="auto"/>
        </w:rPr>
        <w:t>资产情况汇总表（二）</w:t>
      </w:r>
      <w:r>
        <w:rPr>
          <w:rFonts w:hint="eastAsia"/>
          <w:color w:val="auto"/>
        </w:rPr>
        <w:t>（</w:t>
      </w:r>
      <w:r>
        <w:rPr>
          <w:color w:val="auto"/>
        </w:rPr>
        <w:t>财资综03-2</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反映单位已入账的交通公共基础设施资产</w:t>
      </w:r>
      <w:r>
        <w:rPr>
          <w:rFonts w:hint="eastAsia" w:ascii="仿宋_GB2312" w:hAnsi="仿宋" w:eastAsia="仿宋_GB2312"/>
          <w:sz w:val="30"/>
          <w:szCs w:val="30"/>
        </w:rPr>
        <w:t>情况，表中数据以财资12-1公共基础设施-交通基础设施情况表为基础自动提取生成。</w:t>
      </w:r>
    </w:p>
    <w:p>
      <w:pPr>
        <w:numPr>
          <w:ilvl w:val="255"/>
          <w:numId w:val="0"/>
        </w:numPr>
        <w:adjustRightInd w:val="0"/>
        <w:snapToGrid w:val="0"/>
        <w:spacing w:line="360" w:lineRule="auto"/>
        <w:ind w:firstLine="602" w:firstLineChars="200"/>
        <w:rPr>
          <w:rFonts w:hint="eastAsia" w:ascii="仿宋_GB2312" w:hAnsi="仿宋" w:eastAsia="仿宋_GB2312"/>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公路等16项资产类别（</w:t>
      </w:r>
      <w:r>
        <w:rPr>
          <w:rFonts w:ascii="仿宋_GB2312" w:hAnsi="仿宋" w:eastAsia="仿宋_GB2312"/>
          <w:sz w:val="30"/>
          <w:szCs w:val="30"/>
        </w:rPr>
        <w:t>2行、</w:t>
      </w:r>
      <w:r>
        <w:rPr>
          <w:rFonts w:hint="eastAsia" w:ascii="仿宋_GB2312" w:hAnsi="仿宋" w:eastAsia="仿宋_GB2312"/>
          <w:sz w:val="30"/>
          <w:szCs w:val="30"/>
        </w:rPr>
        <w:t>18</w:t>
      </w:r>
      <w:r>
        <w:rPr>
          <w:rFonts w:ascii="华文中宋" w:hAnsi="华文中宋" w:eastAsia="华文中宋"/>
          <w:sz w:val="30"/>
          <w:szCs w:val="30"/>
        </w:rPr>
        <w:t>~</w:t>
      </w:r>
      <w:r>
        <w:rPr>
          <w:rFonts w:ascii="仿宋_GB2312" w:hAnsi="仿宋" w:eastAsia="仿宋_GB2312"/>
          <w:sz w:val="30"/>
          <w:szCs w:val="30"/>
        </w:rPr>
        <w:t>2</w:t>
      </w:r>
      <w:r>
        <w:rPr>
          <w:rFonts w:hint="eastAsia" w:ascii="仿宋_GB2312" w:hAnsi="仿宋" w:eastAsia="仿宋_GB2312"/>
          <w:sz w:val="30"/>
          <w:szCs w:val="30"/>
        </w:rPr>
        <w:t>0</w:t>
      </w:r>
      <w:r>
        <w:rPr>
          <w:rFonts w:ascii="仿宋_GB2312" w:hAnsi="仿宋" w:eastAsia="仿宋_GB2312"/>
          <w:sz w:val="30"/>
          <w:szCs w:val="30"/>
        </w:rPr>
        <w:t>行、2</w:t>
      </w:r>
      <w:r>
        <w:rPr>
          <w:rFonts w:hint="eastAsia" w:ascii="仿宋_GB2312" w:hAnsi="仿宋" w:eastAsia="仿宋_GB2312"/>
          <w:sz w:val="30"/>
          <w:szCs w:val="30"/>
        </w:rPr>
        <w:t>2</w:t>
      </w:r>
      <w:r>
        <w:rPr>
          <w:rFonts w:ascii="仿宋_GB2312" w:hAnsi="仿宋" w:eastAsia="仿宋_GB2312"/>
          <w:sz w:val="30"/>
          <w:szCs w:val="30"/>
        </w:rPr>
        <w:t>行、3</w:t>
      </w:r>
      <w:r>
        <w:rPr>
          <w:rFonts w:hint="eastAsia" w:ascii="仿宋_GB2312" w:hAnsi="仿宋" w:eastAsia="仿宋_GB2312"/>
          <w:sz w:val="30"/>
          <w:szCs w:val="30"/>
        </w:rPr>
        <w:t>0</w:t>
      </w:r>
      <w:r>
        <w:rPr>
          <w:rFonts w:ascii="华文中宋" w:hAnsi="华文中宋" w:eastAsia="华文中宋"/>
          <w:sz w:val="30"/>
          <w:szCs w:val="30"/>
        </w:rPr>
        <w:t>~</w:t>
      </w:r>
      <w:r>
        <w:rPr>
          <w:rFonts w:ascii="仿宋_GB2312" w:hAnsi="仿宋" w:eastAsia="仿宋_GB2312"/>
          <w:sz w:val="30"/>
          <w:szCs w:val="30"/>
        </w:rPr>
        <w:t>3</w:t>
      </w:r>
      <w:r>
        <w:rPr>
          <w:rFonts w:hint="eastAsia" w:ascii="仿宋_GB2312" w:hAnsi="仿宋" w:eastAsia="仿宋_GB2312"/>
          <w:sz w:val="30"/>
          <w:szCs w:val="30"/>
        </w:rPr>
        <w:t>2</w:t>
      </w:r>
      <w:r>
        <w:rPr>
          <w:rFonts w:ascii="仿宋_GB2312" w:hAnsi="仿宋" w:eastAsia="仿宋_GB2312"/>
          <w:sz w:val="30"/>
          <w:szCs w:val="30"/>
        </w:rPr>
        <w:t>行、</w:t>
      </w:r>
      <w:r>
        <w:rPr>
          <w:rFonts w:hint="eastAsia" w:ascii="仿宋_GB2312" w:hAnsi="仿宋" w:eastAsia="仿宋_GB2312"/>
          <w:sz w:val="30"/>
          <w:szCs w:val="30"/>
        </w:rPr>
        <w:t>36行，37</w:t>
      </w:r>
      <w:r>
        <w:rPr>
          <w:rFonts w:ascii="仿宋_GB2312" w:hAnsi="仿宋" w:eastAsia="仿宋_GB2312"/>
          <w:sz w:val="30"/>
          <w:szCs w:val="30"/>
        </w:rPr>
        <w:t>行、4</w:t>
      </w:r>
      <w:r>
        <w:rPr>
          <w:rFonts w:hint="eastAsia" w:ascii="仿宋_GB2312" w:hAnsi="仿宋" w:eastAsia="仿宋_GB2312"/>
          <w:sz w:val="30"/>
          <w:szCs w:val="30"/>
        </w:rPr>
        <w:t>0</w:t>
      </w:r>
      <w:r>
        <w:rPr>
          <w:rFonts w:ascii="华文中宋" w:hAnsi="华文中宋" w:eastAsia="华文中宋"/>
          <w:sz w:val="30"/>
          <w:szCs w:val="30"/>
        </w:rPr>
        <w:t>~</w:t>
      </w:r>
      <w:r>
        <w:rPr>
          <w:rFonts w:hint="eastAsia" w:ascii="仿宋_GB2312" w:hAnsi="仿宋" w:eastAsia="仿宋_GB2312"/>
          <w:sz w:val="30"/>
          <w:szCs w:val="30"/>
        </w:rPr>
        <w:t>44</w:t>
      </w:r>
      <w:r>
        <w:rPr>
          <w:rFonts w:ascii="仿宋_GB2312" w:hAnsi="仿宋" w:eastAsia="仿宋_GB2312"/>
          <w:sz w:val="30"/>
          <w:szCs w:val="30"/>
        </w:rPr>
        <w:t>行、</w:t>
      </w:r>
      <w:r>
        <w:rPr>
          <w:rFonts w:hint="eastAsia" w:ascii="仿宋_GB2312" w:hAnsi="仿宋" w:eastAsia="仿宋_GB2312"/>
          <w:sz w:val="30"/>
          <w:szCs w:val="30"/>
        </w:rPr>
        <w:t>47</w:t>
      </w:r>
      <w:r>
        <w:rPr>
          <w:rFonts w:ascii="仿宋_GB2312" w:hAnsi="仿宋" w:eastAsia="仿宋_GB2312"/>
          <w:sz w:val="30"/>
          <w:szCs w:val="30"/>
        </w:rPr>
        <w:t>行</w:t>
      </w:r>
      <w:r>
        <w:rPr>
          <w:rFonts w:hint="eastAsia" w:ascii="仿宋_GB2312" w:hAnsi="仿宋" w:eastAsia="仿宋_GB2312"/>
          <w:sz w:val="30"/>
          <w:szCs w:val="30"/>
        </w:rPr>
        <w:t>）的合计期末负有管理维护职责数量（6栏）</w:t>
      </w:r>
      <w:r>
        <w:rPr>
          <w:rFonts w:hint="eastAsia" w:ascii="仿宋_GB2312" w:hAnsi="Calibri" w:eastAsia="仿宋_GB2312"/>
          <w:spacing w:val="6"/>
          <w:sz w:val="30"/>
          <w:szCs w:val="30"/>
        </w:rPr>
        <w:t>与合计期初负有管理维护职责数量（1栏）的</w:t>
      </w:r>
      <w:r>
        <w:rPr>
          <w:rFonts w:hint="eastAsia" w:ascii="仿宋_GB2312" w:hAnsi="宋体" w:eastAsia="仿宋_GB2312"/>
          <w:sz w:val="30"/>
          <w:szCs w:val="30"/>
        </w:rPr>
        <w:t>增减变动超过</w:t>
      </w:r>
      <w:r>
        <w:rPr>
          <w:rFonts w:ascii="仿宋_GB2312" w:hAnsi="仿宋" w:eastAsia="仿宋_GB2312"/>
          <w:sz w:val="30"/>
          <w:szCs w:val="30"/>
        </w:rPr>
        <w:t>20%</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公路等8项资产类别（</w:t>
      </w:r>
      <w:r>
        <w:rPr>
          <w:rFonts w:ascii="仿宋_GB2312" w:hAnsi="仿宋" w:eastAsia="仿宋_GB2312"/>
          <w:sz w:val="30"/>
          <w:szCs w:val="30"/>
        </w:rPr>
        <w:t>2行、17行、</w:t>
      </w:r>
      <w:r>
        <w:rPr>
          <w:rFonts w:hint="eastAsia" w:ascii="仿宋_GB2312" w:hAnsi="仿宋" w:eastAsia="仿宋_GB2312"/>
          <w:sz w:val="30"/>
          <w:szCs w:val="30"/>
        </w:rPr>
        <w:t>19</w:t>
      </w:r>
      <w:r>
        <w:rPr>
          <w:rFonts w:ascii="仿宋_GB2312" w:hAnsi="仿宋" w:eastAsia="仿宋_GB2312"/>
          <w:sz w:val="30"/>
          <w:szCs w:val="30"/>
        </w:rPr>
        <w:t>行</w:t>
      </w:r>
      <w:r>
        <w:rPr>
          <w:rFonts w:ascii="华文中宋" w:hAnsi="华文中宋" w:eastAsia="华文中宋"/>
          <w:sz w:val="30"/>
          <w:szCs w:val="30"/>
        </w:rPr>
        <w:t>~</w:t>
      </w:r>
      <w:r>
        <w:rPr>
          <w:rFonts w:ascii="仿宋_GB2312" w:hAnsi="仿宋" w:eastAsia="仿宋_GB2312"/>
          <w:sz w:val="30"/>
          <w:szCs w:val="30"/>
        </w:rPr>
        <w:t>2</w:t>
      </w:r>
      <w:r>
        <w:rPr>
          <w:rFonts w:hint="eastAsia" w:ascii="仿宋_GB2312" w:hAnsi="仿宋" w:eastAsia="仿宋_GB2312"/>
          <w:sz w:val="30"/>
          <w:szCs w:val="30"/>
        </w:rPr>
        <w:t>1</w:t>
      </w:r>
      <w:r>
        <w:rPr>
          <w:rFonts w:ascii="仿宋_GB2312" w:hAnsi="仿宋" w:eastAsia="仿宋_GB2312"/>
          <w:sz w:val="30"/>
          <w:szCs w:val="30"/>
        </w:rPr>
        <w:t>行、</w:t>
      </w:r>
      <w:r>
        <w:rPr>
          <w:rFonts w:hint="eastAsia" w:ascii="仿宋_GB2312" w:hAnsi="仿宋" w:eastAsia="仿宋_GB2312"/>
          <w:sz w:val="30"/>
          <w:szCs w:val="30"/>
        </w:rPr>
        <w:t>35</w:t>
      </w:r>
      <w:r>
        <w:rPr>
          <w:rFonts w:ascii="仿宋_GB2312" w:hAnsi="仿宋" w:eastAsia="仿宋_GB2312"/>
          <w:sz w:val="30"/>
          <w:szCs w:val="30"/>
        </w:rPr>
        <w:t>行、</w:t>
      </w:r>
      <w:r>
        <w:rPr>
          <w:rFonts w:hint="eastAsia" w:ascii="仿宋_GB2312" w:hAnsi="仿宋" w:eastAsia="仿宋_GB2312"/>
          <w:sz w:val="30"/>
          <w:szCs w:val="30"/>
        </w:rPr>
        <w:t>39</w:t>
      </w:r>
      <w:r>
        <w:rPr>
          <w:rFonts w:ascii="仿宋_GB2312" w:hAnsi="仿宋" w:eastAsia="仿宋_GB2312"/>
          <w:sz w:val="30"/>
          <w:szCs w:val="30"/>
        </w:rPr>
        <w:t>行、</w:t>
      </w:r>
      <w:r>
        <w:rPr>
          <w:rFonts w:hint="eastAsia" w:ascii="仿宋_GB2312" w:hAnsi="仿宋" w:eastAsia="仿宋_GB2312"/>
          <w:sz w:val="30"/>
          <w:szCs w:val="30"/>
        </w:rPr>
        <w:t>46</w:t>
      </w:r>
      <w:r>
        <w:rPr>
          <w:rFonts w:ascii="仿宋_GB2312" w:hAnsi="仿宋" w:eastAsia="仿宋_GB2312"/>
          <w:sz w:val="30"/>
          <w:szCs w:val="30"/>
        </w:rPr>
        <w:t>行</w:t>
      </w:r>
      <w:r>
        <w:rPr>
          <w:rFonts w:hint="eastAsia" w:ascii="仿宋_GB2312" w:hAnsi="仿宋" w:eastAsia="仿宋_GB2312"/>
          <w:sz w:val="30"/>
          <w:szCs w:val="30"/>
        </w:rPr>
        <w:t>）的合计期末账面原值数（8栏）与合计期初账面原值数（3栏）的</w:t>
      </w:r>
      <w:r>
        <w:rPr>
          <w:rFonts w:hint="eastAsia" w:ascii="仿宋_GB2312" w:hAnsi="宋体" w:eastAsia="仿宋_GB2312"/>
          <w:sz w:val="30"/>
          <w:szCs w:val="30"/>
        </w:rPr>
        <w:t>增减变动超过</w:t>
      </w:r>
      <w:r>
        <w:rPr>
          <w:rFonts w:ascii="仿宋_GB2312" w:hAnsi="仿宋" w:eastAsia="仿宋_GB2312"/>
          <w:sz w:val="30"/>
          <w:szCs w:val="30"/>
        </w:rPr>
        <w:t>20%</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公路等16项资产类别（</w:t>
      </w:r>
      <w:r>
        <w:rPr>
          <w:rFonts w:ascii="仿宋_GB2312" w:hAnsi="仿宋" w:eastAsia="仿宋_GB2312"/>
          <w:sz w:val="30"/>
          <w:szCs w:val="30"/>
        </w:rPr>
        <w:t>2行、</w:t>
      </w:r>
      <w:r>
        <w:rPr>
          <w:rFonts w:hint="eastAsia" w:ascii="仿宋_GB2312" w:hAnsi="仿宋" w:eastAsia="仿宋_GB2312"/>
          <w:sz w:val="30"/>
          <w:szCs w:val="30"/>
        </w:rPr>
        <w:t>18</w:t>
      </w:r>
      <w:r>
        <w:rPr>
          <w:rFonts w:ascii="华文中宋" w:hAnsi="华文中宋" w:eastAsia="华文中宋"/>
          <w:sz w:val="30"/>
          <w:szCs w:val="30"/>
        </w:rPr>
        <w:t>~</w:t>
      </w:r>
      <w:r>
        <w:rPr>
          <w:rFonts w:ascii="仿宋_GB2312" w:hAnsi="仿宋" w:eastAsia="仿宋_GB2312"/>
          <w:sz w:val="30"/>
          <w:szCs w:val="30"/>
        </w:rPr>
        <w:t>2</w:t>
      </w:r>
      <w:r>
        <w:rPr>
          <w:rFonts w:hint="eastAsia" w:ascii="仿宋_GB2312" w:hAnsi="仿宋" w:eastAsia="仿宋_GB2312"/>
          <w:sz w:val="30"/>
          <w:szCs w:val="30"/>
        </w:rPr>
        <w:t>0</w:t>
      </w:r>
      <w:r>
        <w:rPr>
          <w:rFonts w:ascii="仿宋_GB2312" w:hAnsi="仿宋" w:eastAsia="仿宋_GB2312"/>
          <w:sz w:val="30"/>
          <w:szCs w:val="30"/>
        </w:rPr>
        <w:t>行、2</w:t>
      </w:r>
      <w:r>
        <w:rPr>
          <w:rFonts w:hint="eastAsia" w:ascii="仿宋_GB2312" w:hAnsi="仿宋" w:eastAsia="仿宋_GB2312"/>
          <w:sz w:val="30"/>
          <w:szCs w:val="30"/>
        </w:rPr>
        <w:t>2</w:t>
      </w:r>
      <w:r>
        <w:rPr>
          <w:rFonts w:ascii="仿宋_GB2312" w:hAnsi="仿宋" w:eastAsia="仿宋_GB2312"/>
          <w:sz w:val="30"/>
          <w:szCs w:val="30"/>
        </w:rPr>
        <w:t>行、3</w:t>
      </w:r>
      <w:r>
        <w:rPr>
          <w:rFonts w:hint="eastAsia" w:ascii="仿宋_GB2312" w:hAnsi="仿宋" w:eastAsia="仿宋_GB2312"/>
          <w:sz w:val="30"/>
          <w:szCs w:val="30"/>
        </w:rPr>
        <w:t>0</w:t>
      </w:r>
      <w:r>
        <w:rPr>
          <w:rFonts w:ascii="华文中宋" w:hAnsi="华文中宋" w:eastAsia="华文中宋"/>
          <w:sz w:val="30"/>
          <w:szCs w:val="30"/>
        </w:rPr>
        <w:t>~</w:t>
      </w:r>
      <w:r>
        <w:rPr>
          <w:rFonts w:ascii="仿宋_GB2312" w:hAnsi="仿宋" w:eastAsia="仿宋_GB2312"/>
          <w:sz w:val="30"/>
          <w:szCs w:val="30"/>
        </w:rPr>
        <w:t>3</w:t>
      </w:r>
      <w:r>
        <w:rPr>
          <w:rFonts w:hint="eastAsia" w:ascii="仿宋_GB2312" w:hAnsi="仿宋" w:eastAsia="仿宋_GB2312"/>
          <w:sz w:val="30"/>
          <w:szCs w:val="30"/>
        </w:rPr>
        <w:t>2</w:t>
      </w:r>
      <w:r>
        <w:rPr>
          <w:rFonts w:ascii="仿宋_GB2312" w:hAnsi="仿宋" w:eastAsia="仿宋_GB2312"/>
          <w:sz w:val="30"/>
          <w:szCs w:val="30"/>
        </w:rPr>
        <w:t>行、</w:t>
      </w:r>
      <w:r>
        <w:rPr>
          <w:rFonts w:hint="eastAsia" w:ascii="仿宋_GB2312" w:hAnsi="仿宋" w:eastAsia="仿宋_GB2312"/>
          <w:sz w:val="30"/>
          <w:szCs w:val="30"/>
        </w:rPr>
        <w:t>36行，37</w:t>
      </w:r>
      <w:r>
        <w:rPr>
          <w:rFonts w:ascii="仿宋_GB2312" w:hAnsi="仿宋" w:eastAsia="仿宋_GB2312"/>
          <w:sz w:val="30"/>
          <w:szCs w:val="30"/>
        </w:rPr>
        <w:t>行、4</w:t>
      </w:r>
      <w:r>
        <w:rPr>
          <w:rFonts w:hint="eastAsia" w:ascii="仿宋_GB2312" w:hAnsi="仿宋" w:eastAsia="仿宋_GB2312"/>
          <w:sz w:val="30"/>
          <w:szCs w:val="30"/>
        </w:rPr>
        <w:t>0</w:t>
      </w:r>
      <w:r>
        <w:rPr>
          <w:rFonts w:ascii="华文中宋" w:hAnsi="华文中宋" w:eastAsia="华文中宋"/>
          <w:sz w:val="30"/>
          <w:szCs w:val="30"/>
        </w:rPr>
        <w:t>~</w:t>
      </w:r>
      <w:r>
        <w:rPr>
          <w:rFonts w:hint="eastAsia" w:ascii="仿宋_GB2312" w:hAnsi="仿宋" w:eastAsia="仿宋_GB2312"/>
          <w:sz w:val="30"/>
          <w:szCs w:val="30"/>
        </w:rPr>
        <w:t>44</w:t>
      </w:r>
      <w:r>
        <w:rPr>
          <w:rFonts w:ascii="仿宋_GB2312" w:hAnsi="仿宋" w:eastAsia="仿宋_GB2312"/>
          <w:sz w:val="30"/>
          <w:szCs w:val="30"/>
        </w:rPr>
        <w:t>行、</w:t>
      </w:r>
      <w:r>
        <w:rPr>
          <w:rFonts w:hint="eastAsia" w:ascii="仿宋_GB2312" w:hAnsi="仿宋" w:eastAsia="仿宋_GB2312"/>
          <w:sz w:val="30"/>
          <w:szCs w:val="30"/>
        </w:rPr>
        <w:t>47</w:t>
      </w:r>
      <w:r>
        <w:rPr>
          <w:rFonts w:ascii="仿宋_GB2312" w:hAnsi="仿宋" w:eastAsia="仿宋_GB2312"/>
          <w:sz w:val="30"/>
          <w:szCs w:val="30"/>
        </w:rPr>
        <w:t>行</w:t>
      </w:r>
      <w:r>
        <w:rPr>
          <w:rFonts w:hint="eastAsia" w:ascii="仿宋_GB2312" w:hAnsi="仿宋" w:eastAsia="仿宋_GB2312"/>
          <w:sz w:val="30"/>
          <w:szCs w:val="30"/>
        </w:rPr>
        <w:t>）的合计期末账面数量（7栏）与合计期初账面数量（2栏）的</w:t>
      </w:r>
      <w:r>
        <w:rPr>
          <w:rFonts w:hint="eastAsia" w:ascii="仿宋_GB2312" w:hAnsi="宋体" w:eastAsia="仿宋_GB2312"/>
          <w:sz w:val="30"/>
          <w:szCs w:val="30"/>
        </w:rPr>
        <w:t>增减变动超过</w:t>
      </w:r>
      <w:r>
        <w:rPr>
          <w:rFonts w:ascii="仿宋_GB2312" w:hAnsi="仿宋" w:eastAsia="仿宋_GB2312"/>
          <w:sz w:val="30"/>
          <w:szCs w:val="30"/>
        </w:rPr>
        <w:t>20%</w:t>
      </w:r>
      <w:r>
        <w:rPr>
          <w:rFonts w:hint="eastAsia" w:ascii="仿宋_GB2312" w:hAnsi="仿宋" w:eastAsia="仿宋_GB2312"/>
          <w:sz w:val="30"/>
          <w:szCs w:val="30"/>
        </w:rPr>
        <w:t>，提示核实性错误，并需填写情况说明。</w:t>
      </w:r>
    </w:p>
    <w:p>
      <w:pPr>
        <w:pStyle w:val="2"/>
        <w:ind w:firstLine="0" w:firstLineChars="0"/>
        <w:rPr>
          <w:rFonts w:hint="eastAsia"/>
          <w:color w:val="auto"/>
        </w:rPr>
      </w:pPr>
      <w:r>
        <w:rPr>
          <w:rFonts w:hint="eastAsia"/>
          <w:color w:val="auto"/>
        </w:rPr>
        <w:t>（六）</w:t>
      </w:r>
      <w:r>
        <w:rPr>
          <w:color w:val="auto"/>
        </w:rPr>
        <w:t>资产情况汇总表（</w:t>
      </w:r>
      <w:r>
        <w:rPr>
          <w:rFonts w:hint="eastAsia"/>
          <w:color w:val="auto"/>
        </w:rPr>
        <w:t>三</w:t>
      </w:r>
      <w:r>
        <w:rPr>
          <w:color w:val="auto"/>
        </w:rPr>
        <w:t>）</w:t>
      </w:r>
      <w:r>
        <w:rPr>
          <w:rFonts w:hint="eastAsia"/>
          <w:color w:val="auto"/>
        </w:rPr>
        <w:t>（</w:t>
      </w:r>
      <w:r>
        <w:rPr>
          <w:color w:val="auto"/>
        </w:rPr>
        <w:t>财资综03-</w:t>
      </w:r>
      <w:r>
        <w:rPr>
          <w:rFonts w:hint="eastAsia"/>
          <w:color w:val="auto"/>
        </w:rPr>
        <w:t>3表）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反映单位已入账的</w:t>
      </w:r>
      <w:r>
        <w:rPr>
          <w:rFonts w:hint="eastAsia" w:ascii="仿宋_GB2312" w:hAnsi="仿宋" w:eastAsia="仿宋_GB2312"/>
          <w:sz w:val="30"/>
          <w:szCs w:val="30"/>
        </w:rPr>
        <w:t>水利</w:t>
      </w:r>
      <w:r>
        <w:rPr>
          <w:rFonts w:ascii="仿宋_GB2312" w:hAnsi="仿宋" w:eastAsia="仿宋_GB2312"/>
          <w:sz w:val="30"/>
          <w:szCs w:val="30"/>
        </w:rPr>
        <w:t>公共基础设施资产</w:t>
      </w:r>
      <w:r>
        <w:rPr>
          <w:rFonts w:hint="eastAsia" w:ascii="仿宋_GB2312" w:hAnsi="仿宋" w:eastAsia="仿宋_GB2312"/>
          <w:sz w:val="30"/>
          <w:szCs w:val="30"/>
        </w:rPr>
        <w:t>情况，表中数据以财资12-2公共基础设施-水利基础设施情况表为基础自动提取生成。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堤防等25项资产类别（</w:t>
      </w:r>
      <w:r>
        <w:rPr>
          <w:rFonts w:ascii="仿宋_GB2312" w:hAnsi="仿宋" w:eastAsia="仿宋_GB2312"/>
          <w:sz w:val="30"/>
          <w:szCs w:val="30"/>
        </w:rPr>
        <w:t>3</w:t>
      </w:r>
      <w:r>
        <w:rPr>
          <w:rFonts w:ascii="华文中宋" w:hAnsi="华文中宋" w:eastAsia="华文中宋"/>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ascii="华文中宋" w:hAnsi="华文中宋" w:eastAsia="华文中宋"/>
          <w:sz w:val="30"/>
          <w:szCs w:val="30"/>
        </w:rPr>
        <w:t>~</w:t>
      </w:r>
      <w:r>
        <w:rPr>
          <w:rFonts w:ascii="仿宋_GB2312" w:hAnsi="仿宋" w:eastAsia="仿宋_GB2312"/>
          <w:sz w:val="30"/>
          <w:szCs w:val="30"/>
        </w:rPr>
        <w:t>17</w:t>
      </w:r>
      <w:r>
        <w:rPr>
          <w:rFonts w:hint="eastAsia" w:ascii="仿宋_GB2312" w:hAnsi="仿宋" w:eastAsia="仿宋_GB2312"/>
          <w:sz w:val="30"/>
          <w:szCs w:val="30"/>
        </w:rPr>
        <w:t>、</w:t>
      </w:r>
      <w:r>
        <w:rPr>
          <w:rFonts w:ascii="仿宋_GB2312" w:hAnsi="仿宋" w:eastAsia="仿宋_GB2312"/>
          <w:sz w:val="30"/>
          <w:szCs w:val="30"/>
        </w:rPr>
        <w:t>19</w:t>
      </w:r>
      <w:r>
        <w:rPr>
          <w:rFonts w:ascii="华文中宋" w:hAnsi="华文中宋" w:eastAsia="华文中宋"/>
          <w:sz w:val="30"/>
          <w:szCs w:val="30"/>
        </w:rPr>
        <w:t>~</w:t>
      </w:r>
      <w:r>
        <w:rPr>
          <w:rFonts w:hint="eastAsia" w:ascii="仿宋_GB2312" w:hAnsi="仿宋" w:eastAsia="仿宋_GB2312"/>
          <w:sz w:val="30"/>
          <w:szCs w:val="30"/>
        </w:rPr>
        <w:t>26、29、30、33行）的合计期末负有管理维护职责数量（6栏）</w:t>
      </w:r>
      <w:r>
        <w:rPr>
          <w:rFonts w:hint="eastAsia" w:ascii="仿宋_GB2312" w:hAnsi="Calibri" w:eastAsia="仿宋_GB2312"/>
          <w:spacing w:val="6"/>
          <w:sz w:val="30"/>
          <w:szCs w:val="30"/>
        </w:rPr>
        <w:t>与合计期初负有管理维护职责数量（1栏）的</w:t>
      </w:r>
      <w:r>
        <w:rPr>
          <w:rFonts w:hint="eastAsia" w:ascii="仿宋_GB2312" w:hAnsi="宋体" w:eastAsia="仿宋_GB2312"/>
          <w:sz w:val="30"/>
          <w:szCs w:val="30"/>
        </w:rPr>
        <w:t>增减变动超过</w:t>
      </w:r>
      <w:r>
        <w:rPr>
          <w:rFonts w:ascii="仿宋_GB2312" w:hAnsi="仿宋" w:eastAsia="仿宋_GB2312"/>
          <w:sz w:val="30"/>
          <w:szCs w:val="30"/>
        </w:rPr>
        <w:t>20%</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堤防等25项资产类别（</w:t>
      </w:r>
      <w:r>
        <w:rPr>
          <w:rFonts w:ascii="仿宋_GB2312" w:hAnsi="仿宋" w:eastAsia="仿宋_GB2312"/>
          <w:sz w:val="30"/>
          <w:szCs w:val="30"/>
        </w:rPr>
        <w:t>3</w:t>
      </w:r>
      <w:r>
        <w:rPr>
          <w:rFonts w:ascii="华文中宋" w:hAnsi="华文中宋" w:eastAsia="华文中宋"/>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ascii="华文中宋" w:hAnsi="华文中宋" w:eastAsia="华文中宋"/>
          <w:sz w:val="30"/>
          <w:szCs w:val="30"/>
        </w:rPr>
        <w:t>~</w:t>
      </w:r>
      <w:r>
        <w:rPr>
          <w:rFonts w:ascii="仿宋_GB2312" w:hAnsi="仿宋" w:eastAsia="仿宋_GB2312"/>
          <w:sz w:val="30"/>
          <w:szCs w:val="30"/>
        </w:rPr>
        <w:t>17</w:t>
      </w:r>
      <w:r>
        <w:rPr>
          <w:rFonts w:hint="eastAsia" w:ascii="仿宋_GB2312" w:hAnsi="仿宋" w:eastAsia="仿宋_GB2312"/>
          <w:sz w:val="30"/>
          <w:szCs w:val="30"/>
        </w:rPr>
        <w:t>、</w:t>
      </w:r>
      <w:r>
        <w:rPr>
          <w:rFonts w:ascii="仿宋_GB2312" w:hAnsi="仿宋" w:eastAsia="仿宋_GB2312"/>
          <w:sz w:val="30"/>
          <w:szCs w:val="30"/>
        </w:rPr>
        <w:t>19</w:t>
      </w:r>
      <w:r>
        <w:rPr>
          <w:rFonts w:ascii="华文中宋" w:hAnsi="华文中宋" w:eastAsia="华文中宋"/>
          <w:sz w:val="30"/>
          <w:szCs w:val="30"/>
        </w:rPr>
        <w:t>~</w:t>
      </w:r>
      <w:r>
        <w:rPr>
          <w:rFonts w:hint="eastAsia" w:ascii="仿宋_GB2312" w:hAnsi="仿宋" w:eastAsia="仿宋_GB2312"/>
          <w:sz w:val="30"/>
          <w:szCs w:val="30"/>
        </w:rPr>
        <w:t>26、29、30、33行）的合计期末账面数量（7栏）</w:t>
      </w:r>
      <w:r>
        <w:rPr>
          <w:rFonts w:hint="eastAsia" w:ascii="仿宋_GB2312" w:hAnsi="Calibri" w:eastAsia="仿宋_GB2312"/>
          <w:spacing w:val="6"/>
          <w:sz w:val="30"/>
          <w:szCs w:val="30"/>
        </w:rPr>
        <w:t>与合计期初账面数量（2栏）的</w:t>
      </w:r>
      <w:r>
        <w:rPr>
          <w:rFonts w:hint="eastAsia" w:ascii="仿宋_GB2312" w:hAnsi="宋体" w:eastAsia="仿宋_GB2312"/>
          <w:sz w:val="30"/>
          <w:szCs w:val="30"/>
        </w:rPr>
        <w:t>增减变动超过</w:t>
      </w:r>
      <w:r>
        <w:rPr>
          <w:rFonts w:ascii="仿宋_GB2312" w:hAnsi="仿宋" w:eastAsia="仿宋_GB2312"/>
          <w:sz w:val="30"/>
          <w:szCs w:val="30"/>
        </w:rPr>
        <w:t>20%</w:t>
      </w:r>
      <w:r>
        <w:rPr>
          <w:rFonts w:hint="eastAsia" w:ascii="仿宋_GB2312" w:hAnsi="仿宋" w:eastAsia="仿宋_GB2312"/>
          <w:sz w:val="30"/>
          <w:szCs w:val="30"/>
        </w:rPr>
        <w:t>，提示核实性错误，并需填写情况说明；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堤防等25项资产类别（2、9、18、26、29、30、33行）的合计期末账面原值数（8栏）</w:t>
      </w:r>
      <w:r>
        <w:rPr>
          <w:rFonts w:hint="eastAsia" w:ascii="仿宋_GB2312" w:hAnsi="Calibri" w:eastAsia="仿宋_GB2312"/>
          <w:spacing w:val="6"/>
          <w:sz w:val="30"/>
          <w:szCs w:val="30"/>
        </w:rPr>
        <w:t>与合计期初账面原值数（3栏）的</w:t>
      </w:r>
      <w:r>
        <w:rPr>
          <w:rFonts w:hint="eastAsia" w:ascii="仿宋_GB2312" w:hAnsi="宋体" w:eastAsia="仿宋_GB2312"/>
          <w:sz w:val="30"/>
          <w:szCs w:val="30"/>
        </w:rPr>
        <w:t>增减变动超过</w:t>
      </w:r>
      <w:r>
        <w:rPr>
          <w:rFonts w:ascii="仿宋_GB2312" w:hAnsi="仿宋" w:eastAsia="仿宋_GB2312"/>
          <w:sz w:val="30"/>
          <w:szCs w:val="30"/>
        </w:rPr>
        <w:t>20%</w:t>
      </w:r>
      <w:r>
        <w:rPr>
          <w:rFonts w:hint="eastAsia" w:ascii="仿宋_GB2312" w:hAnsi="仿宋" w:eastAsia="仿宋_GB2312"/>
          <w:sz w:val="30"/>
          <w:szCs w:val="30"/>
        </w:rPr>
        <w:t>，提示核实性错误，并需填写情况说明。</w:t>
      </w:r>
    </w:p>
    <w:p>
      <w:pPr>
        <w:pStyle w:val="2"/>
        <w:ind w:firstLine="0" w:firstLineChars="0"/>
        <w:rPr>
          <w:rFonts w:hint="eastAsia"/>
          <w:color w:val="auto"/>
        </w:rPr>
      </w:pPr>
      <w:r>
        <w:rPr>
          <w:rFonts w:hint="eastAsia"/>
          <w:color w:val="auto"/>
        </w:rPr>
        <w:t>（七）</w:t>
      </w:r>
      <w:r>
        <w:rPr>
          <w:color w:val="auto"/>
        </w:rPr>
        <w:t>资产情况汇总表（</w:t>
      </w:r>
      <w:r>
        <w:rPr>
          <w:rFonts w:hint="eastAsia"/>
          <w:color w:val="auto"/>
        </w:rPr>
        <w:t>四</w:t>
      </w:r>
      <w:r>
        <w:rPr>
          <w:color w:val="auto"/>
        </w:rPr>
        <w:t>）</w:t>
      </w:r>
      <w:r>
        <w:rPr>
          <w:rFonts w:hint="eastAsia"/>
          <w:color w:val="auto"/>
        </w:rPr>
        <w:t>（</w:t>
      </w:r>
      <w:r>
        <w:rPr>
          <w:color w:val="auto"/>
        </w:rPr>
        <w:t>财资综03-</w:t>
      </w:r>
      <w:r>
        <w:rPr>
          <w:rFonts w:hint="eastAsia"/>
          <w:color w:val="auto"/>
        </w:rPr>
        <w:t>4表）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反映单位负有管理维护职责的市政基础设施资产</w:t>
      </w:r>
      <w:r>
        <w:rPr>
          <w:rFonts w:hint="eastAsia" w:ascii="仿宋_GB2312" w:hAnsi="仿宋" w:eastAsia="仿宋_GB2312"/>
          <w:sz w:val="30"/>
          <w:szCs w:val="30"/>
        </w:rPr>
        <w:t>、其他基础设施</w:t>
      </w:r>
      <w:r>
        <w:rPr>
          <w:rFonts w:ascii="仿宋_GB2312" w:hAnsi="仿宋" w:eastAsia="仿宋_GB2312"/>
          <w:sz w:val="30"/>
          <w:szCs w:val="30"/>
        </w:rPr>
        <w:t>和已按政府会计准则制度规定登记入账的资产</w:t>
      </w:r>
      <w:r>
        <w:rPr>
          <w:rFonts w:hint="eastAsia" w:ascii="仿宋_GB2312" w:hAnsi="仿宋" w:eastAsia="仿宋_GB2312"/>
          <w:sz w:val="30"/>
          <w:szCs w:val="30"/>
        </w:rPr>
        <w:t>情况，表中数据以财资12-3公共基础设施-市政基础设施情况表和财资12-4公共基础设施-其他基础设施情况表为基础自动提取生成。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pStyle w:val="7"/>
        <w:numPr>
          <w:ilvl w:val="0"/>
          <w:numId w:val="5"/>
        </w:numPr>
        <w:spacing w:line="360" w:lineRule="auto"/>
        <w:ind w:firstLine="600"/>
        <w:rPr>
          <w:rFonts w:hint="eastAsia" w:hAnsi="仿宋"/>
          <w:spacing w:val="0"/>
          <w:sz w:val="30"/>
          <w:szCs w:val="30"/>
        </w:rPr>
      </w:pPr>
      <w:r>
        <w:rPr>
          <w:rFonts w:hint="eastAsia" w:hAnsi="仿宋"/>
          <w:spacing w:val="0"/>
          <w:sz w:val="30"/>
          <w:szCs w:val="30"/>
        </w:rPr>
        <w:t>道路等35项资产类别（5</w:t>
      </w:r>
      <w:r>
        <w:rPr>
          <w:rFonts w:hint="eastAsia" w:ascii="华文中宋" w:hAnsi="华文中宋" w:eastAsia="华文中宋"/>
          <w:spacing w:val="0"/>
          <w:sz w:val="30"/>
          <w:szCs w:val="30"/>
        </w:rPr>
        <w:t>~</w:t>
      </w:r>
      <w:r>
        <w:rPr>
          <w:rFonts w:hint="eastAsia" w:hAnsi="仿宋"/>
          <w:spacing w:val="0"/>
          <w:sz w:val="30"/>
          <w:szCs w:val="30"/>
        </w:rPr>
        <w:t>7、9</w:t>
      </w:r>
      <w:r>
        <w:rPr>
          <w:rFonts w:hint="eastAsia" w:ascii="华文中宋" w:hAnsi="华文中宋" w:eastAsia="华文中宋"/>
          <w:spacing w:val="0"/>
          <w:sz w:val="30"/>
          <w:szCs w:val="30"/>
        </w:rPr>
        <w:t>~</w:t>
      </w:r>
      <w:r>
        <w:rPr>
          <w:rFonts w:hint="eastAsia" w:hAnsi="仿宋"/>
          <w:spacing w:val="0"/>
          <w:sz w:val="30"/>
          <w:szCs w:val="30"/>
        </w:rPr>
        <w:t>11、13、15</w:t>
      </w:r>
      <w:r>
        <w:rPr>
          <w:rFonts w:hint="eastAsia" w:ascii="华文中宋" w:hAnsi="华文中宋" w:eastAsia="华文中宋"/>
          <w:spacing w:val="0"/>
          <w:sz w:val="30"/>
          <w:szCs w:val="30"/>
        </w:rPr>
        <w:t>~</w:t>
      </w:r>
      <w:r>
        <w:rPr>
          <w:rFonts w:hint="eastAsia" w:hAnsi="仿宋"/>
          <w:spacing w:val="0"/>
          <w:sz w:val="30"/>
          <w:szCs w:val="30"/>
        </w:rPr>
        <w:t>16、18</w:t>
      </w:r>
      <w:r>
        <w:rPr>
          <w:rFonts w:hint="eastAsia" w:ascii="华文中宋" w:hAnsi="华文中宋" w:eastAsia="华文中宋"/>
          <w:spacing w:val="0"/>
          <w:sz w:val="30"/>
          <w:szCs w:val="30"/>
        </w:rPr>
        <w:t>~</w:t>
      </w:r>
      <w:r>
        <w:rPr>
          <w:rFonts w:hint="eastAsia" w:hAnsi="仿宋"/>
          <w:spacing w:val="0"/>
          <w:sz w:val="30"/>
          <w:szCs w:val="30"/>
        </w:rPr>
        <w:t>19、21</w:t>
      </w:r>
      <w:r>
        <w:rPr>
          <w:rFonts w:hint="eastAsia" w:ascii="华文中宋" w:hAnsi="华文中宋" w:eastAsia="华文中宋"/>
          <w:spacing w:val="0"/>
          <w:sz w:val="30"/>
          <w:szCs w:val="30"/>
        </w:rPr>
        <w:t>~</w:t>
      </w:r>
      <w:r>
        <w:rPr>
          <w:rFonts w:hint="eastAsia" w:hAnsi="仿宋"/>
          <w:spacing w:val="0"/>
          <w:sz w:val="30"/>
          <w:szCs w:val="30"/>
        </w:rPr>
        <w:t>23、27</w:t>
      </w:r>
      <w:r>
        <w:rPr>
          <w:rFonts w:hint="eastAsia" w:ascii="华文中宋" w:hAnsi="华文中宋" w:eastAsia="华文中宋"/>
          <w:spacing w:val="0"/>
          <w:sz w:val="30"/>
          <w:szCs w:val="30"/>
        </w:rPr>
        <w:t>~</w:t>
      </w:r>
      <w:r>
        <w:rPr>
          <w:rFonts w:hint="eastAsia" w:hAnsi="仿宋"/>
          <w:spacing w:val="0"/>
          <w:sz w:val="30"/>
          <w:szCs w:val="30"/>
        </w:rPr>
        <w:t>29、31</w:t>
      </w:r>
      <w:r>
        <w:rPr>
          <w:rFonts w:hint="eastAsia" w:ascii="华文中宋" w:hAnsi="华文中宋" w:eastAsia="华文中宋"/>
          <w:spacing w:val="0"/>
          <w:sz w:val="30"/>
          <w:szCs w:val="30"/>
        </w:rPr>
        <w:t>~</w:t>
      </w:r>
      <w:r>
        <w:rPr>
          <w:rFonts w:hint="eastAsia" w:hAnsi="仿宋"/>
          <w:spacing w:val="0"/>
          <w:sz w:val="30"/>
          <w:szCs w:val="30"/>
        </w:rPr>
        <w:t>34、37、39、41</w:t>
      </w:r>
      <w:r>
        <w:rPr>
          <w:rFonts w:hint="eastAsia" w:ascii="华文中宋" w:hAnsi="华文中宋" w:eastAsia="华文中宋"/>
          <w:spacing w:val="0"/>
          <w:sz w:val="30"/>
          <w:szCs w:val="30"/>
        </w:rPr>
        <w:t>~</w:t>
      </w:r>
      <w:r>
        <w:rPr>
          <w:rFonts w:hint="eastAsia" w:hAnsi="仿宋"/>
          <w:spacing w:val="0"/>
          <w:sz w:val="30"/>
          <w:szCs w:val="30"/>
        </w:rPr>
        <w:t>42、45</w:t>
      </w:r>
      <w:r>
        <w:rPr>
          <w:rFonts w:hint="eastAsia" w:ascii="华文中宋" w:hAnsi="华文中宋" w:eastAsia="华文中宋"/>
          <w:spacing w:val="0"/>
          <w:sz w:val="30"/>
          <w:szCs w:val="30"/>
        </w:rPr>
        <w:t>~</w:t>
      </w:r>
      <w:r>
        <w:rPr>
          <w:rFonts w:hint="eastAsia" w:hAnsi="仿宋"/>
          <w:spacing w:val="0"/>
          <w:sz w:val="30"/>
          <w:szCs w:val="30"/>
        </w:rPr>
        <w:t>46、48</w:t>
      </w:r>
      <w:r>
        <w:rPr>
          <w:rFonts w:hint="eastAsia" w:ascii="华文中宋" w:hAnsi="华文中宋" w:eastAsia="华文中宋"/>
          <w:spacing w:val="0"/>
          <w:sz w:val="30"/>
          <w:szCs w:val="30"/>
        </w:rPr>
        <w:t>~</w:t>
      </w:r>
      <w:r>
        <w:rPr>
          <w:rFonts w:hint="eastAsia" w:hAnsi="仿宋"/>
          <w:spacing w:val="0"/>
          <w:sz w:val="30"/>
          <w:szCs w:val="30"/>
        </w:rPr>
        <w:t>49、51</w:t>
      </w:r>
      <w:r>
        <w:rPr>
          <w:rFonts w:hint="eastAsia" w:ascii="华文中宋" w:hAnsi="华文中宋" w:eastAsia="华文中宋"/>
          <w:spacing w:val="0"/>
          <w:sz w:val="30"/>
          <w:szCs w:val="30"/>
        </w:rPr>
        <w:t>~</w:t>
      </w:r>
      <w:r>
        <w:rPr>
          <w:rFonts w:hint="eastAsia" w:hAnsi="仿宋"/>
          <w:spacing w:val="0"/>
          <w:sz w:val="30"/>
          <w:szCs w:val="30"/>
        </w:rPr>
        <w:t>52、54</w:t>
      </w:r>
      <w:r>
        <w:rPr>
          <w:rFonts w:hint="eastAsia" w:ascii="华文中宋" w:hAnsi="华文中宋" w:eastAsia="华文中宋"/>
          <w:spacing w:val="0"/>
          <w:sz w:val="30"/>
          <w:szCs w:val="30"/>
        </w:rPr>
        <w:t>~</w:t>
      </w:r>
      <w:r>
        <w:rPr>
          <w:rFonts w:hint="eastAsia" w:hAnsi="仿宋"/>
          <w:spacing w:val="0"/>
          <w:sz w:val="30"/>
          <w:szCs w:val="30"/>
        </w:rPr>
        <w:t>55、59、62、66行）的合计期末账面数量（7栏）与合计期初账面数量（2栏）的</w:t>
      </w:r>
      <w:r>
        <w:rPr>
          <w:rFonts w:hint="eastAsia"/>
          <w:sz w:val="30"/>
          <w:szCs w:val="30"/>
        </w:rPr>
        <w:t>增减变动超过</w:t>
      </w:r>
      <w:r>
        <w:rPr>
          <w:rFonts w:hint="eastAsia" w:hAnsi="仿宋"/>
          <w:spacing w:val="0"/>
          <w:sz w:val="30"/>
          <w:szCs w:val="30"/>
        </w:rPr>
        <w:t>30%，提示核实性错误，并需填写情况说明；</w:t>
      </w:r>
    </w:p>
    <w:p>
      <w:pPr>
        <w:numPr>
          <w:ilvl w:val="0"/>
          <w:numId w:val="6"/>
        </w:numPr>
        <w:adjustRightInd w:val="0"/>
        <w:snapToGrid w:val="0"/>
        <w:spacing w:line="360" w:lineRule="auto"/>
        <w:ind w:left="0" w:firstLine="600" w:firstLineChars="200"/>
        <w:jc w:val="left"/>
        <w:rPr>
          <w:rFonts w:hint="eastAsia" w:ascii="仿宋_GB2312" w:hAnsi="仿宋" w:eastAsia="仿宋_GB2312"/>
          <w:sz w:val="30"/>
          <w:szCs w:val="30"/>
        </w:rPr>
      </w:pPr>
      <w:r>
        <w:rPr>
          <w:rFonts w:hint="eastAsia" w:ascii="仿宋_GB2312" w:hAnsi="仿宋" w:eastAsia="仿宋_GB2312"/>
          <w:sz w:val="30"/>
          <w:szCs w:val="30"/>
        </w:rPr>
        <w:t>市政交通设施等9项资产类别（3行、25行、35行、40行、43行、57行、61行、63行、67行）的合计期末账面数原值（8栏）与合计期初账面数原值（3栏）的</w:t>
      </w:r>
      <w:r>
        <w:rPr>
          <w:rFonts w:hint="eastAsia" w:ascii="仿宋_GB2312" w:hAnsi="宋体" w:eastAsia="仿宋_GB2312"/>
          <w:sz w:val="30"/>
          <w:szCs w:val="30"/>
        </w:rPr>
        <w:t>增减变动超过</w:t>
      </w:r>
      <w:r>
        <w:rPr>
          <w:rFonts w:hint="eastAsia" w:ascii="仿宋_GB2312" w:hAnsi="仿宋" w:eastAsia="仿宋_GB2312"/>
          <w:sz w:val="30"/>
          <w:szCs w:val="30"/>
        </w:rPr>
        <w:t>30%，提示核实性错误，并需填写情况说明。</w:t>
      </w:r>
    </w:p>
    <w:p>
      <w:pPr>
        <w:pStyle w:val="2"/>
        <w:ind w:firstLine="0" w:firstLineChars="0"/>
        <w:rPr>
          <w:rFonts w:hint="eastAsia"/>
          <w:color w:val="auto"/>
        </w:rPr>
      </w:pPr>
      <w:r>
        <w:rPr>
          <w:rFonts w:hint="eastAsia"/>
          <w:color w:val="auto"/>
        </w:rPr>
        <w:t>（八）</w:t>
      </w:r>
      <w:r>
        <w:rPr>
          <w:color w:val="auto"/>
        </w:rPr>
        <w:t>资产情况汇总表（</w:t>
      </w:r>
      <w:r>
        <w:rPr>
          <w:rFonts w:hint="eastAsia"/>
          <w:color w:val="auto"/>
        </w:rPr>
        <w:t>五</w:t>
      </w:r>
      <w:r>
        <w:rPr>
          <w:color w:val="auto"/>
        </w:rPr>
        <w:t>）</w:t>
      </w:r>
      <w:r>
        <w:rPr>
          <w:rFonts w:hint="eastAsia"/>
          <w:color w:val="auto"/>
        </w:rPr>
        <w:t>（</w:t>
      </w:r>
      <w:r>
        <w:rPr>
          <w:color w:val="auto"/>
        </w:rPr>
        <w:t>财资综03-</w:t>
      </w:r>
      <w:r>
        <w:rPr>
          <w:rFonts w:hint="eastAsia"/>
          <w:color w:val="auto"/>
        </w:rPr>
        <w:t>5表）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反映单位</w:t>
      </w:r>
      <w:r>
        <w:rPr>
          <w:rFonts w:hint="eastAsia" w:ascii="仿宋_GB2312" w:hAnsi="仿宋" w:eastAsia="仿宋_GB2312"/>
          <w:sz w:val="30"/>
          <w:szCs w:val="30"/>
        </w:rPr>
        <w:t>已入账的政府储备物资、文物资源、保障性住房</w:t>
      </w:r>
      <w:r>
        <w:rPr>
          <w:rFonts w:ascii="仿宋_GB2312" w:hAnsi="仿宋" w:eastAsia="仿宋_GB2312"/>
          <w:sz w:val="30"/>
          <w:szCs w:val="30"/>
        </w:rPr>
        <w:t>资产</w:t>
      </w:r>
      <w:r>
        <w:rPr>
          <w:rFonts w:hint="eastAsia" w:ascii="仿宋_GB2312" w:hAnsi="仿宋" w:eastAsia="仿宋_GB2312"/>
          <w:sz w:val="30"/>
          <w:szCs w:val="30"/>
        </w:rPr>
        <w:t>情况，表中数据以财资13政府储备物资情况表、财资14文物资源情况表和财资15保障性住房情况表为基础自动提取生成。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“粮食等农产品和农资储备（4行）、能源储备（15行）、矿产品原材料储备（16行）、公租房（套）（39行）”的合计期末账面数量（7栏）与合计期初账面数量（2栏）的</w:t>
      </w:r>
      <w:r>
        <w:rPr>
          <w:rFonts w:hint="eastAsia" w:ascii="仿宋_GB2312" w:hAnsi="宋体" w:eastAsia="仿宋_GB2312"/>
          <w:sz w:val="30"/>
          <w:szCs w:val="30"/>
        </w:rPr>
        <w:t>增减变动超过</w:t>
      </w:r>
      <w:r>
        <w:rPr>
          <w:rFonts w:hint="eastAsia" w:ascii="仿宋_GB2312" w:hAnsi="仿宋" w:eastAsia="仿宋_GB2312"/>
          <w:sz w:val="30"/>
          <w:szCs w:val="30"/>
        </w:rPr>
        <w:t>20%，提示核实性错误，并需填写情况说明；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“粮食等农产品和农资储备（4行）、能源储备（15行）、矿产品原材料储备（16行）、应急专用物资储备（18行）、公租房（平方米）（38行）”的合计期末账面净值数（10栏）与合计期初账面净值数（5栏）的</w:t>
      </w:r>
      <w:r>
        <w:rPr>
          <w:rFonts w:hint="eastAsia" w:ascii="仿宋_GB2312" w:hAnsi="宋体" w:eastAsia="仿宋_GB2312"/>
          <w:sz w:val="30"/>
          <w:szCs w:val="30"/>
        </w:rPr>
        <w:t>增减变动超过</w:t>
      </w:r>
      <w:r>
        <w:rPr>
          <w:rFonts w:hint="eastAsia" w:ascii="仿宋_GB2312" w:hAnsi="仿宋" w:eastAsia="仿宋_GB2312"/>
          <w:sz w:val="30"/>
          <w:szCs w:val="30"/>
        </w:rPr>
        <w:t>20%，提示核实性错误，并需填写情况说明；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不可移动文物（25行）的合计期末负有管理维护/收藏职责数量（6栏）与合计期初负有管理维护/收藏职责数量（1栏）的</w:t>
      </w:r>
      <w:r>
        <w:rPr>
          <w:rFonts w:hint="eastAsia" w:ascii="仿宋_GB2312" w:hAnsi="宋体" w:eastAsia="仿宋_GB2312"/>
          <w:sz w:val="30"/>
          <w:szCs w:val="30"/>
        </w:rPr>
        <w:t>增减变动超过3</w:t>
      </w:r>
      <w:r>
        <w:rPr>
          <w:rFonts w:hint="eastAsia" w:ascii="仿宋_GB2312" w:hAnsi="仿宋" w:eastAsia="仿宋_GB2312"/>
          <w:sz w:val="30"/>
          <w:szCs w:val="30"/>
        </w:rPr>
        <w:t>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可移动文物（30行）的合计期末负有管理维护/收藏职责数量（6栏）与合计期初负有管理维护/收藏职责数量（1栏）的</w:t>
      </w:r>
      <w:r>
        <w:rPr>
          <w:rFonts w:hint="eastAsia" w:ascii="仿宋_GB2312" w:hAnsi="宋体" w:eastAsia="仿宋_GB2312"/>
          <w:sz w:val="30"/>
          <w:szCs w:val="30"/>
        </w:rPr>
        <w:t>增减变动超过</w:t>
      </w:r>
      <w:r>
        <w:rPr>
          <w:rFonts w:hint="eastAsia" w:ascii="仿宋_GB2312" w:hAnsi="仿宋" w:eastAsia="仿宋_GB2312"/>
          <w:sz w:val="30"/>
          <w:szCs w:val="30"/>
        </w:rPr>
        <w:t>50%，提示核实性错误，并需填写情况说明；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其他藏品（36行）的合计期末负有管理维护/收藏职责数量（6栏）与合计期初负有管理维护/收藏职责数量（1栏）的</w:t>
      </w:r>
      <w:r>
        <w:rPr>
          <w:rFonts w:hint="eastAsia" w:ascii="仿宋_GB2312" w:hAnsi="宋体" w:eastAsia="仿宋_GB2312"/>
          <w:sz w:val="30"/>
          <w:szCs w:val="30"/>
        </w:rPr>
        <w:t>增减变动超过</w:t>
      </w:r>
      <w:r>
        <w:rPr>
          <w:rFonts w:hint="eastAsia" w:ascii="仿宋_GB2312" w:hAnsi="仿宋" w:eastAsia="仿宋_GB2312"/>
          <w:sz w:val="30"/>
          <w:szCs w:val="30"/>
        </w:rPr>
        <w:t>200%，提示核实性错误，并需填写情况说明；</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不可移动文物（25行）、可移动文物（30行）、其他藏品（件/套）（36行）的合计期末账面数净值（10栏）与合计期初账面数净值（5栏）的</w:t>
      </w:r>
      <w:r>
        <w:rPr>
          <w:rFonts w:hint="eastAsia" w:ascii="仿宋_GB2312" w:hAnsi="宋体" w:eastAsia="仿宋_GB2312"/>
          <w:sz w:val="30"/>
          <w:szCs w:val="30"/>
        </w:rPr>
        <w:t>增减变动超过</w:t>
      </w:r>
      <w:r>
        <w:rPr>
          <w:rFonts w:hint="eastAsia" w:ascii="仿宋_GB2312" w:hAnsi="仿宋" w:eastAsia="仿宋_GB2312"/>
          <w:sz w:val="30"/>
          <w:szCs w:val="30"/>
        </w:rPr>
        <w:t>300%，提示核实性错误，并需填写情况说明。</w:t>
      </w:r>
    </w:p>
    <w:p>
      <w:pPr>
        <w:pStyle w:val="2"/>
        <w:ind w:firstLine="0" w:firstLineChars="0"/>
        <w:rPr>
          <w:rFonts w:hint="eastAsia"/>
          <w:color w:val="auto"/>
        </w:rPr>
      </w:pPr>
      <w:r>
        <w:rPr>
          <w:rFonts w:hint="eastAsia"/>
          <w:color w:val="auto"/>
        </w:rPr>
        <w:t>（九）</w:t>
      </w:r>
      <w:r>
        <w:rPr>
          <w:color w:val="auto"/>
        </w:rPr>
        <w:t>资产配置情况汇总表</w:t>
      </w:r>
      <w:r>
        <w:rPr>
          <w:rFonts w:hint="eastAsia"/>
          <w:color w:val="auto"/>
        </w:rPr>
        <w:t>（</w:t>
      </w:r>
      <w:r>
        <w:rPr>
          <w:color w:val="auto"/>
        </w:rPr>
        <w:t>财资综04</w:t>
      </w:r>
      <w:r>
        <w:rPr>
          <w:rFonts w:hint="eastAsia"/>
          <w:color w:val="auto"/>
        </w:rPr>
        <w:t>表）</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w:t>
      </w:r>
      <w:r>
        <w:rPr>
          <w:rFonts w:hint="eastAsia" w:ascii="仿宋_GB2312" w:eastAsia="仿宋_GB2312"/>
          <w:kern w:val="0"/>
          <w:sz w:val="30"/>
          <w:szCs w:val="30"/>
        </w:rPr>
        <w:t>单位通过不同配置方式</w:t>
      </w:r>
      <w:r>
        <w:rPr>
          <w:rFonts w:ascii="仿宋_GB2312" w:eastAsia="仿宋_GB2312"/>
          <w:kern w:val="0"/>
          <w:sz w:val="30"/>
          <w:szCs w:val="30"/>
        </w:rPr>
        <w:t>本年</w:t>
      </w:r>
      <w:r>
        <w:rPr>
          <w:rFonts w:hint="eastAsia" w:ascii="仿宋_GB2312" w:eastAsia="仿宋_GB2312"/>
          <w:kern w:val="0"/>
          <w:sz w:val="30"/>
          <w:szCs w:val="30"/>
        </w:rPr>
        <w:t>增加</w:t>
      </w:r>
      <w:r>
        <w:rPr>
          <w:rFonts w:ascii="仿宋_GB2312" w:eastAsia="仿宋_GB2312"/>
          <w:kern w:val="0"/>
          <w:sz w:val="30"/>
          <w:szCs w:val="30"/>
        </w:rPr>
        <w:t>固定</w:t>
      </w:r>
      <w:r>
        <w:rPr>
          <w:rFonts w:hint="eastAsia" w:ascii="仿宋_GB2312" w:eastAsia="仿宋_GB2312"/>
          <w:kern w:val="0"/>
          <w:sz w:val="30"/>
          <w:szCs w:val="30"/>
        </w:rPr>
        <w:t>资产、无形</w:t>
      </w:r>
      <w:r>
        <w:rPr>
          <w:rFonts w:ascii="仿宋_GB2312" w:eastAsia="仿宋_GB2312"/>
          <w:kern w:val="0"/>
          <w:sz w:val="30"/>
          <w:szCs w:val="30"/>
        </w:rPr>
        <w:t>资产</w:t>
      </w:r>
      <w:r>
        <w:rPr>
          <w:rFonts w:hint="eastAsia" w:ascii="仿宋_GB2312" w:eastAsia="仿宋_GB2312"/>
          <w:kern w:val="0"/>
          <w:sz w:val="30"/>
          <w:szCs w:val="30"/>
        </w:rPr>
        <w:t>、在建工程、新租土地、新租房屋的账面数情况，本表数据以财资04土地情况表、财资05房屋情况表、财资07在建工程情况表和财资08固定和无形资产配置情况表为基础自动提取生成。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6"/>
        </w:numPr>
        <w:adjustRightInd w:val="0"/>
        <w:snapToGrid w:val="0"/>
        <w:spacing w:line="360" w:lineRule="auto"/>
        <w:ind w:left="-142" w:firstLine="600" w:firstLineChars="200"/>
        <w:jc w:val="left"/>
        <w:rPr>
          <w:rFonts w:hint="eastAsia" w:ascii="仿宋_GB2312" w:hAnsi="仿宋" w:eastAsia="仿宋_GB2312"/>
          <w:sz w:val="30"/>
          <w:szCs w:val="30"/>
        </w:rPr>
      </w:pPr>
      <w:r>
        <w:rPr>
          <w:rFonts w:hint="eastAsia" w:ascii="仿宋_GB2312" w:hAnsi="仿宋" w:eastAsia="仿宋_GB2312"/>
          <w:sz w:val="30"/>
          <w:szCs w:val="30"/>
        </w:rPr>
        <w:t>如果财资综01表固定资产原值期末账面数（19行2栏）大于期初账面数（19行1栏），财资综04表固定资产的原值（</w:t>
      </w:r>
      <w:r>
        <w:rPr>
          <w:rFonts w:ascii="仿宋_GB2312" w:hAnsi="仿宋" w:eastAsia="仿宋_GB2312"/>
          <w:sz w:val="30"/>
          <w:szCs w:val="30"/>
        </w:rPr>
        <w:t>2</w:t>
      </w:r>
      <w:r>
        <w:rPr>
          <w:rFonts w:hint="eastAsia" w:ascii="仿宋_GB2312" w:hAnsi="仿宋" w:eastAsia="仿宋_GB2312"/>
          <w:sz w:val="30"/>
          <w:szCs w:val="30"/>
        </w:rPr>
        <w:t>行2栏）=0，提示核实性错误，并需填写情况说明；</w:t>
      </w:r>
    </w:p>
    <w:p>
      <w:pPr>
        <w:numPr>
          <w:ilvl w:val="0"/>
          <w:numId w:val="6"/>
        </w:numPr>
        <w:adjustRightInd w:val="0"/>
        <w:snapToGrid w:val="0"/>
        <w:spacing w:line="360" w:lineRule="auto"/>
        <w:ind w:left="-142" w:firstLine="600" w:firstLineChars="200"/>
        <w:jc w:val="left"/>
        <w:rPr>
          <w:rFonts w:ascii="仿宋_GB2312" w:eastAsia="仿宋_GB2312"/>
          <w:sz w:val="30"/>
          <w:szCs w:val="30"/>
        </w:rPr>
      </w:pPr>
      <w:r>
        <w:rPr>
          <w:rFonts w:hint="eastAsia" w:ascii="仿宋_GB2312" w:hAnsi="仿宋" w:eastAsia="仿宋_GB2312"/>
          <w:sz w:val="30"/>
          <w:szCs w:val="30"/>
        </w:rPr>
        <w:t>如果财资综01表无形资产原值期末账面数（24行2栏）大于期初账面数（24行1栏），财资综04表无形资产的原值（20行2栏）=0，提示核实性错误，并需填写情况说明；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eastAsia="仿宋_GB2312"/>
          <w:sz w:val="30"/>
          <w:szCs w:val="30"/>
        </w:rPr>
        <w:t>如果</w:t>
      </w:r>
      <w:r>
        <w:rPr>
          <w:rFonts w:hint="eastAsia" w:ascii="仿宋_GB2312" w:hAnsi="仿宋" w:eastAsia="仿宋_GB2312"/>
          <w:sz w:val="30"/>
          <w:szCs w:val="30"/>
        </w:rPr>
        <w:t>财资综01表行政单位</w:t>
      </w:r>
      <w:r>
        <w:rPr>
          <w:rFonts w:hint="eastAsia" w:ascii="仿宋_GB2312" w:eastAsia="仿宋_GB2312"/>
          <w:sz w:val="30"/>
          <w:szCs w:val="30"/>
        </w:rPr>
        <w:t>固定资产原值期末账面数（84行2栏）大于期初账面数（84行1栏），那么行政单位的固定资产原值小计（</w:t>
      </w:r>
      <w:r>
        <w:rPr>
          <w:rFonts w:hint="eastAsia" w:ascii="仿宋_GB2312" w:hAnsi="仿宋" w:eastAsia="仿宋_GB2312"/>
          <w:sz w:val="30"/>
          <w:szCs w:val="30"/>
        </w:rPr>
        <w:t>财资综04表</w:t>
      </w:r>
      <w:r>
        <w:rPr>
          <w:rFonts w:hint="eastAsia" w:ascii="仿宋_GB2312" w:eastAsia="仿宋_GB2312"/>
          <w:sz w:val="30"/>
          <w:szCs w:val="30"/>
        </w:rPr>
        <w:t>2行16栏）应大于0，否则</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eastAsia="仿宋_GB2312"/>
          <w:sz w:val="30"/>
          <w:szCs w:val="30"/>
        </w:rPr>
        <w:t>如果</w:t>
      </w:r>
      <w:r>
        <w:rPr>
          <w:rFonts w:hint="eastAsia" w:ascii="仿宋_GB2312" w:hAnsi="仿宋" w:eastAsia="仿宋_GB2312"/>
          <w:sz w:val="30"/>
          <w:szCs w:val="30"/>
        </w:rPr>
        <w:t>财资综01表事业单位</w:t>
      </w:r>
      <w:r>
        <w:rPr>
          <w:rFonts w:hint="eastAsia" w:ascii="仿宋_GB2312" w:eastAsia="仿宋_GB2312"/>
          <w:sz w:val="30"/>
          <w:szCs w:val="30"/>
        </w:rPr>
        <w:t>固定资产原值期末账面数（149行2栏）大于期初账面数（149行1栏），那么事业单位固定资产原值小计（</w:t>
      </w:r>
      <w:r>
        <w:rPr>
          <w:rFonts w:hint="eastAsia" w:ascii="仿宋_GB2312" w:hAnsi="仿宋" w:eastAsia="仿宋_GB2312"/>
          <w:sz w:val="30"/>
          <w:szCs w:val="30"/>
        </w:rPr>
        <w:t>财资综04表</w:t>
      </w:r>
      <w:r>
        <w:rPr>
          <w:rFonts w:hint="eastAsia" w:ascii="仿宋_GB2312" w:eastAsia="仿宋_GB2312"/>
          <w:sz w:val="30"/>
          <w:szCs w:val="30"/>
        </w:rPr>
        <w:t>2行30栏）应大于0，否则</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eastAsia="仿宋_GB2312"/>
          <w:sz w:val="30"/>
          <w:szCs w:val="30"/>
        </w:rPr>
        <w:t>如果</w:t>
      </w:r>
      <w:r>
        <w:rPr>
          <w:rFonts w:hint="eastAsia" w:ascii="仿宋_GB2312" w:hAnsi="仿宋" w:eastAsia="仿宋_GB2312"/>
          <w:sz w:val="30"/>
          <w:szCs w:val="30"/>
        </w:rPr>
        <w:t>财资综01表行政单位</w:t>
      </w:r>
      <w:r>
        <w:rPr>
          <w:rFonts w:hint="eastAsia" w:ascii="仿宋_GB2312" w:eastAsia="仿宋_GB2312"/>
          <w:sz w:val="30"/>
          <w:szCs w:val="30"/>
        </w:rPr>
        <w:t>无形资产原值期末账面数（89行2栏）大于期初账面数（89行1栏），那么行政单位无形资产原值小计（</w:t>
      </w:r>
      <w:r>
        <w:rPr>
          <w:rFonts w:hint="eastAsia" w:ascii="仿宋_GB2312" w:hAnsi="仿宋" w:eastAsia="仿宋_GB2312"/>
          <w:sz w:val="30"/>
          <w:szCs w:val="30"/>
        </w:rPr>
        <w:t>财资综04表20</w:t>
      </w:r>
      <w:r>
        <w:rPr>
          <w:rFonts w:hint="eastAsia" w:ascii="仿宋_GB2312" w:eastAsia="仿宋_GB2312"/>
          <w:sz w:val="30"/>
          <w:szCs w:val="30"/>
        </w:rPr>
        <w:t>行16栏）应大于0，否则</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360" w:lineRule="auto"/>
        <w:ind w:left="0" w:firstLine="600" w:firstLineChars="200"/>
        <w:rPr>
          <w:rFonts w:hint="eastAsia" w:ascii="仿宋_GB2312" w:hAnsi="仿宋" w:eastAsia="仿宋_GB2312"/>
          <w:sz w:val="30"/>
          <w:szCs w:val="30"/>
        </w:rPr>
      </w:pPr>
      <w:r>
        <w:rPr>
          <w:rFonts w:hint="eastAsia" w:ascii="仿宋_GB2312" w:hAnsi="仿宋" w:eastAsia="仿宋_GB2312"/>
          <w:sz w:val="30"/>
          <w:szCs w:val="30"/>
        </w:rPr>
        <w:t>如果财资综01表事业单位无形资产原值期末账面数（154行2栏）大于期初账面数（154行1栏），那么事业单位无形资产原值小计（财资综04表20行30栏）应大于0，否则提示核实性错误，需结合实际情况修改或填写情况说明。</w:t>
      </w:r>
    </w:p>
    <w:p>
      <w:pPr>
        <w:pStyle w:val="2"/>
        <w:ind w:firstLine="0" w:firstLineChars="0"/>
        <w:rPr>
          <w:rFonts w:hint="eastAsia"/>
          <w:color w:val="auto"/>
        </w:rPr>
      </w:pPr>
      <w:r>
        <w:rPr>
          <w:rFonts w:hint="eastAsia"/>
          <w:color w:val="auto"/>
        </w:rPr>
        <w:t>（十）</w:t>
      </w:r>
      <w:r>
        <w:rPr>
          <w:color w:val="auto"/>
        </w:rPr>
        <w:t>资产使用情况汇总表</w:t>
      </w:r>
      <w:r>
        <w:rPr>
          <w:rFonts w:hint="eastAsia"/>
          <w:color w:val="auto"/>
        </w:rPr>
        <w:t>（</w:t>
      </w:r>
      <w:r>
        <w:rPr>
          <w:color w:val="auto"/>
        </w:rPr>
        <w:t>财资综05</w:t>
      </w:r>
      <w:r>
        <w:rPr>
          <w:rFonts w:hint="eastAsia"/>
          <w:color w:val="auto"/>
        </w:rPr>
        <w:t>表）</w:t>
      </w:r>
    </w:p>
    <w:p>
      <w:pPr>
        <w:adjustRightInd w:val="0"/>
        <w:snapToGrid w:val="0"/>
        <w:spacing w:line="360" w:lineRule="auto"/>
        <w:ind w:firstLine="600" w:firstLineChars="200"/>
        <w:rPr>
          <w:rFonts w:hint="eastAsia" w:ascii="仿宋_GB2312" w:hAnsi="仿宋" w:eastAsia="仿宋_GB2312"/>
          <w:b/>
          <w:bCs/>
          <w:sz w:val="30"/>
          <w:szCs w:val="30"/>
        </w:rPr>
      </w:pPr>
      <w:r>
        <w:rPr>
          <w:rFonts w:hint="eastAsia" w:ascii="仿宋_GB2312" w:eastAsia="仿宋_GB2312"/>
          <w:kern w:val="0"/>
          <w:sz w:val="30"/>
          <w:szCs w:val="30"/>
        </w:rPr>
        <w:t>本表按照行政单位、事业单位口径汇总数据，</w:t>
      </w:r>
      <w:r>
        <w:rPr>
          <w:rFonts w:ascii="仿宋_GB2312" w:hAnsi="仿宋" w:eastAsia="仿宋_GB2312"/>
          <w:sz w:val="30"/>
          <w:szCs w:val="30"/>
        </w:rPr>
        <w:t>反映</w:t>
      </w:r>
      <w:r>
        <w:rPr>
          <w:rFonts w:hint="eastAsia" w:ascii="仿宋_GB2312" w:eastAsia="仿宋_GB2312"/>
          <w:kern w:val="0"/>
          <w:sz w:val="30"/>
          <w:szCs w:val="30"/>
        </w:rPr>
        <w:t>单位本期账面资产出租出借、对外投资情况，本表数据以财资09出租出借情况表和财资11对外投资情况表为基础自动提取生成。</w:t>
      </w:r>
    </w:p>
    <w:p>
      <w:pPr>
        <w:adjustRightInd w:val="0"/>
        <w:snapToGrid w:val="0"/>
        <w:spacing w:line="360" w:lineRule="auto"/>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ascii="仿宋_GB2312" w:hAnsi="仿宋" w:eastAsia="仿宋_GB2312"/>
          <w:sz w:val="30"/>
          <w:szCs w:val="30"/>
        </w:rPr>
        <w:t>主管单位</w:t>
      </w:r>
      <w:r>
        <w:rPr>
          <w:rFonts w:hint="eastAsia" w:ascii="仿宋_GB2312" w:hAnsi="仿宋" w:eastAsia="仿宋_GB2312"/>
          <w:sz w:val="30"/>
          <w:szCs w:val="30"/>
        </w:rPr>
        <w:t>：货币资金的账面原值（</w:t>
      </w:r>
      <w:r>
        <w:rPr>
          <w:rFonts w:ascii="仿宋_GB2312" w:hAnsi="仿宋" w:eastAsia="仿宋_GB2312"/>
          <w:sz w:val="30"/>
          <w:szCs w:val="30"/>
        </w:rPr>
        <w:t>3行2栏</w:t>
      </w:r>
      <w:r>
        <w:rPr>
          <w:rFonts w:hint="eastAsia" w:ascii="仿宋_GB2312" w:hAnsi="仿宋" w:eastAsia="仿宋_GB2312"/>
          <w:sz w:val="30"/>
          <w:szCs w:val="30"/>
        </w:rPr>
        <w:t>）</w:t>
      </w:r>
      <w:r>
        <w:rPr>
          <w:rFonts w:ascii="仿宋_GB2312" w:hAnsi="仿宋" w:eastAsia="仿宋_GB2312"/>
          <w:sz w:val="30"/>
          <w:szCs w:val="30"/>
        </w:rPr>
        <w:t>&gt;0时，提示核实性错误，</w:t>
      </w:r>
      <w:r>
        <w:rPr>
          <w:rFonts w:hint="eastAsia" w:ascii="仿宋_GB2312" w:hAnsi="仿宋" w:eastAsia="仿宋_GB2312"/>
          <w:sz w:val="30"/>
          <w:szCs w:val="30"/>
        </w:rPr>
        <w:t>需结合实际情况修改或填写情况说明。</w:t>
      </w:r>
    </w:p>
    <w:p>
      <w:pPr>
        <w:pStyle w:val="2"/>
        <w:ind w:firstLine="0" w:firstLineChars="0"/>
        <w:rPr>
          <w:rFonts w:hint="eastAsia"/>
          <w:color w:val="auto"/>
        </w:rPr>
      </w:pPr>
      <w:r>
        <w:rPr>
          <w:rFonts w:hint="eastAsia"/>
          <w:color w:val="auto"/>
        </w:rPr>
        <w:t>（十一）</w:t>
      </w:r>
      <w:r>
        <w:rPr>
          <w:color w:val="auto"/>
        </w:rPr>
        <w:t>资产处置情况汇总表</w:t>
      </w:r>
      <w:r>
        <w:rPr>
          <w:rFonts w:hint="eastAsia"/>
          <w:color w:val="auto"/>
        </w:rPr>
        <w:t>（</w:t>
      </w:r>
      <w:r>
        <w:rPr>
          <w:color w:val="auto"/>
        </w:rPr>
        <w:t>财资综06</w:t>
      </w:r>
      <w:r>
        <w:rPr>
          <w:rFonts w:hint="eastAsia"/>
          <w:color w:val="auto"/>
        </w:rPr>
        <w:t>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w:t>
      </w:r>
      <w:r>
        <w:rPr>
          <w:rFonts w:ascii="仿宋_GB2312" w:eastAsia="仿宋_GB2312"/>
          <w:kern w:val="0"/>
          <w:sz w:val="30"/>
          <w:szCs w:val="30"/>
        </w:rPr>
        <w:t>反映</w:t>
      </w:r>
      <w:r>
        <w:rPr>
          <w:rFonts w:hint="eastAsia" w:ascii="仿宋_GB2312" w:eastAsia="仿宋_GB2312"/>
          <w:kern w:val="0"/>
          <w:sz w:val="30"/>
          <w:szCs w:val="30"/>
        </w:rPr>
        <w:t>单位当年账面资产处置情况。本表数据以财资10资产处置情况表为基础自动提取生成。</w:t>
      </w:r>
    </w:p>
    <w:p>
      <w:pPr>
        <w:pStyle w:val="2"/>
        <w:ind w:firstLine="0" w:firstLineChars="0"/>
        <w:rPr>
          <w:rFonts w:hint="eastAsia"/>
          <w:color w:val="auto"/>
        </w:rPr>
      </w:pPr>
      <w:r>
        <w:rPr>
          <w:rFonts w:hint="eastAsia"/>
          <w:color w:val="auto"/>
        </w:rPr>
        <w:t>（十二）</w:t>
      </w:r>
      <w:r>
        <w:rPr>
          <w:color w:val="auto"/>
        </w:rPr>
        <w:t>资产收益情况汇总表</w:t>
      </w:r>
      <w:r>
        <w:rPr>
          <w:rFonts w:hint="eastAsia"/>
          <w:color w:val="auto"/>
        </w:rPr>
        <w:t>（</w:t>
      </w:r>
      <w:r>
        <w:rPr>
          <w:color w:val="auto"/>
        </w:rPr>
        <w:t>财资综07</w:t>
      </w:r>
      <w:r>
        <w:rPr>
          <w:rFonts w:hint="eastAsia"/>
          <w:color w:val="auto"/>
        </w:rPr>
        <w:t>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w:t>
      </w:r>
      <w:r>
        <w:rPr>
          <w:rFonts w:ascii="仿宋_GB2312" w:eastAsia="仿宋_GB2312"/>
          <w:kern w:val="0"/>
          <w:sz w:val="30"/>
          <w:szCs w:val="30"/>
        </w:rPr>
        <w:t>反映</w:t>
      </w:r>
      <w:r>
        <w:rPr>
          <w:rFonts w:hint="eastAsia" w:ascii="仿宋_GB2312" w:eastAsia="仿宋_GB2312"/>
          <w:kern w:val="0"/>
          <w:sz w:val="30"/>
          <w:szCs w:val="30"/>
        </w:rPr>
        <w:t>单位本期实收收益情况。本表数据以财资09出租出借情况表、财资10资产处置情况表和财资11对外投资情况表为基础自动提取生成。</w:t>
      </w:r>
    </w:p>
    <w:p>
      <w:pPr>
        <w:pStyle w:val="2"/>
        <w:ind w:firstLine="0" w:firstLineChars="0"/>
        <w:rPr>
          <w:rFonts w:hint="eastAsia"/>
          <w:color w:val="auto"/>
        </w:rPr>
      </w:pPr>
      <w:r>
        <w:rPr>
          <w:rFonts w:hint="eastAsia"/>
          <w:color w:val="auto"/>
        </w:rPr>
        <w:t>（十三）2025年度</w:t>
      </w:r>
      <w:r>
        <w:rPr>
          <w:color w:val="auto"/>
        </w:rPr>
        <w:t>资产</w:t>
      </w:r>
      <w:r>
        <w:rPr>
          <w:rFonts w:hint="eastAsia"/>
          <w:color w:val="auto"/>
        </w:rPr>
        <w:t>盘活</w:t>
      </w:r>
      <w:r>
        <w:rPr>
          <w:color w:val="auto"/>
        </w:rPr>
        <w:t>情况汇总表</w:t>
      </w:r>
      <w:r>
        <w:rPr>
          <w:rFonts w:hint="eastAsia"/>
          <w:color w:val="auto"/>
        </w:rPr>
        <w:t>（</w:t>
      </w:r>
      <w:r>
        <w:rPr>
          <w:color w:val="auto"/>
        </w:rPr>
        <w:t>财资</w:t>
      </w:r>
      <w:r>
        <w:rPr>
          <w:rFonts w:hint="eastAsia"/>
          <w:color w:val="auto"/>
        </w:rPr>
        <w:t>综附01表）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w:t>
      </w:r>
      <w:r>
        <w:rPr>
          <w:rFonts w:ascii="仿宋_GB2312" w:eastAsia="仿宋_GB2312"/>
          <w:kern w:val="0"/>
          <w:sz w:val="30"/>
          <w:szCs w:val="30"/>
        </w:rPr>
        <w:t>反映</w:t>
      </w:r>
      <w:r>
        <w:rPr>
          <w:rFonts w:hint="eastAsia" w:ascii="仿宋_GB2312" w:eastAsia="仿宋_GB2312"/>
          <w:kern w:val="0"/>
          <w:sz w:val="30"/>
          <w:szCs w:val="30"/>
        </w:rPr>
        <w:t>单位本期资产盘活情况。本表数据以财资附01表资产盘活情况表为基础自动提取生成。</w:t>
      </w:r>
    </w:p>
    <w:p>
      <w:pPr>
        <w:spacing w:line="360" w:lineRule="auto"/>
        <w:ind w:firstLine="578" w:firstLineChars="192"/>
        <w:rPr>
          <w:rFonts w:hint="eastAsia" w:ascii="仿宋_GB2312" w:hAnsi="等线" w:eastAsia="仿宋_GB2312"/>
          <w:b/>
          <w:sz w:val="30"/>
          <w:szCs w:val="30"/>
        </w:rPr>
      </w:pPr>
      <w:r>
        <w:rPr>
          <w:rFonts w:hint="eastAsia" w:ascii="仿宋_GB2312" w:hAnsi="等线" w:eastAsia="仿宋_GB2312"/>
          <w:b/>
          <w:sz w:val="30"/>
          <w:szCs w:val="30"/>
        </w:rPr>
        <w:t>核实性公式：</w:t>
      </w:r>
    </w:p>
    <w:p>
      <w:pPr>
        <w:numPr>
          <w:ilvl w:val="0"/>
          <w:numId w:val="2"/>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数量（1、5、7、11、13、17、21栏）大于0,则原值（2、6、8、12、14、18、22栏）大于0，否则提示核实性错误，需结合实际情况修改或填写情况说明；</w:t>
      </w:r>
    </w:p>
    <w:p>
      <w:pPr>
        <w:numPr>
          <w:ilvl w:val="0"/>
          <w:numId w:val="2"/>
        </w:numPr>
        <w:adjustRightInd w:val="0"/>
        <w:snapToGrid w:val="0"/>
        <w:spacing w:line="360" w:lineRule="auto"/>
        <w:ind w:left="0" w:firstLine="600"/>
        <w:rPr>
          <w:rFonts w:ascii="仿宋_GB2312" w:eastAsia="仿宋_GB2312"/>
          <w:kern w:val="0"/>
          <w:sz w:val="30"/>
          <w:szCs w:val="30"/>
        </w:rPr>
      </w:pPr>
      <w:r>
        <w:rPr>
          <w:rFonts w:hint="eastAsia" w:ascii="仿宋_GB2312" w:hAnsi="仿宋" w:eastAsia="仿宋_GB2312"/>
          <w:sz w:val="30"/>
          <w:szCs w:val="30"/>
        </w:rPr>
        <w:t>原值（2、6、8、12、14、18、22栏）大于0,则数量（1、5、7、11、13、17、21栏）大于0，否则提示核实性错误，需结合实际情况修改或填写情况说明。</w:t>
      </w:r>
    </w:p>
    <w:p>
      <w:pPr>
        <w:pStyle w:val="2"/>
        <w:ind w:firstLine="0" w:firstLineChars="0"/>
        <w:rPr>
          <w:rFonts w:hint="eastAsia"/>
          <w:color w:val="auto"/>
        </w:rPr>
      </w:pPr>
      <w:r>
        <w:rPr>
          <w:rFonts w:hint="eastAsia"/>
          <w:color w:val="auto"/>
        </w:rPr>
        <w:t>（十四）执法执勤用车编制等情况汇总表（中央部门）（</w:t>
      </w:r>
      <w:r>
        <w:rPr>
          <w:color w:val="auto"/>
        </w:rPr>
        <w:t>财资</w:t>
      </w:r>
      <w:r>
        <w:rPr>
          <w:rFonts w:hint="eastAsia"/>
          <w:color w:val="auto"/>
        </w:rPr>
        <w:t>综附02-1表）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本表按照行政单位、事业单位口径汇总数据，反映中央部门执法执勤用车情况。本表数据以财资附02-1表执法执勤用车情况备案表（中央部门）为基础自动提取生成。</w:t>
      </w:r>
    </w:p>
    <w:p>
      <w:pPr>
        <w:pStyle w:val="2"/>
        <w:ind w:firstLine="0" w:firstLineChars="0"/>
        <w:rPr>
          <w:rFonts w:hint="eastAsia"/>
          <w:color w:val="auto"/>
        </w:rPr>
      </w:pPr>
      <w:r>
        <w:rPr>
          <w:rFonts w:hint="eastAsia"/>
          <w:color w:val="auto"/>
        </w:rPr>
        <w:t>（十五）执法执勤用车编制等情况汇总表（地方财政部门）（</w:t>
      </w:r>
      <w:r>
        <w:rPr>
          <w:color w:val="auto"/>
        </w:rPr>
        <w:t>财资</w:t>
      </w:r>
      <w:r>
        <w:rPr>
          <w:rFonts w:hint="eastAsia"/>
          <w:color w:val="auto"/>
        </w:rPr>
        <w:t>综附02-2表）</w:t>
      </w:r>
    </w:p>
    <w:p>
      <w:p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本表按照行政单位、事业单位口径汇总数据，反映地方财政部门执法执勤用车情况。本表数据以财资附02-2表执法执勤用车情况备案表（地方财政部门）为基础自动提取生成。</w:t>
      </w:r>
    </w:p>
    <w:p>
      <w:pPr>
        <w:pStyle w:val="2"/>
        <w:rPr>
          <w:rFonts w:hint="eastAsia"/>
          <w:b/>
          <w:color w:val="auto"/>
        </w:rPr>
      </w:pPr>
      <w:r>
        <w:rPr>
          <w:rFonts w:hint="eastAsia"/>
          <w:color w:val="auto"/>
        </w:rPr>
        <w:t>（十六）卫生健康行业资产情况汇总表（财资综附03表）</w:t>
      </w:r>
    </w:p>
    <w:p>
      <w:pPr>
        <w:widowControl/>
        <w:numPr>
          <w:ilvl w:val="255"/>
          <w:numId w:val="0"/>
        </w:numPr>
        <w:adjustRightInd w:val="0"/>
        <w:snapToGrid w:val="0"/>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本表按照行政单位、事业单位口径汇总数据，反映卫生健康行业资产情况。本表数据以财资附03表卫生健康行业资产情况表为基础自动提取生成。</w:t>
      </w:r>
    </w:p>
    <w:p/>
    <w:p/>
    <w:sectPr>
      <w:footerReference r:id="rId3" w:type="default"/>
      <w:footerReference r:id="rId4" w:type="even"/>
      <w:pgSz w:w="11906" w:h="16838"/>
      <w:pgMar w:top="1440" w:right="1797" w:bottom="1440" w:left="179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rPr>
    </w:pPr>
    <w:r>
      <w:fldChar w:fldCharType="begin"/>
    </w:r>
    <w:r>
      <w:rPr>
        <w:rStyle w:val="15"/>
      </w:rPr>
      <w:instrText xml:space="preserve"> PAGE </w:instrText>
    </w:r>
    <w:r>
      <w:fldChar w:fldCharType="separate"/>
    </w:r>
    <w:r>
      <w:rPr>
        <w:rStyle w:val="15"/>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624"/>
    <w:multiLevelType w:val="singleLevel"/>
    <w:tmpl w:val="95D7B624"/>
    <w:lvl w:ilvl="0" w:tentative="0">
      <w:start w:val="1"/>
      <w:numFmt w:val="bullet"/>
      <w:lvlText w:val=""/>
      <w:lvlJc w:val="left"/>
      <w:pPr>
        <w:ind w:left="420" w:hanging="420"/>
      </w:pPr>
      <w:rPr>
        <w:rFonts w:hint="default" w:ascii="Wingdings" w:hAnsi="Wingdings"/>
      </w:rPr>
    </w:lvl>
  </w:abstractNum>
  <w:abstractNum w:abstractNumId="1">
    <w:nsid w:val="FE373D42"/>
    <w:multiLevelType w:val="singleLevel"/>
    <w:tmpl w:val="FE373D42"/>
    <w:lvl w:ilvl="0" w:tentative="0">
      <w:start w:val="1"/>
      <w:numFmt w:val="bullet"/>
      <w:lvlText w:val=""/>
      <w:lvlJc w:val="left"/>
      <w:pPr>
        <w:ind w:left="420" w:hanging="420"/>
      </w:pPr>
      <w:rPr>
        <w:rFonts w:hint="default" w:ascii="Wingdings" w:hAnsi="Wingdings"/>
      </w:rPr>
    </w:lvl>
  </w:abstractNum>
  <w:abstractNum w:abstractNumId="2">
    <w:nsid w:val="FE773C03"/>
    <w:multiLevelType w:val="singleLevel"/>
    <w:tmpl w:val="FE773C03"/>
    <w:lvl w:ilvl="0" w:tentative="0">
      <w:start w:val="2"/>
      <w:numFmt w:val="decimal"/>
      <w:suff w:val="nothing"/>
      <w:lvlText w:val="（%1）"/>
      <w:lvlJc w:val="left"/>
    </w:lvl>
  </w:abstractNum>
  <w:abstractNum w:abstractNumId="3">
    <w:nsid w:val="FF7F792B"/>
    <w:multiLevelType w:val="singleLevel"/>
    <w:tmpl w:val="FF7F792B"/>
    <w:lvl w:ilvl="0" w:tentative="0">
      <w:start w:val="2"/>
      <w:numFmt w:val="decimal"/>
      <w:lvlText w:val="%1."/>
      <w:lvlJc w:val="left"/>
      <w:pPr>
        <w:tabs>
          <w:tab w:val="left" w:pos="312"/>
        </w:tabs>
      </w:pPr>
    </w:lvl>
  </w:abstractNum>
  <w:abstractNum w:abstractNumId="4">
    <w:nsid w:val="00000006"/>
    <w:multiLevelType w:val="multilevel"/>
    <w:tmpl w:val="00000006"/>
    <w:lvl w:ilvl="0" w:tentative="0">
      <w:start w:val="1"/>
      <w:numFmt w:val="bullet"/>
      <w:lvlText w:val=""/>
      <w:lvlJc w:val="left"/>
      <w:pPr>
        <w:ind w:left="996" w:hanging="420"/>
      </w:pPr>
      <w:rPr>
        <w:rFonts w:hint="default" w:ascii="Wingdings" w:hAnsi="Wingdings"/>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5">
    <w:nsid w:val="02D96376"/>
    <w:multiLevelType w:val="multilevel"/>
    <w:tmpl w:val="02D9637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6">
    <w:nsid w:val="44A70813"/>
    <w:multiLevelType w:val="multilevel"/>
    <w:tmpl w:val="44A70813"/>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7">
    <w:nsid w:val="56CB01D0"/>
    <w:multiLevelType w:val="multilevel"/>
    <w:tmpl w:val="56CB01D0"/>
    <w:lvl w:ilvl="0" w:tentative="0">
      <w:start w:val="1"/>
      <w:numFmt w:val="bullet"/>
      <w:lvlText w:val=""/>
      <w:lvlJc w:val="left"/>
      <w:pPr>
        <w:ind w:left="0" w:firstLine="576"/>
      </w:pPr>
      <w:rPr>
        <w:rFonts w:hint="default" w:ascii="Wingdings" w:hAnsi="Wingdings"/>
        <w:sz w:val="30"/>
        <w:szCs w:val="30"/>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8">
    <w:nsid w:val="5FFF1082"/>
    <w:multiLevelType w:val="multilevel"/>
    <w:tmpl w:val="5FFF1082"/>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9">
    <w:nsid w:val="6BC821B6"/>
    <w:multiLevelType w:val="multilevel"/>
    <w:tmpl w:val="6BC821B6"/>
    <w:lvl w:ilvl="0" w:tentative="0">
      <w:start w:val="1"/>
      <w:numFmt w:val="bullet"/>
      <w:lvlText w:val=""/>
      <w:lvlJc w:val="left"/>
      <w:pPr>
        <w:ind w:left="0" w:firstLine="576"/>
      </w:pPr>
      <w:rPr>
        <w:rFonts w:hint="default" w:ascii="Wingdings" w:hAnsi="Wingdings"/>
        <w:sz w:val="30"/>
        <w:szCs w:val="30"/>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10">
    <w:nsid w:val="6E661852"/>
    <w:multiLevelType w:val="multilevel"/>
    <w:tmpl w:val="6E661852"/>
    <w:lvl w:ilvl="0" w:tentative="0">
      <w:start w:val="1"/>
      <w:numFmt w:val="bullet"/>
      <w:lvlText w:val=""/>
      <w:lvlJc w:val="left"/>
      <w:pPr>
        <w:ind w:left="7932"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5"/>
  </w:num>
  <w:num w:numId="2">
    <w:abstractNumId w:val="8"/>
  </w:num>
  <w:num w:numId="3">
    <w:abstractNumId w:val="10"/>
  </w:num>
  <w:num w:numId="4">
    <w:abstractNumId w:val="7"/>
  </w:num>
  <w:num w:numId="5">
    <w:abstractNumId w:val="9"/>
  </w:num>
  <w:num w:numId="6">
    <w:abstractNumId w:val="6"/>
  </w:num>
  <w:num w:numId="7">
    <w:abstractNumId w:val="3"/>
  </w:num>
  <w:num w:numId="8">
    <w:abstractNumId w:val="4"/>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displayBackgroundShape w:val="1"/>
  <w:embedSystemFonts/>
  <w:bordersDoNotSurroundHeader w:val="1"/>
  <w:bordersDoNotSurroundFooter w:val="1"/>
  <w:doNotTrackMoves/>
  <w:documentProtection w:edit="readOnly"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jYwZmFmZTEzMzg4ZDU3OTU4Y2JlMWFiNmM2NTYifQ=="/>
    <w:docVar w:name="KSO_WPS_MARK_KEY" w:val="9e8cd4af-5a4a-44e3-9ecd-0ed477667254"/>
  </w:docVars>
  <w:rsids>
    <w:rsidRoot w:val="00672F27"/>
    <w:rsid w:val="00000F27"/>
    <w:rsid w:val="0000174C"/>
    <w:rsid w:val="000025B6"/>
    <w:rsid w:val="00002884"/>
    <w:rsid w:val="00002AB1"/>
    <w:rsid w:val="00003611"/>
    <w:rsid w:val="00003C90"/>
    <w:rsid w:val="000043B6"/>
    <w:rsid w:val="00004C3F"/>
    <w:rsid w:val="000057B9"/>
    <w:rsid w:val="000058B5"/>
    <w:rsid w:val="000060CA"/>
    <w:rsid w:val="0000628E"/>
    <w:rsid w:val="00006B7D"/>
    <w:rsid w:val="00006DFD"/>
    <w:rsid w:val="0000751C"/>
    <w:rsid w:val="000077B4"/>
    <w:rsid w:val="00007AA6"/>
    <w:rsid w:val="00007ADE"/>
    <w:rsid w:val="00007DE3"/>
    <w:rsid w:val="000105DD"/>
    <w:rsid w:val="00010AA4"/>
    <w:rsid w:val="00010D1B"/>
    <w:rsid w:val="000120A7"/>
    <w:rsid w:val="00014B77"/>
    <w:rsid w:val="00014D0A"/>
    <w:rsid w:val="000155E4"/>
    <w:rsid w:val="0001622A"/>
    <w:rsid w:val="00016761"/>
    <w:rsid w:val="00016E03"/>
    <w:rsid w:val="00017AEA"/>
    <w:rsid w:val="00022800"/>
    <w:rsid w:val="00022970"/>
    <w:rsid w:val="00022DAC"/>
    <w:rsid w:val="00022E4D"/>
    <w:rsid w:val="0002376B"/>
    <w:rsid w:val="00023833"/>
    <w:rsid w:val="00023900"/>
    <w:rsid w:val="00023998"/>
    <w:rsid w:val="0002473B"/>
    <w:rsid w:val="0002481E"/>
    <w:rsid w:val="0002561E"/>
    <w:rsid w:val="00025EAA"/>
    <w:rsid w:val="0002716F"/>
    <w:rsid w:val="000279A1"/>
    <w:rsid w:val="00027A06"/>
    <w:rsid w:val="00030CFC"/>
    <w:rsid w:val="00030F62"/>
    <w:rsid w:val="000316A9"/>
    <w:rsid w:val="000318BA"/>
    <w:rsid w:val="00031A69"/>
    <w:rsid w:val="00031E0B"/>
    <w:rsid w:val="00032033"/>
    <w:rsid w:val="0003213A"/>
    <w:rsid w:val="00032FFD"/>
    <w:rsid w:val="00033CFD"/>
    <w:rsid w:val="0003426E"/>
    <w:rsid w:val="00034574"/>
    <w:rsid w:val="00034BA6"/>
    <w:rsid w:val="000363D4"/>
    <w:rsid w:val="00036DC9"/>
    <w:rsid w:val="00037270"/>
    <w:rsid w:val="000375F3"/>
    <w:rsid w:val="00037DFB"/>
    <w:rsid w:val="00040157"/>
    <w:rsid w:val="00040178"/>
    <w:rsid w:val="000407C4"/>
    <w:rsid w:val="00040D6B"/>
    <w:rsid w:val="000413E5"/>
    <w:rsid w:val="0004176D"/>
    <w:rsid w:val="00041967"/>
    <w:rsid w:val="000427D7"/>
    <w:rsid w:val="00042B7F"/>
    <w:rsid w:val="00043BDA"/>
    <w:rsid w:val="00044FDB"/>
    <w:rsid w:val="000461F2"/>
    <w:rsid w:val="00046A41"/>
    <w:rsid w:val="00046F33"/>
    <w:rsid w:val="0004777C"/>
    <w:rsid w:val="000477A1"/>
    <w:rsid w:val="00047806"/>
    <w:rsid w:val="00047BE4"/>
    <w:rsid w:val="00047E6D"/>
    <w:rsid w:val="00050B00"/>
    <w:rsid w:val="000510F0"/>
    <w:rsid w:val="000523BF"/>
    <w:rsid w:val="000525B1"/>
    <w:rsid w:val="000528F4"/>
    <w:rsid w:val="00052B0B"/>
    <w:rsid w:val="000539AA"/>
    <w:rsid w:val="00054A9F"/>
    <w:rsid w:val="00056094"/>
    <w:rsid w:val="00057A88"/>
    <w:rsid w:val="00057DAE"/>
    <w:rsid w:val="00057F2C"/>
    <w:rsid w:val="00060343"/>
    <w:rsid w:val="00060E92"/>
    <w:rsid w:val="00062060"/>
    <w:rsid w:val="00063DBD"/>
    <w:rsid w:val="00064181"/>
    <w:rsid w:val="0006431D"/>
    <w:rsid w:val="00064D94"/>
    <w:rsid w:val="000651AA"/>
    <w:rsid w:val="0006532B"/>
    <w:rsid w:val="000655F5"/>
    <w:rsid w:val="00066742"/>
    <w:rsid w:val="00066DA2"/>
    <w:rsid w:val="00067635"/>
    <w:rsid w:val="00067919"/>
    <w:rsid w:val="00070916"/>
    <w:rsid w:val="0007155C"/>
    <w:rsid w:val="00071BF5"/>
    <w:rsid w:val="00071D58"/>
    <w:rsid w:val="00072A2F"/>
    <w:rsid w:val="00072CFB"/>
    <w:rsid w:val="00073421"/>
    <w:rsid w:val="00073BC2"/>
    <w:rsid w:val="00073C02"/>
    <w:rsid w:val="000746CB"/>
    <w:rsid w:val="00076453"/>
    <w:rsid w:val="00077AED"/>
    <w:rsid w:val="000804C5"/>
    <w:rsid w:val="00080EC6"/>
    <w:rsid w:val="000821D4"/>
    <w:rsid w:val="00083037"/>
    <w:rsid w:val="00083278"/>
    <w:rsid w:val="00083476"/>
    <w:rsid w:val="00084007"/>
    <w:rsid w:val="00087F88"/>
    <w:rsid w:val="00091E7B"/>
    <w:rsid w:val="0009207E"/>
    <w:rsid w:val="00093280"/>
    <w:rsid w:val="00093E49"/>
    <w:rsid w:val="000942B7"/>
    <w:rsid w:val="00094D15"/>
    <w:rsid w:val="00094EAA"/>
    <w:rsid w:val="0009558F"/>
    <w:rsid w:val="000968A6"/>
    <w:rsid w:val="000A0341"/>
    <w:rsid w:val="000A08A1"/>
    <w:rsid w:val="000A0CBE"/>
    <w:rsid w:val="000A1558"/>
    <w:rsid w:val="000A1FF0"/>
    <w:rsid w:val="000A234C"/>
    <w:rsid w:val="000A3C3C"/>
    <w:rsid w:val="000A43B0"/>
    <w:rsid w:val="000A5777"/>
    <w:rsid w:val="000A78A4"/>
    <w:rsid w:val="000B106C"/>
    <w:rsid w:val="000B14DF"/>
    <w:rsid w:val="000B23DF"/>
    <w:rsid w:val="000B29A9"/>
    <w:rsid w:val="000B3070"/>
    <w:rsid w:val="000B3614"/>
    <w:rsid w:val="000B37B7"/>
    <w:rsid w:val="000B487E"/>
    <w:rsid w:val="000B5A38"/>
    <w:rsid w:val="000B5BD1"/>
    <w:rsid w:val="000B6A88"/>
    <w:rsid w:val="000B6D13"/>
    <w:rsid w:val="000B7695"/>
    <w:rsid w:val="000B7FE8"/>
    <w:rsid w:val="000C01DF"/>
    <w:rsid w:val="000C1167"/>
    <w:rsid w:val="000C180C"/>
    <w:rsid w:val="000C29E7"/>
    <w:rsid w:val="000C5C05"/>
    <w:rsid w:val="000C602A"/>
    <w:rsid w:val="000C66A9"/>
    <w:rsid w:val="000C66C0"/>
    <w:rsid w:val="000C6712"/>
    <w:rsid w:val="000C7C26"/>
    <w:rsid w:val="000D0EAE"/>
    <w:rsid w:val="000D2785"/>
    <w:rsid w:val="000D296F"/>
    <w:rsid w:val="000D2FF7"/>
    <w:rsid w:val="000D35A9"/>
    <w:rsid w:val="000D380E"/>
    <w:rsid w:val="000D57F7"/>
    <w:rsid w:val="000D623E"/>
    <w:rsid w:val="000E0AD5"/>
    <w:rsid w:val="000E13D5"/>
    <w:rsid w:val="000E1A40"/>
    <w:rsid w:val="000E2F6E"/>
    <w:rsid w:val="000E3106"/>
    <w:rsid w:val="000E3162"/>
    <w:rsid w:val="000E364F"/>
    <w:rsid w:val="000E392B"/>
    <w:rsid w:val="000E3E6D"/>
    <w:rsid w:val="000E3F4E"/>
    <w:rsid w:val="000E4D2F"/>
    <w:rsid w:val="000E59E4"/>
    <w:rsid w:val="000E5D7A"/>
    <w:rsid w:val="000E6063"/>
    <w:rsid w:val="000E6B70"/>
    <w:rsid w:val="000E7035"/>
    <w:rsid w:val="000E7393"/>
    <w:rsid w:val="000E7501"/>
    <w:rsid w:val="000F0531"/>
    <w:rsid w:val="000F0D1F"/>
    <w:rsid w:val="000F1FB8"/>
    <w:rsid w:val="000F2561"/>
    <w:rsid w:val="000F270A"/>
    <w:rsid w:val="000F2A58"/>
    <w:rsid w:val="000F30C2"/>
    <w:rsid w:val="000F30D4"/>
    <w:rsid w:val="000F3372"/>
    <w:rsid w:val="000F337A"/>
    <w:rsid w:val="000F346C"/>
    <w:rsid w:val="000F47DD"/>
    <w:rsid w:val="000F4C34"/>
    <w:rsid w:val="000F4FA7"/>
    <w:rsid w:val="000F57F9"/>
    <w:rsid w:val="000F63C7"/>
    <w:rsid w:val="000F7FBC"/>
    <w:rsid w:val="0010003C"/>
    <w:rsid w:val="0010084C"/>
    <w:rsid w:val="0010165E"/>
    <w:rsid w:val="0010275B"/>
    <w:rsid w:val="00102E95"/>
    <w:rsid w:val="001036F3"/>
    <w:rsid w:val="00103897"/>
    <w:rsid w:val="00103904"/>
    <w:rsid w:val="00105AFD"/>
    <w:rsid w:val="00105D95"/>
    <w:rsid w:val="00106CCA"/>
    <w:rsid w:val="0010788E"/>
    <w:rsid w:val="00107DD9"/>
    <w:rsid w:val="00110A56"/>
    <w:rsid w:val="00112FA8"/>
    <w:rsid w:val="00113ED7"/>
    <w:rsid w:val="00114195"/>
    <w:rsid w:val="00115D52"/>
    <w:rsid w:val="00116186"/>
    <w:rsid w:val="0011687F"/>
    <w:rsid w:val="00116C7D"/>
    <w:rsid w:val="00117677"/>
    <w:rsid w:val="00117837"/>
    <w:rsid w:val="001206D9"/>
    <w:rsid w:val="00120F17"/>
    <w:rsid w:val="00121B1C"/>
    <w:rsid w:val="00122808"/>
    <w:rsid w:val="00122E59"/>
    <w:rsid w:val="001232F6"/>
    <w:rsid w:val="00123531"/>
    <w:rsid w:val="0012432C"/>
    <w:rsid w:val="00124670"/>
    <w:rsid w:val="00125011"/>
    <w:rsid w:val="001257EB"/>
    <w:rsid w:val="001260A0"/>
    <w:rsid w:val="00126E81"/>
    <w:rsid w:val="001274DB"/>
    <w:rsid w:val="00127A48"/>
    <w:rsid w:val="00127AE4"/>
    <w:rsid w:val="0013008E"/>
    <w:rsid w:val="00131CDC"/>
    <w:rsid w:val="00132566"/>
    <w:rsid w:val="00133C45"/>
    <w:rsid w:val="00134810"/>
    <w:rsid w:val="00135185"/>
    <w:rsid w:val="0013518E"/>
    <w:rsid w:val="00135D55"/>
    <w:rsid w:val="00135FE1"/>
    <w:rsid w:val="00136044"/>
    <w:rsid w:val="001364F6"/>
    <w:rsid w:val="00136CDC"/>
    <w:rsid w:val="00137559"/>
    <w:rsid w:val="0013775A"/>
    <w:rsid w:val="00137CE4"/>
    <w:rsid w:val="00140013"/>
    <w:rsid w:val="001408BA"/>
    <w:rsid w:val="00140E80"/>
    <w:rsid w:val="00141140"/>
    <w:rsid w:val="00141DAF"/>
    <w:rsid w:val="0014205B"/>
    <w:rsid w:val="0014256B"/>
    <w:rsid w:val="001427EB"/>
    <w:rsid w:val="00143155"/>
    <w:rsid w:val="001439F4"/>
    <w:rsid w:val="001441DD"/>
    <w:rsid w:val="00144D96"/>
    <w:rsid w:val="001451E8"/>
    <w:rsid w:val="00145D9F"/>
    <w:rsid w:val="001460F6"/>
    <w:rsid w:val="00146422"/>
    <w:rsid w:val="00146FD6"/>
    <w:rsid w:val="00147C6F"/>
    <w:rsid w:val="00150295"/>
    <w:rsid w:val="00150A2D"/>
    <w:rsid w:val="00150F31"/>
    <w:rsid w:val="00150FDF"/>
    <w:rsid w:val="00151503"/>
    <w:rsid w:val="00151515"/>
    <w:rsid w:val="00152E31"/>
    <w:rsid w:val="00152F4D"/>
    <w:rsid w:val="001533A0"/>
    <w:rsid w:val="001535F4"/>
    <w:rsid w:val="00153782"/>
    <w:rsid w:val="00153830"/>
    <w:rsid w:val="00153E6F"/>
    <w:rsid w:val="00154445"/>
    <w:rsid w:val="00154627"/>
    <w:rsid w:val="00154FB1"/>
    <w:rsid w:val="00155080"/>
    <w:rsid w:val="001550A5"/>
    <w:rsid w:val="001550FB"/>
    <w:rsid w:val="00155A09"/>
    <w:rsid w:val="00156158"/>
    <w:rsid w:val="0015618C"/>
    <w:rsid w:val="0015663A"/>
    <w:rsid w:val="001567B6"/>
    <w:rsid w:val="00156D6B"/>
    <w:rsid w:val="00157200"/>
    <w:rsid w:val="00157C2C"/>
    <w:rsid w:val="00160B34"/>
    <w:rsid w:val="00161C83"/>
    <w:rsid w:val="00162559"/>
    <w:rsid w:val="00162D9C"/>
    <w:rsid w:val="00162E35"/>
    <w:rsid w:val="00163417"/>
    <w:rsid w:val="001634AF"/>
    <w:rsid w:val="001638EA"/>
    <w:rsid w:val="00163AE0"/>
    <w:rsid w:val="00164515"/>
    <w:rsid w:val="001648F9"/>
    <w:rsid w:val="00164E99"/>
    <w:rsid w:val="00165C0D"/>
    <w:rsid w:val="00166F8C"/>
    <w:rsid w:val="00166F8D"/>
    <w:rsid w:val="0016716A"/>
    <w:rsid w:val="00167E68"/>
    <w:rsid w:val="00170B6C"/>
    <w:rsid w:val="00170EAD"/>
    <w:rsid w:val="001715A5"/>
    <w:rsid w:val="001717E2"/>
    <w:rsid w:val="00171AC6"/>
    <w:rsid w:val="00171B21"/>
    <w:rsid w:val="00172D82"/>
    <w:rsid w:val="00173B80"/>
    <w:rsid w:val="00173EB6"/>
    <w:rsid w:val="00174658"/>
    <w:rsid w:val="00174BAA"/>
    <w:rsid w:val="00174E3D"/>
    <w:rsid w:val="001757C3"/>
    <w:rsid w:val="00175D17"/>
    <w:rsid w:val="00175FE6"/>
    <w:rsid w:val="00176FA9"/>
    <w:rsid w:val="00180E4C"/>
    <w:rsid w:val="00181229"/>
    <w:rsid w:val="001819FD"/>
    <w:rsid w:val="00182086"/>
    <w:rsid w:val="00182F8C"/>
    <w:rsid w:val="00183440"/>
    <w:rsid w:val="00183568"/>
    <w:rsid w:val="00183E06"/>
    <w:rsid w:val="00184064"/>
    <w:rsid w:val="001846CA"/>
    <w:rsid w:val="001849E4"/>
    <w:rsid w:val="00184A1B"/>
    <w:rsid w:val="00184CA1"/>
    <w:rsid w:val="00186466"/>
    <w:rsid w:val="001865AC"/>
    <w:rsid w:val="00186CED"/>
    <w:rsid w:val="00186F09"/>
    <w:rsid w:val="0018700C"/>
    <w:rsid w:val="0018728E"/>
    <w:rsid w:val="00190FC3"/>
    <w:rsid w:val="00191272"/>
    <w:rsid w:val="001921B7"/>
    <w:rsid w:val="001926B4"/>
    <w:rsid w:val="00192C72"/>
    <w:rsid w:val="00193630"/>
    <w:rsid w:val="001937A6"/>
    <w:rsid w:val="001939B2"/>
    <w:rsid w:val="00194AE8"/>
    <w:rsid w:val="0019525D"/>
    <w:rsid w:val="001959B4"/>
    <w:rsid w:val="00195FA4"/>
    <w:rsid w:val="00196473"/>
    <w:rsid w:val="001A08F1"/>
    <w:rsid w:val="001A0E09"/>
    <w:rsid w:val="001A137B"/>
    <w:rsid w:val="001A147D"/>
    <w:rsid w:val="001A1FF8"/>
    <w:rsid w:val="001A2049"/>
    <w:rsid w:val="001A24F4"/>
    <w:rsid w:val="001A2E3D"/>
    <w:rsid w:val="001A309F"/>
    <w:rsid w:val="001A31FC"/>
    <w:rsid w:val="001A3284"/>
    <w:rsid w:val="001A3670"/>
    <w:rsid w:val="001A42F6"/>
    <w:rsid w:val="001A5334"/>
    <w:rsid w:val="001A5E49"/>
    <w:rsid w:val="001A6365"/>
    <w:rsid w:val="001A6504"/>
    <w:rsid w:val="001A65EA"/>
    <w:rsid w:val="001A6E7F"/>
    <w:rsid w:val="001B0AC5"/>
    <w:rsid w:val="001B0D00"/>
    <w:rsid w:val="001B0EFD"/>
    <w:rsid w:val="001B17BA"/>
    <w:rsid w:val="001B18B2"/>
    <w:rsid w:val="001B205D"/>
    <w:rsid w:val="001B2378"/>
    <w:rsid w:val="001B285A"/>
    <w:rsid w:val="001B31D8"/>
    <w:rsid w:val="001B3B84"/>
    <w:rsid w:val="001B3FC6"/>
    <w:rsid w:val="001B414F"/>
    <w:rsid w:val="001B45F5"/>
    <w:rsid w:val="001B494F"/>
    <w:rsid w:val="001B4E45"/>
    <w:rsid w:val="001B59EF"/>
    <w:rsid w:val="001B5A9A"/>
    <w:rsid w:val="001C0116"/>
    <w:rsid w:val="001C0862"/>
    <w:rsid w:val="001C0CDF"/>
    <w:rsid w:val="001C0D77"/>
    <w:rsid w:val="001C0D91"/>
    <w:rsid w:val="001C156B"/>
    <w:rsid w:val="001C15DA"/>
    <w:rsid w:val="001C28A9"/>
    <w:rsid w:val="001C2B0D"/>
    <w:rsid w:val="001C305E"/>
    <w:rsid w:val="001C33EA"/>
    <w:rsid w:val="001C36E3"/>
    <w:rsid w:val="001C49ED"/>
    <w:rsid w:val="001C4BEF"/>
    <w:rsid w:val="001C5081"/>
    <w:rsid w:val="001C5475"/>
    <w:rsid w:val="001C54FC"/>
    <w:rsid w:val="001C568B"/>
    <w:rsid w:val="001C651E"/>
    <w:rsid w:val="001C68FA"/>
    <w:rsid w:val="001D2460"/>
    <w:rsid w:val="001D2EAD"/>
    <w:rsid w:val="001D2F3C"/>
    <w:rsid w:val="001D3273"/>
    <w:rsid w:val="001D37C4"/>
    <w:rsid w:val="001D3B3B"/>
    <w:rsid w:val="001D4065"/>
    <w:rsid w:val="001D46B5"/>
    <w:rsid w:val="001D4C83"/>
    <w:rsid w:val="001D4F4E"/>
    <w:rsid w:val="001D5282"/>
    <w:rsid w:val="001D6141"/>
    <w:rsid w:val="001D6E94"/>
    <w:rsid w:val="001D7398"/>
    <w:rsid w:val="001D7C56"/>
    <w:rsid w:val="001E0BDA"/>
    <w:rsid w:val="001E148F"/>
    <w:rsid w:val="001E15ED"/>
    <w:rsid w:val="001E1C8F"/>
    <w:rsid w:val="001E1D80"/>
    <w:rsid w:val="001E2A8B"/>
    <w:rsid w:val="001E3215"/>
    <w:rsid w:val="001E451B"/>
    <w:rsid w:val="001E535D"/>
    <w:rsid w:val="001E54BB"/>
    <w:rsid w:val="001E56DB"/>
    <w:rsid w:val="001E5B08"/>
    <w:rsid w:val="001E5BE3"/>
    <w:rsid w:val="001E63FF"/>
    <w:rsid w:val="001E65D6"/>
    <w:rsid w:val="001E76D7"/>
    <w:rsid w:val="001F02C1"/>
    <w:rsid w:val="001F054C"/>
    <w:rsid w:val="001F1393"/>
    <w:rsid w:val="001F1616"/>
    <w:rsid w:val="001F18FB"/>
    <w:rsid w:val="001F2A8C"/>
    <w:rsid w:val="001F2BF2"/>
    <w:rsid w:val="001F390D"/>
    <w:rsid w:val="001F3982"/>
    <w:rsid w:val="001F4251"/>
    <w:rsid w:val="001F43C1"/>
    <w:rsid w:val="001F507E"/>
    <w:rsid w:val="001F54E8"/>
    <w:rsid w:val="001F654C"/>
    <w:rsid w:val="001F7D6C"/>
    <w:rsid w:val="001F7F9C"/>
    <w:rsid w:val="00200D39"/>
    <w:rsid w:val="00200ECD"/>
    <w:rsid w:val="002014E0"/>
    <w:rsid w:val="00202FD5"/>
    <w:rsid w:val="0020305A"/>
    <w:rsid w:val="00203368"/>
    <w:rsid w:val="00204115"/>
    <w:rsid w:val="00205740"/>
    <w:rsid w:val="00206499"/>
    <w:rsid w:val="0020687C"/>
    <w:rsid w:val="00207D07"/>
    <w:rsid w:val="00210834"/>
    <w:rsid w:val="00210CA9"/>
    <w:rsid w:val="002110A4"/>
    <w:rsid w:val="00211263"/>
    <w:rsid w:val="002112A5"/>
    <w:rsid w:val="002121D6"/>
    <w:rsid w:val="002137B6"/>
    <w:rsid w:val="00213841"/>
    <w:rsid w:val="00213AA7"/>
    <w:rsid w:val="00213D8F"/>
    <w:rsid w:val="00215795"/>
    <w:rsid w:val="00216E31"/>
    <w:rsid w:val="00217C40"/>
    <w:rsid w:val="002204DC"/>
    <w:rsid w:val="00221E7C"/>
    <w:rsid w:val="002222C4"/>
    <w:rsid w:val="002227C1"/>
    <w:rsid w:val="00222ED2"/>
    <w:rsid w:val="00223572"/>
    <w:rsid w:val="002236DD"/>
    <w:rsid w:val="00223A13"/>
    <w:rsid w:val="002244ED"/>
    <w:rsid w:val="00225378"/>
    <w:rsid w:val="002257F2"/>
    <w:rsid w:val="00225ECF"/>
    <w:rsid w:val="002264AA"/>
    <w:rsid w:val="002277AF"/>
    <w:rsid w:val="00230D87"/>
    <w:rsid w:val="00230E98"/>
    <w:rsid w:val="0023113D"/>
    <w:rsid w:val="0023152A"/>
    <w:rsid w:val="00233AB2"/>
    <w:rsid w:val="00236115"/>
    <w:rsid w:val="00236539"/>
    <w:rsid w:val="00240379"/>
    <w:rsid w:val="00240AC4"/>
    <w:rsid w:val="00240C36"/>
    <w:rsid w:val="00240C7B"/>
    <w:rsid w:val="002419F7"/>
    <w:rsid w:val="00241A67"/>
    <w:rsid w:val="00241DA6"/>
    <w:rsid w:val="00241F05"/>
    <w:rsid w:val="00242884"/>
    <w:rsid w:val="00242CBD"/>
    <w:rsid w:val="00242F1A"/>
    <w:rsid w:val="00243A6F"/>
    <w:rsid w:val="00243AC9"/>
    <w:rsid w:val="0024449D"/>
    <w:rsid w:val="002445F3"/>
    <w:rsid w:val="00244F52"/>
    <w:rsid w:val="00245157"/>
    <w:rsid w:val="00245361"/>
    <w:rsid w:val="002462F7"/>
    <w:rsid w:val="00246984"/>
    <w:rsid w:val="002470F3"/>
    <w:rsid w:val="0024785E"/>
    <w:rsid w:val="00250047"/>
    <w:rsid w:val="00250CF8"/>
    <w:rsid w:val="00251169"/>
    <w:rsid w:val="002532DA"/>
    <w:rsid w:val="00253549"/>
    <w:rsid w:val="002541E0"/>
    <w:rsid w:val="002554AA"/>
    <w:rsid w:val="00255B8D"/>
    <w:rsid w:val="002564F3"/>
    <w:rsid w:val="00257374"/>
    <w:rsid w:val="0026045C"/>
    <w:rsid w:val="00260A4D"/>
    <w:rsid w:val="0026143C"/>
    <w:rsid w:val="002619FE"/>
    <w:rsid w:val="00261D8F"/>
    <w:rsid w:val="00262233"/>
    <w:rsid w:val="00262761"/>
    <w:rsid w:val="0026324A"/>
    <w:rsid w:val="0026328B"/>
    <w:rsid w:val="00263B21"/>
    <w:rsid w:val="00263F85"/>
    <w:rsid w:val="00264386"/>
    <w:rsid w:val="002655B6"/>
    <w:rsid w:val="002658C0"/>
    <w:rsid w:val="00265D73"/>
    <w:rsid w:val="002669E6"/>
    <w:rsid w:val="00266C3C"/>
    <w:rsid w:val="002707E2"/>
    <w:rsid w:val="00270B66"/>
    <w:rsid w:val="002713D3"/>
    <w:rsid w:val="00272511"/>
    <w:rsid w:val="00273763"/>
    <w:rsid w:val="0027434D"/>
    <w:rsid w:val="00274FAC"/>
    <w:rsid w:val="0027551C"/>
    <w:rsid w:val="00275D36"/>
    <w:rsid w:val="00275D65"/>
    <w:rsid w:val="00275E79"/>
    <w:rsid w:val="002766EC"/>
    <w:rsid w:val="002767A0"/>
    <w:rsid w:val="00277910"/>
    <w:rsid w:val="00280443"/>
    <w:rsid w:val="00281287"/>
    <w:rsid w:val="00282A84"/>
    <w:rsid w:val="00282AD8"/>
    <w:rsid w:val="00283540"/>
    <w:rsid w:val="00283838"/>
    <w:rsid w:val="00283B6A"/>
    <w:rsid w:val="002841EB"/>
    <w:rsid w:val="00284A2A"/>
    <w:rsid w:val="00285475"/>
    <w:rsid w:val="0028553A"/>
    <w:rsid w:val="00285B03"/>
    <w:rsid w:val="00285DB7"/>
    <w:rsid w:val="00286BE0"/>
    <w:rsid w:val="00286C03"/>
    <w:rsid w:val="00286F0D"/>
    <w:rsid w:val="00287242"/>
    <w:rsid w:val="0029168F"/>
    <w:rsid w:val="00291A23"/>
    <w:rsid w:val="00291A84"/>
    <w:rsid w:val="002920C6"/>
    <w:rsid w:val="002920DE"/>
    <w:rsid w:val="00292919"/>
    <w:rsid w:val="00293CCF"/>
    <w:rsid w:val="00293DB0"/>
    <w:rsid w:val="0029576C"/>
    <w:rsid w:val="00295CD6"/>
    <w:rsid w:val="00295D1D"/>
    <w:rsid w:val="00296CB1"/>
    <w:rsid w:val="00297D44"/>
    <w:rsid w:val="002A0384"/>
    <w:rsid w:val="002A0387"/>
    <w:rsid w:val="002A0475"/>
    <w:rsid w:val="002A0C55"/>
    <w:rsid w:val="002A46AC"/>
    <w:rsid w:val="002A4EF1"/>
    <w:rsid w:val="002A50A0"/>
    <w:rsid w:val="002A552B"/>
    <w:rsid w:val="002A5F99"/>
    <w:rsid w:val="002A634A"/>
    <w:rsid w:val="002B03C8"/>
    <w:rsid w:val="002B174F"/>
    <w:rsid w:val="002B1AF5"/>
    <w:rsid w:val="002B2A2F"/>
    <w:rsid w:val="002B3334"/>
    <w:rsid w:val="002B3C3F"/>
    <w:rsid w:val="002B3CC4"/>
    <w:rsid w:val="002B4AA8"/>
    <w:rsid w:val="002B4AF3"/>
    <w:rsid w:val="002B59CF"/>
    <w:rsid w:val="002B7ADD"/>
    <w:rsid w:val="002C08EF"/>
    <w:rsid w:val="002C0C5C"/>
    <w:rsid w:val="002C120C"/>
    <w:rsid w:val="002C130B"/>
    <w:rsid w:val="002C16A7"/>
    <w:rsid w:val="002C1E80"/>
    <w:rsid w:val="002C2077"/>
    <w:rsid w:val="002C224C"/>
    <w:rsid w:val="002C2D95"/>
    <w:rsid w:val="002C3515"/>
    <w:rsid w:val="002C4A2E"/>
    <w:rsid w:val="002C4DC0"/>
    <w:rsid w:val="002C5FD8"/>
    <w:rsid w:val="002C6152"/>
    <w:rsid w:val="002C69A3"/>
    <w:rsid w:val="002C7774"/>
    <w:rsid w:val="002D073B"/>
    <w:rsid w:val="002D0978"/>
    <w:rsid w:val="002D1456"/>
    <w:rsid w:val="002D1696"/>
    <w:rsid w:val="002D1DED"/>
    <w:rsid w:val="002D207A"/>
    <w:rsid w:val="002D2791"/>
    <w:rsid w:val="002D338F"/>
    <w:rsid w:val="002D3713"/>
    <w:rsid w:val="002D3CA2"/>
    <w:rsid w:val="002D3E14"/>
    <w:rsid w:val="002D3F23"/>
    <w:rsid w:val="002D4158"/>
    <w:rsid w:val="002D423C"/>
    <w:rsid w:val="002D43D6"/>
    <w:rsid w:val="002D54D5"/>
    <w:rsid w:val="002D58C5"/>
    <w:rsid w:val="002D5C78"/>
    <w:rsid w:val="002D6503"/>
    <w:rsid w:val="002D6E97"/>
    <w:rsid w:val="002E04E3"/>
    <w:rsid w:val="002E130C"/>
    <w:rsid w:val="002E1A09"/>
    <w:rsid w:val="002E257E"/>
    <w:rsid w:val="002E261D"/>
    <w:rsid w:val="002E4066"/>
    <w:rsid w:val="002E4B82"/>
    <w:rsid w:val="002E4C62"/>
    <w:rsid w:val="002E4E1C"/>
    <w:rsid w:val="002E50F0"/>
    <w:rsid w:val="002E544B"/>
    <w:rsid w:val="002E5B40"/>
    <w:rsid w:val="002E5B9B"/>
    <w:rsid w:val="002E605B"/>
    <w:rsid w:val="002E670F"/>
    <w:rsid w:val="002E6EFB"/>
    <w:rsid w:val="002E72C0"/>
    <w:rsid w:val="002E7AA7"/>
    <w:rsid w:val="002F01D0"/>
    <w:rsid w:val="002F0D00"/>
    <w:rsid w:val="002F127A"/>
    <w:rsid w:val="002F14B5"/>
    <w:rsid w:val="002F18CC"/>
    <w:rsid w:val="002F2F09"/>
    <w:rsid w:val="002F2F36"/>
    <w:rsid w:val="002F2F88"/>
    <w:rsid w:val="002F2F8F"/>
    <w:rsid w:val="002F384B"/>
    <w:rsid w:val="002F40BE"/>
    <w:rsid w:val="002F4986"/>
    <w:rsid w:val="002F4E9A"/>
    <w:rsid w:val="002F4EF3"/>
    <w:rsid w:val="002F7650"/>
    <w:rsid w:val="00300E8F"/>
    <w:rsid w:val="0030189B"/>
    <w:rsid w:val="003019DF"/>
    <w:rsid w:val="0030217F"/>
    <w:rsid w:val="0030229E"/>
    <w:rsid w:val="0030254C"/>
    <w:rsid w:val="00302DAD"/>
    <w:rsid w:val="003032FE"/>
    <w:rsid w:val="00303994"/>
    <w:rsid w:val="00304000"/>
    <w:rsid w:val="00304A44"/>
    <w:rsid w:val="003055B5"/>
    <w:rsid w:val="00305CDE"/>
    <w:rsid w:val="00305FE6"/>
    <w:rsid w:val="00306A87"/>
    <w:rsid w:val="00306B5F"/>
    <w:rsid w:val="00307FC9"/>
    <w:rsid w:val="00310061"/>
    <w:rsid w:val="003109C9"/>
    <w:rsid w:val="00311570"/>
    <w:rsid w:val="00311943"/>
    <w:rsid w:val="003133CC"/>
    <w:rsid w:val="003133EF"/>
    <w:rsid w:val="00313B69"/>
    <w:rsid w:val="00313F37"/>
    <w:rsid w:val="003146A8"/>
    <w:rsid w:val="00314989"/>
    <w:rsid w:val="003153FA"/>
    <w:rsid w:val="00315651"/>
    <w:rsid w:val="003158A0"/>
    <w:rsid w:val="00315B96"/>
    <w:rsid w:val="00315EED"/>
    <w:rsid w:val="0031749F"/>
    <w:rsid w:val="00317788"/>
    <w:rsid w:val="00317B41"/>
    <w:rsid w:val="00320618"/>
    <w:rsid w:val="00320ED1"/>
    <w:rsid w:val="00321385"/>
    <w:rsid w:val="00321B41"/>
    <w:rsid w:val="00321E1D"/>
    <w:rsid w:val="003223F4"/>
    <w:rsid w:val="0032246C"/>
    <w:rsid w:val="00322C65"/>
    <w:rsid w:val="00322DD4"/>
    <w:rsid w:val="0032317A"/>
    <w:rsid w:val="00323331"/>
    <w:rsid w:val="003234A0"/>
    <w:rsid w:val="00323594"/>
    <w:rsid w:val="0032366B"/>
    <w:rsid w:val="0032595E"/>
    <w:rsid w:val="00325A3E"/>
    <w:rsid w:val="003260B6"/>
    <w:rsid w:val="0032646C"/>
    <w:rsid w:val="00327066"/>
    <w:rsid w:val="003273C2"/>
    <w:rsid w:val="0032761B"/>
    <w:rsid w:val="003306AF"/>
    <w:rsid w:val="00330FB3"/>
    <w:rsid w:val="0033288B"/>
    <w:rsid w:val="00332B62"/>
    <w:rsid w:val="00332D20"/>
    <w:rsid w:val="003340B9"/>
    <w:rsid w:val="00334D7E"/>
    <w:rsid w:val="003375DC"/>
    <w:rsid w:val="00340164"/>
    <w:rsid w:val="0034054D"/>
    <w:rsid w:val="003420BF"/>
    <w:rsid w:val="00342937"/>
    <w:rsid w:val="003429C9"/>
    <w:rsid w:val="00342DBF"/>
    <w:rsid w:val="003442D0"/>
    <w:rsid w:val="00345423"/>
    <w:rsid w:val="00345C96"/>
    <w:rsid w:val="00345D07"/>
    <w:rsid w:val="00346086"/>
    <w:rsid w:val="0034637E"/>
    <w:rsid w:val="00346931"/>
    <w:rsid w:val="003474B6"/>
    <w:rsid w:val="003475D0"/>
    <w:rsid w:val="00347898"/>
    <w:rsid w:val="00347BC3"/>
    <w:rsid w:val="00347C2E"/>
    <w:rsid w:val="00350406"/>
    <w:rsid w:val="0035046F"/>
    <w:rsid w:val="00350516"/>
    <w:rsid w:val="00352488"/>
    <w:rsid w:val="00352786"/>
    <w:rsid w:val="0035287F"/>
    <w:rsid w:val="003535FC"/>
    <w:rsid w:val="0035447E"/>
    <w:rsid w:val="00354D62"/>
    <w:rsid w:val="00355457"/>
    <w:rsid w:val="0035603D"/>
    <w:rsid w:val="00356CEA"/>
    <w:rsid w:val="00356EE0"/>
    <w:rsid w:val="003571CA"/>
    <w:rsid w:val="00357485"/>
    <w:rsid w:val="00360023"/>
    <w:rsid w:val="00360393"/>
    <w:rsid w:val="003608A6"/>
    <w:rsid w:val="00360B1B"/>
    <w:rsid w:val="003611F9"/>
    <w:rsid w:val="0036220B"/>
    <w:rsid w:val="00362A8F"/>
    <w:rsid w:val="00363D35"/>
    <w:rsid w:val="0036439A"/>
    <w:rsid w:val="003647EC"/>
    <w:rsid w:val="00364AB1"/>
    <w:rsid w:val="00364AF6"/>
    <w:rsid w:val="0036509F"/>
    <w:rsid w:val="00365142"/>
    <w:rsid w:val="0036563F"/>
    <w:rsid w:val="00365F05"/>
    <w:rsid w:val="003664FC"/>
    <w:rsid w:val="00366C14"/>
    <w:rsid w:val="00366C9B"/>
    <w:rsid w:val="00367C2B"/>
    <w:rsid w:val="00370C19"/>
    <w:rsid w:val="00370E88"/>
    <w:rsid w:val="0037129A"/>
    <w:rsid w:val="00371AF2"/>
    <w:rsid w:val="003732C7"/>
    <w:rsid w:val="003748F6"/>
    <w:rsid w:val="0037493A"/>
    <w:rsid w:val="00374B7D"/>
    <w:rsid w:val="003754B2"/>
    <w:rsid w:val="0037652F"/>
    <w:rsid w:val="00376AFD"/>
    <w:rsid w:val="00376D5D"/>
    <w:rsid w:val="00376F76"/>
    <w:rsid w:val="0037704F"/>
    <w:rsid w:val="003776ED"/>
    <w:rsid w:val="003777A8"/>
    <w:rsid w:val="003801CE"/>
    <w:rsid w:val="00380570"/>
    <w:rsid w:val="0038189D"/>
    <w:rsid w:val="0038237D"/>
    <w:rsid w:val="00382E38"/>
    <w:rsid w:val="0038304E"/>
    <w:rsid w:val="00383277"/>
    <w:rsid w:val="00386017"/>
    <w:rsid w:val="003879A5"/>
    <w:rsid w:val="00390035"/>
    <w:rsid w:val="00390AF7"/>
    <w:rsid w:val="00391329"/>
    <w:rsid w:val="00391F51"/>
    <w:rsid w:val="0039263E"/>
    <w:rsid w:val="003927CC"/>
    <w:rsid w:val="00392B34"/>
    <w:rsid w:val="003930A2"/>
    <w:rsid w:val="0039496C"/>
    <w:rsid w:val="00396CC2"/>
    <w:rsid w:val="003977ED"/>
    <w:rsid w:val="003A0589"/>
    <w:rsid w:val="003A05B1"/>
    <w:rsid w:val="003A087C"/>
    <w:rsid w:val="003A1150"/>
    <w:rsid w:val="003A126B"/>
    <w:rsid w:val="003A2B9D"/>
    <w:rsid w:val="003A312D"/>
    <w:rsid w:val="003A3311"/>
    <w:rsid w:val="003A3810"/>
    <w:rsid w:val="003A3854"/>
    <w:rsid w:val="003A3CEB"/>
    <w:rsid w:val="003A4245"/>
    <w:rsid w:val="003A51C3"/>
    <w:rsid w:val="003A51CE"/>
    <w:rsid w:val="003A5C38"/>
    <w:rsid w:val="003A5CB9"/>
    <w:rsid w:val="003A685B"/>
    <w:rsid w:val="003A6A30"/>
    <w:rsid w:val="003A6A93"/>
    <w:rsid w:val="003A6AC6"/>
    <w:rsid w:val="003A7321"/>
    <w:rsid w:val="003A7A18"/>
    <w:rsid w:val="003A7B1F"/>
    <w:rsid w:val="003A7FB3"/>
    <w:rsid w:val="003B019B"/>
    <w:rsid w:val="003B025C"/>
    <w:rsid w:val="003B07F9"/>
    <w:rsid w:val="003B0CDC"/>
    <w:rsid w:val="003B192B"/>
    <w:rsid w:val="003B1C49"/>
    <w:rsid w:val="003B3EAA"/>
    <w:rsid w:val="003B3ECF"/>
    <w:rsid w:val="003B49F8"/>
    <w:rsid w:val="003B5597"/>
    <w:rsid w:val="003B5B6F"/>
    <w:rsid w:val="003B612B"/>
    <w:rsid w:val="003B65C1"/>
    <w:rsid w:val="003B662E"/>
    <w:rsid w:val="003B6962"/>
    <w:rsid w:val="003B69C8"/>
    <w:rsid w:val="003B7CA4"/>
    <w:rsid w:val="003B7D02"/>
    <w:rsid w:val="003B7F56"/>
    <w:rsid w:val="003C0D6C"/>
    <w:rsid w:val="003C0FDF"/>
    <w:rsid w:val="003C1C9D"/>
    <w:rsid w:val="003C1F69"/>
    <w:rsid w:val="003C2832"/>
    <w:rsid w:val="003C2843"/>
    <w:rsid w:val="003C3168"/>
    <w:rsid w:val="003C350A"/>
    <w:rsid w:val="003C385F"/>
    <w:rsid w:val="003C3992"/>
    <w:rsid w:val="003C3B8C"/>
    <w:rsid w:val="003C3F27"/>
    <w:rsid w:val="003C49DF"/>
    <w:rsid w:val="003C6AB8"/>
    <w:rsid w:val="003C72A4"/>
    <w:rsid w:val="003D09AD"/>
    <w:rsid w:val="003D1365"/>
    <w:rsid w:val="003D1EF6"/>
    <w:rsid w:val="003D2B92"/>
    <w:rsid w:val="003D30FD"/>
    <w:rsid w:val="003D4006"/>
    <w:rsid w:val="003D49FF"/>
    <w:rsid w:val="003D50F4"/>
    <w:rsid w:val="003D5259"/>
    <w:rsid w:val="003D546D"/>
    <w:rsid w:val="003D5634"/>
    <w:rsid w:val="003D5842"/>
    <w:rsid w:val="003D5B26"/>
    <w:rsid w:val="003D5BA2"/>
    <w:rsid w:val="003D6F53"/>
    <w:rsid w:val="003D7481"/>
    <w:rsid w:val="003D7600"/>
    <w:rsid w:val="003E0D4B"/>
    <w:rsid w:val="003E0F10"/>
    <w:rsid w:val="003E0F79"/>
    <w:rsid w:val="003E1A29"/>
    <w:rsid w:val="003E1FBA"/>
    <w:rsid w:val="003E37A7"/>
    <w:rsid w:val="003E4584"/>
    <w:rsid w:val="003E57CD"/>
    <w:rsid w:val="003E57D7"/>
    <w:rsid w:val="003E581B"/>
    <w:rsid w:val="003E5AA0"/>
    <w:rsid w:val="003E7898"/>
    <w:rsid w:val="003F0738"/>
    <w:rsid w:val="003F0A4F"/>
    <w:rsid w:val="003F0B19"/>
    <w:rsid w:val="003F0BC1"/>
    <w:rsid w:val="003F1986"/>
    <w:rsid w:val="003F1C81"/>
    <w:rsid w:val="003F21C4"/>
    <w:rsid w:val="003F2EAF"/>
    <w:rsid w:val="003F31FC"/>
    <w:rsid w:val="003F3C99"/>
    <w:rsid w:val="003F5E7F"/>
    <w:rsid w:val="003F5E83"/>
    <w:rsid w:val="003F5F2A"/>
    <w:rsid w:val="003F711C"/>
    <w:rsid w:val="00400809"/>
    <w:rsid w:val="0040185C"/>
    <w:rsid w:val="004019B6"/>
    <w:rsid w:val="00401C3A"/>
    <w:rsid w:val="00401CBF"/>
    <w:rsid w:val="00401DF8"/>
    <w:rsid w:val="004027A3"/>
    <w:rsid w:val="00402F27"/>
    <w:rsid w:val="004034CE"/>
    <w:rsid w:val="0040360E"/>
    <w:rsid w:val="00403904"/>
    <w:rsid w:val="004052F0"/>
    <w:rsid w:val="00405EA4"/>
    <w:rsid w:val="00406268"/>
    <w:rsid w:val="00406270"/>
    <w:rsid w:val="00406318"/>
    <w:rsid w:val="00406E61"/>
    <w:rsid w:val="004104D6"/>
    <w:rsid w:val="00410692"/>
    <w:rsid w:val="0041239B"/>
    <w:rsid w:val="00412A5C"/>
    <w:rsid w:val="00413539"/>
    <w:rsid w:val="00413742"/>
    <w:rsid w:val="00414061"/>
    <w:rsid w:val="004141E4"/>
    <w:rsid w:val="00414647"/>
    <w:rsid w:val="0041573D"/>
    <w:rsid w:val="00415B68"/>
    <w:rsid w:val="00415E28"/>
    <w:rsid w:val="00417035"/>
    <w:rsid w:val="00417310"/>
    <w:rsid w:val="00417C05"/>
    <w:rsid w:val="0042023A"/>
    <w:rsid w:val="004205C2"/>
    <w:rsid w:val="00421182"/>
    <w:rsid w:val="00422AFE"/>
    <w:rsid w:val="00423B2E"/>
    <w:rsid w:val="0042424A"/>
    <w:rsid w:val="0042435C"/>
    <w:rsid w:val="00424858"/>
    <w:rsid w:val="00424EE3"/>
    <w:rsid w:val="00425872"/>
    <w:rsid w:val="004304F1"/>
    <w:rsid w:val="004307F7"/>
    <w:rsid w:val="00430825"/>
    <w:rsid w:val="00431760"/>
    <w:rsid w:val="004319A5"/>
    <w:rsid w:val="00431DE4"/>
    <w:rsid w:val="00432296"/>
    <w:rsid w:val="00433B17"/>
    <w:rsid w:val="00433FD7"/>
    <w:rsid w:val="00434584"/>
    <w:rsid w:val="00434648"/>
    <w:rsid w:val="004347A4"/>
    <w:rsid w:val="0043481D"/>
    <w:rsid w:val="00434E63"/>
    <w:rsid w:val="00434EB5"/>
    <w:rsid w:val="004402A0"/>
    <w:rsid w:val="00440936"/>
    <w:rsid w:val="00440A93"/>
    <w:rsid w:val="00440C82"/>
    <w:rsid w:val="004413FB"/>
    <w:rsid w:val="0044152F"/>
    <w:rsid w:val="0044201B"/>
    <w:rsid w:val="004428E6"/>
    <w:rsid w:val="0044290E"/>
    <w:rsid w:val="00442FDE"/>
    <w:rsid w:val="0044376F"/>
    <w:rsid w:val="00444333"/>
    <w:rsid w:val="0044457E"/>
    <w:rsid w:val="004449D3"/>
    <w:rsid w:val="00444BC5"/>
    <w:rsid w:val="00444DBF"/>
    <w:rsid w:val="004459BA"/>
    <w:rsid w:val="00445DE8"/>
    <w:rsid w:val="0044661A"/>
    <w:rsid w:val="00446C0E"/>
    <w:rsid w:val="00446CB2"/>
    <w:rsid w:val="00446FBB"/>
    <w:rsid w:val="004517D0"/>
    <w:rsid w:val="004520E1"/>
    <w:rsid w:val="004530AE"/>
    <w:rsid w:val="00453824"/>
    <w:rsid w:val="0045417C"/>
    <w:rsid w:val="004545E5"/>
    <w:rsid w:val="00454621"/>
    <w:rsid w:val="00454E6A"/>
    <w:rsid w:val="00456493"/>
    <w:rsid w:val="004569C0"/>
    <w:rsid w:val="00457130"/>
    <w:rsid w:val="00460040"/>
    <w:rsid w:val="0046030D"/>
    <w:rsid w:val="004603D9"/>
    <w:rsid w:val="0046066C"/>
    <w:rsid w:val="004610D9"/>
    <w:rsid w:val="00461119"/>
    <w:rsid w:val="00461EA0"/>
    <w:rsid w:val="0046214D"/>
    <w:rsid w:val="0046244E"/>
    <w:rsid w:val="00462B18"/>
    <w:rsid w:val="00463537"/>
    <w:rsid w:val="00463720"/>
    <w:rsid w:val="00463C81"/>
    <w:rsid w:val="004649C4"/>
    <w:rsid w:val="00464B76"/>
    <w:rsid w:val="00465B6E"/>
    <w:rsid w:val="00465DBA"/>
    <w:rsid w:val="00467A7B"/>
    <w:rsid w:val="0047038A"/>
    <w:rsid w:val="004705B5"/>
    <w:rsid w:val="004705C2"/>
    <w:rsid w:val="00470CA2"/>
    <w:rsid w:val="00470F01"/>
    <w:rsid w:val="004714B1"/>
    <w:rsid w:val="004721DF"/>
    <w:rsid w:val="0047231E"/>
    <w:rsid w:val="004728BA"/>
    <w:rsid w:val="00472F57"/>
    <w:rsid w:val="00473462"/>
    <w:rsid w:val="00473B60"/>
    <w:rsid w:val="00474270"/>
    <w:rsid w:val="00474286"/>
    <w:rsid w:val="00474292"/>
    <w:rsid w:val="004747F8"/>
    <w:rsid w:val="00475610"/>
    <w:rsid w:val="004758BA"/>
    <w:rsid w:val="004773E9"/>
    <w:rsid w:val="00480158"/>
    <w:rsid w:val="004802F7"/>
    <w:rsid w:val="004806D9"/>
    <w:rsid w:val="0048090E"/>
    <w:rsid w:val="0048096D"/>
    <w:rsid w:val="00480B77"/>
    <w:rsid w:val="00481410"/>
    <w:rsid w:val="004815CB"/>
    <w:rsid w:val="00481EED"/>
    <w:rsid w:val="00482851"/>
    <w:rsid w:val="00482CD8"/>
    <w:rsid w:val="00482D85"/>
    <w:rsid w:val="00482F24"/>
    <w:rsid w:val="00482FC5"/>
    <w:rsid w:val="004832E5"/>
    <w:rsid w:val="00483BC6"/>
    <w:rsid w:val="0048498F"/>
    <w:rsid w:val="00485477"/>
    <w:rsid w:val="0048564C"/>
    <w:rsid w:val="00486121"/>
    <w:rsid w:val="0049074F"/>
    <w:rsid w:val="00490982"/>
    <w:rsid w:val="00490D2F"/>
    <w:rsid w:val="00491297"/>
    <w:rsid w:val="0049147A"/>
    <w:rsid w:val="004919A5"/>
    <w:rsid w:val="00491C2E"/>
    <w:rsid w:val="00491E54"/>
    <w:rsid w:val="00491FE8"/>
    <w:rsid w:val="00492770"/>
    <w:rsid w:val="00492771"/>
    <w:rsid w:val="00492D18"/>
    <w:rsid w:val="004931F6"/>
    <w:rsid w:val="00493B81"/>
    <w:rsid w:val="00493EDE"/>
    <w:rsid w:val="004943ED"/>
    <w:rsid w:val="004944FD"/>
    <w:rsid w:val="004953CF"/>
    <w:rsid w:val="00495777"/>
    <w:rsid w:val="00497EE9"/>
    <w:rsid w:val="004A0AAD"/>
    <w:rsid w:val="004A203E"/>
    <w:rsid w:val="004A21F4"/>
    <w:rsid w:val="004A226A"/>
    <w:rsid w:val="004A22FE"/>
    <w:rsid w:val="004A230C"/>
    <w:rsid w:val="004A3121"/>
    <w:rsid w:val="004A3716"/>
    <w:rsid w:val="004A4013"/>
    <w:rsid w:val="004A429A"/>
    <w:rsid w:val="004A4632"/>
    <w:rsid w:val="004B0B09"/>
    <w:rsid w:val="004B15F6"/>
    <w:rsid w:val="004B214A"/>
    <w:rsid w:val="004B3027"/>
    <w:rsid w:val="004B3EB8"/>
    <w:rsid w:val="004B4249"/>
    <w:rsid w:val="004B464E"/>
    <w:rsid w:val="004B4E55"/>
    <w:rsid w:val="004B5024"/>
    <w:rsid w:val="004B58C0"/>
    <w:rsid w:val="004B65B9"/>
    <w:rsid w:val="004B6C17"/>
    <w:rsid w:val="004B72E4"/>
    <w:rsid w:val="004C0ECD"/>
    <w:rsid w:val="004C1072"/>
    <w:rsid w:val="004C15A6"/>
    <w:rsid w:val="004C171C"/>
    <w:rsid w:val="004C20DE"/>
    <w:rsid w:val="004C3EDA"/>
    <w:rsid w:val="004C48A1"/>
    <w:rsid w:val="004C4B46"/>
    <w:rsid w:val="004C4E87"/>
    <w:rsid w:val="004C5E19"/>
    <w:rsid w:val="004C5F3A"/>
    <w:rsid w:val="004C5F41"/>
    <w:rsid w:val="004C6844"/>
    <w:rsid w:val="004C72D5"/>
    <w:rsid w:val="004D06B4"/>
    <w:rsid w:val="004D0BED"/>
    <w:rsid w:val="004D140B"/>
    <w:rsid w:val="004D1B5A"/>
    <w:rsid w:val="004D22B8"/>
    <w:rsid w:val="004D292C"/>
    <w:rsid w:val="004D4069"/>
    <w:rsid w:val="004D479C"/>
    <w:rsid w:val="004D48E7"/>
    <w:rsid w:val="004D4AF1"/>
    <w:rsid w:val="004D5A8F"/>
    <w:rsid w:val="004D6820"/>
    <w:rsid w:val="004D6CF5"/>
    <w:rsid w:val="004D6FD4"/>
    <w:rsid w:val="004D7F15"/>
    <w:rsid w:val="004D7F3F"/>
    <w:rsid w:val="004E06F8"/>
    <w:rsid w:val="004E0E6C"/>
    <w:rsid w:val="004E0F53"/>
    <w:rsid w:val="004E1074"/>
    <w:rsid w:val="004E118D"/>
    <w:rsid w:val="004E1BFE"/>
    <w:rsid w:val="004E1FAD"/>
    <w:rsid w:val="004E2064"/>
    <w:rsid w:val="004E28D3"/>
    <w:rsid w:val="004E28E6"/>
    <w:rsid w:val="004E295C"/>
    <w:rsid w:val="004E2F28"/>
    <w:rsid w:val="004E300B"/>
    <w:rsid w:val="004E375D"/>
    <w:rsid w:val="004E3817"/>
    <w:rsid w:val="004E4B51"/>
    <w:rsid w:val="004E4F56"/>
    <w:rsid w:val="004E5544"/>
    <w:rsid w:val="004E5731"/>
    <w:rsid w:val="004E68FE"/>
    <w:rsid w:val="004E6926"/>
    <w:rsid w:val="004E71AB"/>
    <w:rsid w:val="004E7C70"/>
    <w:rsid w:val="004E7CD2"/>
    <w:rsid w:val="004E7FD0"/>
    <w:rsid w:val="004F0B30"/>
    <w:rsid w:val="004F0CEC"/>
    <w:rsid w:val="004F12EA"/>
    <w:rsid w:val="004F13BB"/>
    <w:rsid w:val="004F195E"/>
    <w:rsid w:val="004F1BCA"/>
    <w:rsid w:val="004F1C22"/>
    <w:rsid w:val="004F1C67"/>
    <w:rsid w:val="004F2491"/>
    <w:rsid w:val="004F29F9"/>
    <w:rsid w:val="004F30E2"/>
    <w:rsid w:val="004F3591"/>
    <w:rsid w:val="004F35DC"/>
    <w:rsid w:val="004F396B"/>
    <w:rsid w:val="004F3EEC"/>
    <w:rsid w:val="004F410D"/>
    <w:rsid w:val="004F476C"/>
    <w:rsid w:val="004F48B8"/>
    <w:rsid w:val="004F4A49"/>
    <w:rsid w:val="004F4C41"/>
    <w:rsid w:val="004F503F"/>
    <w:rsid w:val="004F51E5"/>
    <w:rsid w:val="004F5435"/>
    <w:rsid w:val="004F5D60"/>
    <w:rsid w:val="004F658A"/>
    <w:rsid w:val="004F68C3"/>
    <w:rsid w:val="004F6909"/>
    <w:rsid w:val="004F6AED"/>
    <w:rsid w:val="004F778F"/>
    <w:rsid w:val="004F7F01"/>
    <w:rsid w:val="00500C29"/>
    <w:rsid w:val="005014A3"/>
    <w:rsid w:val="00502077"/>
    <w:rsid w:val="00502694"/>
    <w:rsid w:val="00502A91"/>
    <w:rsid w:val="00503239"/>
    <w:rsid w:val="00503254"/>
    <w:rsid w:val="00503297"/>
    <w:rsid w:val="00503697"/>
    <w:rsid w:val="00504355"/>
    <w:rsid w:val="00505112"/>
    <w:rsid w:val="0050603B"/>
    <w:rsid w:val="00506ABE"/>
    <w:rsid w:val="00506DD0"/>
    <w:rsid w:val="00510482"/>
    <w:rsid w:val="00510F6C"/>
    <w:rsid w:val="005118D6"/>
    <w:rsid w:val="00511992"/>
    <w:rsid w:val="0051261A"/>
    <w:rsid w:val="005131CD"/>
    <w:rsid w:val="0051366A"/>
    <w:rsid w:val="00514B25"/>
    <w:rsid w:val="00515D3D"/>
    <w:rsid w:val="00516A60"/>
    <w:rsid w:val="00516F02"/>
    <w:rsid w:val="005173D5"/>
    <w:rsid w:val="00517DB4"/>
    <w:rsid w:val="00517DD4"/>
    <w:rsid w:val="00520950"/>
    <w:rsid w:val="00521570"/>
    <w:rsid w:val="00521D51"/>
    <w:rsid w:val="0052227E"/>
    <w:rsid w:val="0052230D"/>
    <w:rsid w:val="00523973"/>
    <w:rsid w:val="0052397A"/>
    <w:rsid w:val="00524DED"/>
    <w:rsid w:val="00525035"/>
    <w:rsid w:val="005254B0"/>
    <w:rsid w:val="005255C5"/>
    <w:rsid w:val="005267C8"/>
    <w:rsid w:val="00526D7B"/>
    <w:rsid w:val="005272CA"/>
    <w:rsid w:val="005272F7"/>
    <w:rsid w:val="005276BF"/>
    <w:rsid w:val="00527EBC"/>
    <w:rsid w:val="00530ACB"/>
    <w:rsid w:val="00530C3D"/>
    <w:rsid w:val="00532B1F"/>
    <w:rsid w:val="00533FD8"/>
    <w:rsid w:val="00534954"/>
    <w:rsid w:val="00534D9E"/>
    <w:rsid w:val="00535499"/>
    <w:rsid w:val="00535699"/>
    <w:rsid w:val="00535828"/>
    <w:rsid w:val="00535A46"/>
    <w:rsid w:val="00535E6E"/>
    <w:rsid w:val="0053653F"/>
    <w:rsid w:val="005372E6"/>
    <w:rsid w:val="005379AE"/>
    <w:rsid w:val="00537AC4"/>
    <w:rsid w:val="00537FB9"/>
    <w:rsid w:val="00540DCB"/>
    <w:rsid w:val="00541490"/>
    <w:rsid w:val="00542B2F"/>
    <w:rsid w:val="00543289"/>
    <w:rsid w:val="00543482"/>
    <w:rsid w:val="00544ABD"/>
    <w:rsid w:val="00545488"/>
    <w:rsid w:val="005456B6"/>
    <w:rsid w:val="00545793"/>
    <w:rsid w:val="00545F5D"/>
    <w:rsid w:val="00546186"/>
    <w:rsid w:val="00547672"/>
    <w:rsid w:val="0055053F"/>
    <w:rsid w:val="005505D5"/>
    <w:rsid w:val="0055079B"/>
    <w:rsid w:val="00550B51"/>
    <w:rsid w:val="0055124B"/>
    <w:rsid w:val="0055134C"/>
    <w:rsid w:val="00551587"/>
    <w:rsid w:val="00551AB6"/>
    <w:rsid w:val="0055211D"/>
    <w:rsid w:val="00552CE2"/>
    <w:rsid w:val="00554D2A"/>
    <w:rsid w:val="00555755"/>
    <w:rsid w:val="00555906"/>
    <w:rsid w:val="00555D4A"/>
    <w:rsid w:val="00556D5E"/>
    <w:rsid w:val="00556E3A"/>
    <w:rsid w:val="0055739F"/>
    <w:rsid w:val="00557701"/>
    <w:rsid w:val="00562EFB"/>
    <w:rsid w:val="0056315A"/>
    <w:rsid w:val="00563192"/>
    <w:rsid w:val="00563878"/>
    <w:rsid w:val="00563C61"/>
    <w:rsid w:val="00563E78"/>
    <w:rsid w:val="00564215"/>
    <w:rsid w:val="005651B6"/>
    <w:rsid w:val="00566F0A"/>
    <w:rsid w:val="00567310"/>
    <w:rsid w:val="005709D8"/>
    <w:rsid w:val="00570EF9"/>
    <w:rsid w:val="005719E8"/>
    <w:rsid w:val="005724AA"/>
    <w:rsid w:val="005725B4"/>
    <w:rsid w:val="00572E97"/>
    <w:rsid w:val="005734D2"/>
    <w:rsid w:val="005748F1"/>
    <w:rsid w:val="00574C95"/>
    <w:rsid w:val="00576805"/>
    <w:rsid w:val="005776E5"/>
    <w:rsid w:val="0057775D"/>
    <w:rsid w:val="005777EB"/>
    <w:rsid w:val="0058025D"/>
    <w:rsid w:val="005803A0"/>
    <w:rsid w:val="005804AA"/>
    <w:rsid w:val="0058097B"/>
    <w:rsid w:val="00581525"/>
    <w:rsid w:val="0058167E"/>
    <w:rsid w:val="005824F9"/>
    <w:rsid w:val="005828B0"/>
    <w:rsid w:val="00582904"/>
    <w:rsid w:val="005835EA"/>
    <w:rsid w:val="0058396F"/>
    <w:rsid w:val="005849B1"/>
    <w:rsid w:val="00584EF2"/>
    <w:rsid w:val="0058639A"/>
    <w:rsid w:val="0058698A"/>
    <w:rsid w:val="005876F4"/>
    <w:rsid w:val="00587B09"/>
    <w:rsid w:val="0059030E"/>
    <w:rsid w:val="005908A6"/>
    <w:rsid w:val="005912BF"/>
    <w:rsid w:val="00592543"/>
    <w:rsid w:val="005927D5"/>
    <w:rsid w:val="005931FC"/>
    <w:rsid w:val="00593654"/>
    <w:rsid w:val="0059371E"/>
    <w:rsid w:val="00593759"/>
    <w:rsid w:val="005937BC"/>
    <w:rsid w:val="0059416F"/>
    <w:rsid w:val="005942C5"/>
    <w:rsid w:val="0059475A"/>
    <w:rsid w:val="00594945"/>
    <w:rsid w:val="0059526C"/>
    <w:rsid w:val="005955E3"/>
    <w:rsid w:val="00595D0D"/>
    <w:rsid w:val="00596419"/>
    <w:rsid w:val="00596ABA"/>
    <w:rsid w:val="0059707F"/>
    <w:rsid w:val="005977E7"/>
    <w:rsid w:val="005A06D8"/>
    <w:rsid w:val="005A0A79"/>
    <w:rsid w:val="005A0E3A"/>
    <w:rsid w:val="005A188B"/>
    <w:rsid w:val="005A297D"/>
    <w:rsid w:val="005A3FB6"/>
    <w:rsid w:val="005A41FE"/>
    <w:rsid w:val="005A42AB"/>
    <w:rsid w:val="005A72D3"/>
    <w:rsid w:val="005A742E"/>
    <w:rsid w:val="005A7430"/>
    <w:rsid w:val="005B08D1"/>
    <w:rsid w:val="005B09B9"/>
    <w:rsid w:val="005B119F"/>
    <w:rsid w:val="005B1F9B"/>
    <w:rsid w:val="005B2459"/>
    <w:rsid w:val="005B24BE"/>
    <w:rsid w:val="005B298E"/>
    <w:rsid w:val="005B2D82"/>
    <w:rsid w:val="005B2E3B"/>
    <w:rsid w:val="005B31E9"/>
    <w:rsid w:val="005B3D13"/>
    <w:rsid w:val="005B4214"/>
    <w:rsid w:val="005B4418"/>
    <w:rsid w:val="005B511D"/>
    <w:rsid w:val="005B6056"/>
    <w:rsid w:val="005B63E3"/>
    <w:rsid w:val="005B6945"/>
    <w:rsid w:val="005B73FC"/>
    <w:rsid w:val="005B76A1"/>
    <w:rsid w:val="005B7F44"/>
    <w:rsid w:val="005C0041"/>
    <w:rsid w:val="005C079D"/>
    <w:rsid w:val="005C0BB3"/>
    <w:rsid w:val="005C0DE7"/>
    <w:rsid w:val="005C108F"/>
    <w:rsid w:val="005C18C1"/>
    <w:rsid w:val="005C2763"/>
    <w:rsid w:val="005C4AF0"/>
    <w:rsid w:val="005C4EFF"/>
    <w:rsid w:val="005C505D"/>
    <w:rsid w:val="005C5B1A"/>
    <w:rsid w:val="005C5DAE"/>
    <w:rsid w:val="005C61EF"/>
    <w:rsid w:val="005C65AA"/>
    <w:rsid w:val="005C67A2"/>
    <w:rsid w:val="005C68CE"/>
    <w:rsid w:val="005C6BFF"/>
    <w:rsid w:val="005C7702"/>
    <w:rsid w:val="005C7E9A"/>
    <w:rsid w:val="005D0655"/>
    <w:rsid w:val="005D06F3"/>
    <w:rsid w:val="005D1C31"/>
    <w:rsid w:val="005D2044"/>
    <w:rsid w:val="005D2144"/>
    <w:rsid w:val="005D23D3"/>
    <w:rsid w:val="005D2F3D"/>
    <w:rsid w:val="005D34DE"/>
    <w:rsid w:val="005D391D"/>
    <w:rsid w:val="005D438B"/>
    <w:rsid w:val="005D4603"/>
    <w:rsid w:val="005D5055"/>
    <w:rsid w:val="005D56FC"/>
    <w:rsid w:val="005D58C6"/>
    <w:rsid w:val="005D613C"/>
    <w:rsid w:val="005D63A7"/>
    <w:rsid w:val="005D6929"/>
    <w:rsid w:val="005D6A75"/>
    <w:rsid w:val="005D6AAC"/>
    <w:rsid w:val="005D79D4"/>
    <w:rsid w:val="005E0256"/>
    <w:rsid w:val="005E07A2"/>
    <w:rsid w:val="005E0B47"/>
    <w:rsid w:val="005E16D1"/>
    <w:rsid w:val="005E1BA4"/>
    <w:rsid w:val="005E1E6E"/>
    <w:rsid w:val="005E1E9E"/>
    <w:rsid w:val="005E1F0A"/>
    <w:rsid w:val="005E2CAA"/>
    <w:rsid w:val="005E3C5E"/>
    <w:rsid w:val="005E40F5"/>
    <w:rsid w:val="005E4E8A"/>
    <w:rsid w:val="005E59B6"/>
    <w:rsid w:val="005E6031"/>
    <w:rsid w:val="005E6CB3"/>
    <w:rsid w:val="005E735C"/>
    <w:rsid w:val="005E7421"/>
    <w:rsid w:val="005E7679"/>
    <w:rsid w:val="005E7AFC"/>
    <w:rsid w:val="005F00BC"/>
    <w:rsid w:val="005F03BC"/>
    <w:rsid w:val="005F0526"/>
    <w:rsid w:val="005F0621"/>
    <w:rsid w:val="005F0E1A"/>
    <w:rsid w:val="005F2392"/>
    <w:rsid w:val="005F2AA8"/>
    <w:rsid w:val="005F3426"/>
    <w:rsid w:val="005F393B"/>
    <w:rsid w:val="005F39AC"/>
    <w:rsid w:val="005F521E"/>
    <w:rsid w:val="005F5768"/>
    <w:rsid w:val="005F5DE1"/>
    <w:rsid w:val="005F5EB1"/>
    <w:rsid w:val="005F76D8"/>
    <w:rsid w:val="005F7C71"/>
    <w:rsid w:val="006002F7"/>
    <w:rsid w:val="00600714"/>
    <w:rsid w:val="00600A18"/>
    <w:rsid w:val="00600A2A"/>
    <w:rsid w:val="00600DBA"/>
    <w:rsid w:val="00602513"/>
    <w:rsid w:val="00602CDD"/>
    <w:rsid w:val="0060312D"/>
    <w:rsid w:val="00603665"/>
    <w:rsid w:val="00603C4F"/>
    <w:rsid w:val="00603F04"/>
    <w:rsid w:val="00604619"/>
    <w:rsid w:val="006048E9"/>
    <w:rsid w:val="00604D4D"/>
    <w:rsid w:val="0060588F"/>
    <w:rsid w:val="006059DB"/>
    <w:rsid w:val="00606321"/>
    <w:rsid w:val="0060645D"/>
    <w:rsid w:val="006078AB"/>
    <w:rsid w:val="006078D4"/>
    <w:rsid w:val="00607D78"/>
    <w:rsid w:val="00607EC5"/>
    <w:rsid w:val="00610670"/>
    <w:rsid w:val="00611016"/>
    <w:rsid w:val="006112D2"/>
    <w:rsid w:val="006113A1"/>
    <w:rsid w:val="00611734"/>
    <w:rsid w:val="006132BA"/>
    <w:rsid w:val="00613622"/>
    <w:rsid w:val="00613799"/>
    <w:rsid w:val="00615719"/>
    <w:rsid w:val="00616BB1"/>
    <w:rsid w:val="00616C54"/>
    <w:rsid w:val="00617771"/>
    <w:rsid w:val="006179BD"/>
    <w:rsid w:val="00617AF3"/>
    <w:rsid w:val="00620BC1"/>
    <w:rsid w:val="00620C15"/>
    <w:rsid w:val="00620D63"/>
    <w:rsid w:val="0062153A"/>
    <w:rsid w:val="0062262C"/>
    <w:rsid w:val="00622C55"/>
    <w:rsid w:val="00622DCD"/>
    <w:rsid w:val="00623332"/>
    <w:rsid w:val="00624575"/>
    <w:rsid w:val="00624A85"/>
    <w:rsid w:val="006256C0"/>
    <w:rsid w:val="006263B7"/>
    <w:rsid w:val="00626439"/>
    <w:rsid w:val="00626E7C"/>
    <w:rsid w:val="00627B0B"/>
    <w:rsid w:val="0063025A"/>
    <w:rsid w:val="00630287"/>
    <w:rsid w:val="0063103F"/>
    <w:rsid w:val="0063108B"/>
    <w:rsid w:val="006310B4"/>
    <w:rsid w:val="00633CC6"/>
    <w:rsid w:val="00634103"/>
    <w:rsid w:val="0063492D"/>
    <w:rsid w:val="00634959"/>
    <w:rsid w:val="00634BC6"/>
    <w:rsid w:val="006352CA"/>
    <w:rsid w:val="006360BD"/>
    <w:rsid w:val="0063718A"/>
    <w:rsid w:val="00637194"/>
    <w:rsid w:val="00637303"/>
    <w:rsid w:val="00637335"/>
    <w:rsid w:val="00637582"/>
    <w:rsid w:val="00637686"/>
    <w:rsid w:val="00637C18"/>
    <w:rsid w:val="00637FF2"/>
    <w:rsid w:val="00637FF8"/>
    <w:rsid w:val="00640747"/>
    <w:rsid w:val="00640F8E"/>
    <w:rsid w:val="0064152F"/>
    <w:rsid w:val="0064167E"/>
    <w:rsid w:val="00641875"/>
    <w:rsid w:val="00642DC5"/>
    <w:rsid w:val="00642E3F"/>
    <w:rsid w:val="00643AB4"/>
    <w:rsid w:val="00643B78"/>
    <w:rsid w:val="00644174"/>
    <w:rsid w:val="006449A2"/>
    <w:rsid w:val="00644A41"/>
    <w:rsid w:val="00646277"/>
    <w:rsid w:val="006462E7"/>
    <w:rsid w:val="006463D3"/>
    <w:rsid w:val="0064667E"/>
    <w:rsid w:val="00646832"/>
    <w:rsid w:val="00646AD0"/>
    <w:rsid w:val="00647734"/>
    <w:rsid w:val="00647B61"/>
    <w:rsid w:val="00647FA7"/>
    <w:rsid w:val="00650E00"/>
    <w:rsid w:val="00652B12"/>
    <w:rsid w:val="00652FFE"/>
    <w:rsid w:val="006536D7"/>
    <w:rsid w:val="0065420E"/>
    <w:rsid w:val="0065486C"/>
    <w:rsid w:val="006551AF"/>
    <w:rsid w:val="006568AA"/>
    <w:rsid w:val="00656D31"/>
    <w:rsid w:val="00656DE5"/>
    <w:rsid w:val="0065741B"/>
    <w:rsid w:val="006611E3"/>
    <w:rsid w:val="00661FE1"/>
    <w:rsid w:val="0066250A"/>
    <w:rsid w:val="00662DA2"/>
    <w:rsid w:val="00662DD7"/>
    <w:rsid w:val="00662F36"/>
    <w:rsid w:val="00662FDB"/>
    <w:rsid w:val="00663015"/>
    <w:rsid w:val="006638C5"/>
    <w:rsid w:val="00664553"/>
    <w:rsid w:val="00664586"/>
    <w:rsid w:val="00664867"/>
    <w:rsid w:val="0066572A"/>
    <w:rsid w:val="0066681F"/>
    <w:rsid w:val="006669E0"/>
    <w:rsid w:val="0066740F"/>
    <w:rsid w:val="006678F9"/>
    <w:rsid w:val="00667A07"/>
    <w:rsid w:val="00670641"/>
    <w:rsid w:val="006714B7"/>
    <w:rsid w:val="006714F9"/>
    <w:rsid w:val="00671AC4"/>
    <w:rsid w:val="00671C13"/>
    <w:rsid w:val="00672887"/>
    <w:rsid w:val="006728EA"/>
    <w:rsid w:val="00672A07"/>
    <w:rsid w:val="00672B48"/>
    <w:rsid w:val="00672F27"/>
    <w:rsid w:val="00673C7D"/>
    <w:rsid w:val="00674120"/>
    <w:rsid w:val="00674256"/>
    <w:rsid w:val="00675DC7"/>
    <w:rsid w:val="00676C35"/>
    <w:rsid w:val="0067741B"/>
    <w:rsid w:val="00677830"/>
    <w:rsid w:val="00680204"/>
    <w:rsid w:val="00680692"/>
    <w:rsid w:val="00681046"/>
    <w:rsid w:val="006812F8"/>
    <w:rsid w:val="0068158A"/>
    <w:rsid w:val="00681BC6"/>
    <w:rsid w:val="00681FB3"/>
    <w:rsid w:val="00682494"/>
    <w:rsid w:val="0068370D"/>
    <w:rsid w:val="006839B3"/>
    <w:rsid w:val="0068458E"/>
    <w:rsid w:val="00685AF7"/>
    <w:rsid w:val="00687103"/>
    <w:rsid w:val="00690926"/>
    <w:rsid w:val="00691018"/>
    <w:rsid w:val="006916D0"/>
    <w:rsid w:val="0069171A"/>
    <w:rsid w:val="0069190C"/>
    <w:rsid w:val="0069196D"/>
    <w:rsid w:val="006921AF"/>
    <w:rsid w:val="00692215"/>
    <w:rsid w:val="00692908"/>
    <w:rsid w:val="006962E0"/>
    <w:rsid w:val="00696C08"/>
    <w:rsid w:val="00696D3B"/>
    <w:rsid w:val="00697EC8"/>
    <w:rsid w:val="006A0251"/>
    <w:rsid w:val="006A0EF4"/>
    <w:rsid w:val="006A0F05"/>
    <w:rsid w:val="006A111E"/>
    <w:rsid w:val="006A1529"/>
    <w:rsid w:val="006A2197"/>
    <w:rsid w:val="006A2F3A"/>
    <w:rsid w:val="006A363D"/>
    <w:rsid w:val="006A42A3"/>
    <w:rsid w:val="006A4996"/>
    <w:rsid w:val="006A53E8"/>
    <w:rsid w:val="006A5CBC"/>
    <w:rsid w:val="006A62A9"/>
    <w:rsid w:val="006A6385"/>
    <w:rsid w:val="006A6686"/>
    <w:rsid w:val="006A679C"/>
    <w:rsid w:val="006A6866"/>
    <w:rsid w:val="006A6BDC"/>
    <w:rsid w:val="006A735A"/>
    <w:rsid w:val="006A77A5"/>
    <w:rsid w:val="006B0297"/>
    <w:rsid w:val="006B1608"/>
    <w:rsid w:val="006B26B0"/>
    <w:rsid w:val="006B3586"/>
    <w:rsid w:val="006B3C91"/>
    <w:rsid w:val="006B5A76"/>
    <w:rsid w:val="006B66A8"/>
    <w:rsid w:val="006B6BA4"/>
    <w:rsid w:val="006B6F29"/>
    <w:rsid w:val="006B73FB"/>
    <w:rsid w:val="006C00D4"/>
    <w:rsid w:val="006C1461"/>
    <w:rsid w:val="006C1BBF"/>
    <w:rsid w:val="006C22C9"/>
    <w:rsid w:val="006C2566"/>
    <w:rsid w:val="006C3ACF"/>
    <w:rsid w:val="006C511A"/>
    <w:rsid w:val="006C5A45"/>
    <w:rsid w:val="006C5AE7"/>
    <w:rsid w:val="006C64B3"/>
    <w:rsid w:val="006C6585"/>
    <w:rsid w:val="006D03B7"/>
    <w:rsid w:val="006D0DDA"/>
    <w:rsid w:val="006D1A5E"/>
    <w:rsid w:val="006D1D86"/>
    <w:rsid w:val="006D1F33"/>
    <w:rsid w:val="006D280C"/>
    <w:rsid w:val="006D29FD"/>
    <w:rsid w:val="006D2B48"/>
    <w:rsid w:val="006D2CAA"/>
    <w:rsid w:val="006D423F"/>
    <w:rsid w:val="006D4F36"/>
    <w:rsid w:val="006D5880"/>
    <w:rsid w:val="006D5E3D"/>
    <w:rsid w:val="006D5FF0"/>
    <w:rsid w:val="006D61F2"/>
    <w:rsid w:val="006D652E"/>
    <w:rsid w:val="006D709D"/>
    <w:rsid w:val="006D757C"/>
    <w:rsid w:val="006D7E09"/>
    <w:rsid w:val="006D7E79"/>
    <w:rsid w:val="006D7F78"/>
    <w:rsid w:val="006E0563"/>
    <w:rsid w:val="006E0994"/>
    <w:rsid w:val="006E155A"/>
    <w:rsid w:val="006E1FBD"/>
    <w:rsid w:val="006E247C"/>
    <w:rsid w:val="006E27AB"/>
    <w:rsid w:val="006E2FF9"/>
    <w:rsid w:val="006E315A"/>
    <w:rsid w:val="006E3194"/>
    <w:rsid w:val="006E32F5"/>
    <w:rsid w:val="006E33FE"/>
    <w:rsid w:val="006E4C09"/>
    <w:rsid w:val="006E5792"/>
    <w:rsid w:val="006E74CF"/>
    <w:rsid w:val="006F0904"/>
    <w:rsid w:val="006F158C"/>
    <w:rsid w:val="006F15CC"/>
    <w:rsid w:val="006F216D"/>
    <w:rsid w:val="006F2376"/>
    <w:rsid w:val="006F26B3"/>
    <w:rsid w:val="006F290F"/>
    <w:rsid w:val="006F2BA3"/>
    <w:rsid w:val="006F2BF0"/>
    <w:rsid w:val="006F2CBE"/>
    <w:rsid w:val="006F2E66"/>
    <w:rsid w:val="006F302C"/>
    <w:rsid w:val="006F344E"/>
    <w:rsid w:val="006F3452"/>
    <w:rsid w:val="006F3453"/>
    <w:rsid w:val="006F354F"/>
    <w:rsid w:val="006F398E"/>
    <w:rsid w:val="006F3FBD"/>
    <w:rsid w:val="006F3FD2"/>
    <w:rsid w:val="006F4948"/>
    <w:rsid w:val="006F4CAD"/>
    <w:rsid w:val="006F4DF5"/>
    <w:rsid w:val="006F4EE2"/>
    <w:rsid w:val="006F4F53"/>
    <w:rsid w:val="006F5CB3"/>
    <w:rsid w:val="006F6198"/>
    <w:rsid w:val="006F6211"/>
    <w:rsid w:val="006F6996"/>
    <w:rsid w:val="006F6AC6"/>
    <w:rsid w:val="006F715C"/>
    <w:rsid w:val="006F7402"/>
    <w:rsid w:val="0070076F"/>
    <w:rsid w:val="007007DA"/>
    <w:rsid w:val="00702597"/>
    <w:rsid w:val="00702CCD"/>
    <w:rsid w:val="00702F10"/>
    <w:rsid w:val="00703102"/>
    <w:rsid w:val="007032B6"/>
    <w:rsid w:val="00703627"/>
    <w:rsid w:val="00703EDB"/>
    <w:rsid w:val="00704336"/>
    <w:rsid w:val="007046B2"/>
    <w:rsid w:val="007053E7"/>
    <w:rsid w:val="0070575E"/>
    <w:rsid w:val="0070598A"/>
    <w:rsid w:val="00706713"/>
    <w:rsid w:val="00706B45"/>
    <w:rsid w:val="007076CC"/>
    <w:rsid w:val="00707D6C"/>
    <w:rsid w:val="00710026"/>
    <w:rsid w:val="00710E70"/>
    <w:rsid w:val="0071277F"/>
    <w:rsid w:val="0071291E"/>
    <w:rsid w:val="0071355B"/>
    <w:rsid w:val="00713597"/>
    <w:rsid w:val="0071384C"/>
    <w:rsid w:val="007138B6"/>
    <w:rsid w:val="007140F1"/>
    <w:rsid w:val="007144A2"/>
    <w:rsid w:val="0071492E"/>
    <w:rsid w:val="007155B3"/>
    <w:rsid w:val="007158E5"/>
    <w:rsid w:val="00715F30"/>
    <w:rsid w:val="00716436"/>
    <w:rsid w:val="00716AB0"/>
    <w:rsid w:val="00717E22"/>
    <w:rsid w:val="007204E6"/>
    <w:rsid w:val="00720DC5"/>
    <w:rsid w:val="007212E6"/>
    <w:rsid w:val="00721451"/>
    <w:rsid w:val="0072146D"/>
    <w:rsid w:val="00721C48"/>
    <w:rsid w:val="00721DFA"/>
    <w:rsid w:val="00722D87"/>
    <w:rsid w:val="007237AD"/>
    <w:rsid w:val="00723B45"/>
    <w:rsid w:val="00723C54"/>
    <w:rsid w:val="00724682"/>
    <w:rsid w:val="00724958"/>
    <w:rsid w:val="00725C67"/>
    <w:rsid w:val="00725EBF"/>
    <w:rsid w:val="007265C1"/>
    <w:rsid w:val="007266AF"/>
    <w:rsid w:val="00727BC9"/>
    <w:rsid w:val="00730525"/>
    <w:rsid w:val="00730A28"/>
    <w:rsid w:val="00730EBC"/>
    <w:rsid w:val="007310FE"/>
    <w:rsid w:val="00731324"/>
    <w:rsid w:val="007316C2"/>
    <w:rsid w:val="00732062"/>
    <w:rsid w:val="007323D4"/>
    <w:rsid w:val="00733E1E"/>
    <w:rsid w:val="00734452"/>
    <w:rsid w:val="00734DC9"/>
    <w:rsid w:val="00734EDC"/>
    <w:rsid w:val="00735957"/>
    <w:rsid w:val="00736774"/>
    <w:rsid w:val="00736BA5"/>
    <w:rsid w:val="0073737F"/>
    <w:rsid w:val="0073738B"/>
    <w:rsid w:val="0074020D"/>
    <w:rsid w:val="00740B5B"/>
    <w:rsid w:val="00740CAB"/>
    <w:rsid w:val="00740FCE"/>
    <w:rsid w:val="00741F7C"/>
    <w:rsid w:val="00742801"/>
    <w:rsid w:val="0074288B"/>
    <w:rsid w:val="007434AB"/>
    <w:rsid w:val="00743966"/>
    <w:rsid w:val="0074580F"/>
    <w:rsid w:val="00745B56"/>
    <w:rsid w:val="00745F2B"/>
    <w:rsid w:val="0074617E"/>
    <w:rsid w:val="007465FF"/>
    <w:rsid w:val="0074660A"/>
    <w:rsid w:val="007469AC"/>
    <w:rsid w:val="00747733"/>
    <w:rsid w:val="00750125"/>
    <w:rsid w:val="00750739"/>
    <w:rsid w:val="00751093"/>
    <w:rsid w:val="00751812"/>
    <w:rsid w:val="00751906"/>
    <w:rsid w:val="00751B34"/>
    <w:rsid w:val="007523BF"/>
    <w:rsid w:val="007524F1"/>
    <w:rsid w:val="0075282A"/>
    <w:rsid w:val="0075305C"/>
    <w:rsid w:val="0075392F"/>
    <w:rsid w:val="00753C0F"/>
    <w:rsid w:val="00754420"/>
    <w:rsid w:val="0075547A"/>
    <w:rsid w:val="007554D5"/>
    <w:rsid w:val="00755BF0"/>
    <w:rsid w:val="0075637C"/>
    <w:rsid w:val="0075642A"/>
    <w:rsid w:val="00756C3E"/>
    <w:rsid w:val="00760141"/>
    <w:rsid w:val="0076096C"/>
    <w:rsid w:val="00760DF0"/>
    <w:rsid w:val="00760E6F"/>
    <w:rsid w:val="0076141B"/>
    <w:rsid w:val="00761A00"/>
    <w:rsid w:val="00761BF9"/>
    <w:rsid w:val="00762A82"/>
    <w:rsid w:val="00762AD2"/>
    <w:rsid w:val="00762BE6"/>
    <w:rsid w:val="00763316"/>
    <w:rsid w:val="00764063"/>
    <w:rsid w:val="00764104"/>
    <w:rsid w:val="00764281"/>
    <w:rsid w:val="007657C0"/>
    <w:rsid w:val="0076675A"/>
    <w:rsid w:val="00767937"/>
    <w:rsid w:val="00770051"/>
    <w:rsid w:val="00770595"/>
    <w:rsid w:val="00770882"/>
    <w:rsid w:val="00770E15"/>
    <w:rsid w:val="0077100E"/>
    <w:rsid w:val="00771140"/>
    <w:rsid w:val="007717AC"/>
    <w:rsid w:val="00772019"/>
    <w:rsid w:val="007722CA"/>
    <w:rsid w:val="00772788"/>
    <w:rsid w:val="00772E53"/>
    <w:rsid w:val="00772EDE"/>
    <w:rsid w:val="0077486C"/>
    <w:rsid w:val="00774A11"/>
    <w:rsid w:val="00774E17"/>
    <w:rsid w:val="00775DCC"/>
    <w:rsid w:val="0077645B"/>
    <w:rsid w:val="00776784"/>
    <w:rsid w:val="007767DE"/>
    <w:rsid w:val="00776B41"/>
    <w:rsid w:val="00776B83"/>
    <w:rsid w:val="00776F50"/>
    <w:rsid w:val="00777CB5"/>
    <w:rsid w:val="00777DB6"/>
    <w:rsid w:val="007804C4"/>
    <w:rsid w:val="00780D5E"/>
    <w:rsid w:val="0078120C"/>
    <w:rsid w:val="00782252"/>
    <w:rsid w:val="0078228D"/>
    <w:rsid w:val="00782443"/>
    <w:rsid w:val="00782F40"/>
    <w:rsid w:val="00784AD7"/>
    <w:rsid w:val="00785229"/>
    <w:rsid w:val="0078531C"/>
    <w:rsid w:val="00785597"/>
    <w:rsid w:val="00785B4F"/>
    <w:rsid w:val="00786DB3"/>
    <w:rsid w:val="00786DF0"/>
    <w:rsid w:val="0078713F"/>
    <w:rsid w:val="0078718B"/>
    <w:rsid w:val="00787976"/>
    <w:rsid w:val="0079013F"/>
    <w:rsid w:val="007901D5"/>
    <w:rsid w:val="00790406"/>
    <w:rsid w:val="007909EC"/>
    <w:rsid w:val="00791DDD"/>
    <w:rsid w:val="007923E7"/>
    <w:rsid w:val="00792D65"/>
    <w:rsid w:val="0079340C"/>
    <w:rsid w:val="00794A05"/>
    <w:rsid w:val="007960CA"/>
    <w:rsid w:val="007961EC"/>
    <w:rsid w:val="00796633"/>
    <w:rsid w:val="00797EA3"/>
    <w:rsid w:val="007A00D6"/>
    <w:rsid w:val="007A120D"/>
    <w:rsid w:val="007A236E"/>
    <w:rsid w:val="007A2724"/>
    <w:rsid w:val="007A41C5"/>
    <w:rsid w:val="007A4457"/>
    <w:rsid w:val="007A4740"/>
    <w:rsid w:val="007A5149"/>
    <w:rsid w:val="007A51B4"/>
    <w:rsid w:val="007A5751"/>
    <w:rsid w:val="007A67C8"/>
    <w:rsid w:val="007A6CEB"/>
    <w:rsid w:val="007A733C"/>
    <w:rsid w:val="007B014A"/>
    <w:rsid w:val="007B081B"/>
    <w:rsid w:val="007B0976"/>
    <w:rsid w:val="007B0A19"/>
    <w:rsid w:val="007B0BD5"/>
    <w:rsid w:val="007B108C"/>
    <w:rsid w:val="007B1628"/>
    <w:rsid w:val="007B1FD3"/>
    <w:rsid w:val="007B2885"/>
    <w:rsid w:val="007B3621"/>
    <w:rsid w:val="007B3B04"/>
    <w:rsid w:val="007B3B8C"/>
    <w:rsid w:val="007B462F"/>
    <w:rsid w:val="007B4EF3"/>
    <w:rsid w:val="007B5E89"/>
    <w:rsid w:val="007B6131"/>
    <w:rsid w:val="007B7014"/>
    <w:rsid w:val="007B70E1"/>
    <w:rsid w:val="007B7C3C"/>
    <w:rsid w:val="007C0085"/>
    <w:rsid w:val="007C0A2F"/>
    <w:rsid w:val="007C21A9"/>
    <w:rsid w:val="007C222D"/>
    <w:rsid w:val="007C2569"/>
    <w:rsid w:val="007C2F45"/>
    <w:rsid w:val="007C34FA"/>
    <w:rsid w:val="007C364C"/>
    <w:rsid w:val="007C3933"/>
    <w:rsid w:val="007C4DD1"/>
    <w:rsid w:val="007C56F3"/>
    <w:rsid w:val="007C5EEF"/>
    <w:rsid w:val="007C7036"/>
    <w:rsid w:val="007D075B"/>
    <w:rsid w:val="007D118B"/>
    <w:rsid w:val="007D1240"/>
    <w:rsid w:val="007D12C5"/>
    <w:rsid w:val="007D1CA9"/>
    <w:rsid w:val="007D2239"/>
    <w:rsid w:val="007D2458"/>
    <w:rsid w:val="007D389D"/>
    <w:rsid w:val="007D3B8F"/>
    <w:rsid w:val="007D3D1C"/>
    <w:rsid w:val="007D56F7"/>
    <w:rsid w:val="007D7AF3"/>
    <w:rsid w:val="007D7D7F"/>
    <w:rsid w:val="007E04A1"/>
    <w:rsid w:val="007E062F"/>
    <w:rsid w:val="007E1E62"/>
    <w:rsid w:val="007E2186"/>
    <w:rsid w:val="007E252D"/>
    <w:rsid w:val="007E2C82"/>
    <w:rsid w:val="007E2C99"/>
    <w:rsid w:val="007E2F47"/>
    <w:rsid w:val="007E33AB"/>
    <w:rsid w:val="007E3EB6"/>
    <w:rsid w:val="007E400B"/>
    <w:rsid w:val="007E465B"/>
    <w:rsid w:val="007E4799"/>
    <w:rsid w:val="007E53BA"/>
    <w:rsid w:val="007E5733"/>
    <w:rsid w:val="007E5FC8"/>
    <w:rsid w:val="007E60CC"/>
    <w:rsid w:val="007E632A"/>
    <w:rsid w:val="007E6487"/>
    <w:rsid w:val="007E71F3"/>
    <w:rsid w:val="007E74C8"/>
    <w:rsid w:val="007E7A7E"/>
    <w:rsid w:val="007E7BFF"/>
    <w:rsid w:val="007F006C"/>
    <w:rsid w:val="007F01A1"/>
    <w:rsid w:val="007F0505"/>
    <w:rsid w:val="007F16EE"/>
    <w:rsid w:val="007F1FA5"/>
    <w:rsid w:val="007F2D63"/>
    <w:rsid w:val="007F32C1"/>
    <w:rsid w:val="007F361F"/>
    <w:rsid w:val="007F3CB8"/>
    <w:rsid w:val="007F4885"/>
    <w:rsid w:val="007F4A9F"/>
    <w:rsid w:val="007F4D19"/>
    <w:rsid w:val="007F509A"/>
    <w:rsid w:val="007F5AE1"/>
    <w:rsid w:val="007F5C46"/>
    <w:rsid w:val="007F5DC2"/>
    <w:rsid w:val="007F5F90"/>
    <w:rsid w:val="007F61CA"/>
    <w:rsid w:val="007F6668"/>
    <w:rsid w:val="007F6BCD"/>
    <w:rsid w:val="007F6C6F"/>
    <w:rsid w:val="007F7777"/>
    <w:rsid w:val="00800FFA"/>
    <w:rsid w:val="00801311"/>
    <w:rsid w:val="00801B84"/>
    <w:rsid w:val="00801E72"/>
    <w:rsid w:val="008023C3"/>
    <w:rsid w:val="008025A7"/>
    <w:rsid w:val="008048E0"/>
    <w:rsid w:val="00804DCE"/>
    <w:rsid w:val="008052B2"/>
    <w:rsid w:val="00805F0F"/>
    <w:rsid w:val="00806522"/>
    <w:rsid w:val="00806FCC"/>
    <w:rsid w:val="008073C7"/>
    <w:rsid w:val="00807CC3"/>
    <w:rsid w:val="00810D09"/>
    <w:rsid w:val="00810E0F"/>
    <w:rsid w:val="0081153D"/>
    <w:rsid w:val="00811C6F"/>
    <w:rsid w:val="00811E11"/>
    <w:rsid w:val="00812458"/>
    <w:rsid w:val="0081256A"/>
    <w:rsid w:val="008125E3"/>
    <w:rsid w:val="00812B65"/>
    <w:rsid w:val="0081320F"/>
    <w:rsid w:val="00813553"/>
    <w:rsid w:val="008135F0"/>
    <w:rsid w:val="00813991"/>
    <w:rsid w:val="00813E8F"/>
    <w:rsid w:val="00813F49"/>
    <w:rsid w:val="00814403"/>
    <w:rsid w:val="00814912"/>
    <w:rsid w:val="0081539C"/>
    <w:rsid w:val="00815602"/>
    <w:rsid w:val="00815E8A"/>
    <w:rsid w:val="008160BB"/>
    <w:rsid w:val="00816823"/>
    <w:rsid w:val="008169D5"/>
    <w:rsid w:val="00816D96"/>
    <w:rsid w:val="00816DC9"/>
    <w:rsid w:val="0081746B"/>
    <w:rsid w:val="008204F7"/>
    <w:rsid w:val="00820B35"/>
    <w:rsid w:val="0082185D"/>
    <w:rsid w:val="008218EA"/>
    <w:rsid w:val="00821B94"/>
    <w:rsid w:val="00821FA2"/>
    <w:rsid w:val="00823189"/>
    <w:rsid w:val="00823CB5"/>
    <w:rsid w:val="00826C76"/>
    <w:rsid w:val="0083110F"/>
    <w:rsid w:val="008315E2"/>
    <w:rsid w:val="008317A3"/>
    <w:rsid w:val="00831AB2"/>
    <w:rsid w:val="00831D2A"/>
    <w:rsid w:val="00832635"/>
    <w:rsid w:val="008327FB"/>
    <w:rsid w:val="00833340"/>
    <w:rsid w:val="00835660"/>
    <w:rsid w:val="00836438"/>
    <w:rsid w:val="008364FD"/>
    <w:rsid w:val="0083650F"/>
    <w:rsid w:val="00836FC0"/>
    <w:rsid w:val="00837105"/>
    <w:rsid w:val="00837928"/>
    <w:rsid w:val="0084007C"/>
    <w:rsid w:val="008400EA"/>
    <w:rsid w:val="00840232"/>
    <w:rsid w:val="00840C19"/>
    <w:rsid w:val="00840FB4"/>
    <w:rsid w:val="00842732"/>
    <w:rsid w:val="00842989"/>
    <w:rsid w:val="008436AA"/>
    <w:rsid w:val="00843820"/>
    <w:rsid w:val="008439CE"/>
    <w:rsid w:val="00843BE4"/>
    <w:rsid w:val="00843BEF"/>
    <w:rsid w:val="00844045"/>
    <w:rsid w:val="0084502B"/>
    <w:rsid w:val="008450DC"/>
    <w:rsid w:val="0084697F"/>
    <w:rsid w:val="008477E4"/>
    <w:rsid w:val="00847996"/>
    <w:rsid w:val="00850090"/>
    <w:rsid w:val="00850CBE"/>
    <w:rsid w:val="00850D74"/>
    <w:rsid w:val="008514CC"/>
    <w:rsid w:val="008518AF"/>
    <w:rsid w:val="008521B5"/>
    <w:rsid w:val="008526AE"/>
    <w:rsid w:val="008531B4"/>
    <w:rsid w:val="00853832"/>
    <w:rsid w:val="00854314"/>
    <w:rsid w:val="00854B7C"/>
    <w:rsid w:val="00854F73"/>
    <w:rsid w:val="008556C1"/>
    <w:rsid w:val="00855A7D"/>
    <w:rsid w:val="00855B4E"/>
    <w:rsid w:val="0085671F"/>
    <w:rsid w:val="0085680B"/>
    <w:rsid w:val="00857241"/>
    <w:rsid w:val="0085773C"/>
    <w:rsid w:val="0085788B"/>
    <w:rsid w:val="00857AFC"/>
    <w:rsid w:val="00857C6F"/>
    <w:rsid w:val="00857D71"/>
    <w:rsid w:val="00860EDA"/>
    <w:rsid w:val="00861C22"/>
    <w:rsid w:val="00864A7B"/>
    <w:rsid w:val="0086529D"/>
    <w:rsid w:val="0086562D"/>
    <w:rsid w:val="00866AAC"/>
    <w:rsid w:val="008670F9"/>
    <w:rsid w:val="00867137"/>
    <w:rsid w:val="00867E11"/>
    <w:rsid w:val="008704D8"/>
    <w:rsid w:val="0087059E"/>
    <w:rsid w:val="00870B8E"/>
    <w:rsid w:val="00871000"/>
    <w:rsid w:val="00871B33"/>
    <w:rsid w:val="00871D05"/>
    <w:rsid w:val="00872CA8"/>
    <w:rsid w:val="00872E33"/>
    <w:rsid w:val="00872F34"/>
    <w:rsid w:val="00873432"/>
    <w:rsid w:val="00873D6B"/>
    <w:rsid w:val="00874357"/>
    <w:rsid w:val="0087511D"/>
    <w:rsid w:val="0087558E"/>
    <w:rsid w:val="00875647"/>
    <w:rsid w:val="00875D99"/>
    <w:rsid w:val="00876789"/>
    <w:rsid w:val="00876955"/>
    <w:rsid w:val="00876BE6"/>
    <w:rsid w:val="0088192F"/>
    <w:rsid w:val="00881947"/>
    <w:rsid w:val="00881B17"/>
    <w:rsid w:val="00881BA4"/>
    <w:rsid w:val="008824D9"/>
    <w:rsid w:val="00882BDE"/>
    <w:rsid w:val="00882F5F"/>
    <w:rsid w:val="0088341C"/>
    <w:rsid w:val="00883699"/>
    <w:rsid w:val="008842B4"/>
    <w:rsid w:val="00884721"/>
    <w:rsid w:val="008853C8"/>
    <w:rsid w:val="0088546B"/>
    <w:rsid w:val="00885552"/>
    <w:rsid w:val="00885D79"/>
    <w:rsid w:val="008868E9"/>
    <w:rsid w:val="00887296"/>
    <w:rsid w:val="008877C5"/>
    <w:rsid w:val="0088790B"/>
    <w:rsid w:val="00890B5B"/>
    <w:rsid w:val="0089112F"/>
    <w:rsid w:val="0089138A"/>
    <w:rsid w:val="008913F6"/>
    <w:rsid w:val="00891576"/>
    <w:rsid w:val="008942F9"/>
    <w:rsid w:val="00895587"/>
    <w:rsid w:val="00896D04"/>
    <w:rsid w:val="008A039A"/>
    <w:rsid w:val="008A07CF"/>
    <w:rsid w:val="008A12EB"/>
    <w:rsid w:val="008A1635"/>
    <w:rsid w:val="008A1FF9"/>
    <w:rsid w:val="008A2040"/>
    <w:rsid w:val="008A205E"/>
    <w:rsid w:val="008A2682"/>
    <w:rsid w:val="008A2A73"/>
    <w:rsid w:val="008A2CBB"/>
    <w:rsid w:val="008A3268"/>
    <w:rsid w:val="008A376A"/>
    <w:rsid w:val="008A3E78"/>
    <w:rsid w:val="008A405A"/>
    <w:rsid w:val="008A436D"/>
    <w:rsid w:val="008A4B4D"/>
    <w:rsid w:val="008A590C"/>
    <w:rsid w:val="008A5942"/>
    <w:rsid w:val="008A63BB"/>
    <w:rsid w:val="008A70D0"/>
    <w:rsid w:val="008A7867"/>
    <w:rsid w:val="008B07BB"/>
    <w:rsid w:val="008B1628"/>
    <w:rsid w:val="008B1665"/>
    <w:rsid w:val="008B2166"/>
    <w:rsid w:val="008B2910"/>
    <w:rsid w:val="008B2980"/>
    <w:rsid w:val="008B2D2B"/>
    <w:rsid w:val="008B4818"/>
    <w:rsid w:val="008B4C80"/>
    <w:rsid w:val="008B4DD4"/>
    <w:rsid w:val="008B565E"/>
    <w:rsid w:val="008B615D"/>
    <w:rsid w:val="008B6656"/>
    <w:rsid w:val="008B6691"/>
    <w:rsid w:val="008C04B8"/>
    <w:rsid w:val="008C09F3"/>
    <w:rsid w:val="008C0F07"/>
    <w:rsid w:val="008C0F27"/>
    <w:rsid w:val="008C1171"/>
    <w:rsid w:val="008C1234"/>
    <w:rsid w:val="008C1BF9"/>
    <w:rsid w:val="008C1DD7"/>
    <w:rsid w:val="008C2ECD"/>
    <w:rsid w:val="008C3204"/>
    <w:rsid w:val="008C4556"/>
    <w:rsid w:val="008C50D3"/>
    <w:rsid w:val="008C552B"/>
    <w:rsid w:val="008C619A"/>
    <w:rsid w:val="008C7D3E"/>
    <w:rsid w:val="008D02F7"/>
    <w:rsid w:val="008D103B"/>
    <w:rsid w:val="008D22F9"/>
    <w:rsid w:val="008D2AE2"/>
    <w:rsid w:val="008D2E72"/>
    <w:rsid w:val="008D4456"/>
    <w:rsid w:val="008D5896"/>
    <w:rsid w:val="008D6421"/>
    <w:rsid w:val="008D6480"/>
    <w:rsid w:val="008D6F74"/>
    <w:rsid w:val="008E01CC"/>
    <w:rsid w:val="008E03C0"/>
    <w:rsid w:val="008E07A7"/>
    <w:rsid w:val="008E176E"/>
    <w:rsid w:val="008E229E"/>
    <w:rsid w:val="008E3054"/>
    <w:rsid w:val="008E3063"/>
    <w:rsid w:val="008E3522"/>
    <w:rsid w:val="008E3C6B"/>
    <w:rsid w:val="008E3EC8"/>
    <w:rsid w:val="008E41CA"/>
    <w:rsid w:val="008E4A20"/>
    <w:rsid w:val="008E559B"/>
    <w:rsid w:val="008E571D"/>
    <w:rsid w:val="008E5B1D"/>
    <w:rsid w:val="008E5EEA"/>
    <w:rsid w:val="008E6851"/>
    <w:rsid w:val="008E71D8"/>
    <w:rsid w:val="008E7AC6"/>
    <w:rsid w:val="008F042C"/>
    <w:rsid w:val="008F042F"/>
    <w:rsid w:val="008F2794"/>
    <w:rsid w:val="008F34EC"/>
    <w:rsid w:val="008F485D"/>
    <w:rsid w:val="008F4A53"/>
    <w:rsid w:val="008F4A63"/>
    <w:rsid w:val="008F4A6E"/>
    <w:rsid w:val="008F518C"/>
    <w:rsid w:val="008F51E4"/>
    <w:rsid w:val="008F54A5"/>
    <w:rsid w:val="008F6AE6"/>
    <w:rsid w:val="008F71F3"/>
    <w:rsid w:val="008F73BC"/>
    <w:rsid w:val="008F7BC3"/>
    <w:rsid w:val="008F7F15"/>
    <w:rsid w:val="00900732"/>
    <w:rsid w:val="0090113C"/>
    <w:rsid w:val="0090123E"/>
    <w:rsid w:val="00901D6C"/>
    <w:rsid w:val="00901E59"/>
    <w:rsid w:val="0090217B"/>
    <w:rsid w:val="00902232"/>
    <w:rsid w:val="00902466"/>
    <w:rsid w:val="00902668"/>
    <w:rsid w:val="00903A6A"/>
    <w:rsid w:val="00903F18"/>
    <w:rsid w:val="009045D1"/>
    <w:rsid w:val="00904C74"/>
    <w:rsid w:val="00904D82"/>
    <w:rsid w:val="00905320"/>
    <w:rsid w:val="0090602D"/>
    <w:rsid w:val="009078D4"/>
    <w:rsid w:val="00907A70"/>
    <w:rsid w:val="00910350"/>
    <w:rsid w:val="009107A9"/>
    <w:rsid w:val="00910993"/>
    <w:rsid w:val="0091104E"/>
    <w:rsid w:val="009129ED"/>
    <w:rsid w:val="009136AF"/>
    <w:rsid w:val="009136B8"/>
    <w:rsid w:val="009138C0"/>
    <w:rsid w:val="00913F98"/>
    <w:rsid w:val="00914032"/>
    <w:rsid w:val="009145BE"/>
    <w:rsid w:val="009154C4"/>
    <w:rsid w:val="009160F5"/>
    <w:rsid w:val="00917532"/>
    <w:rsid w:val="009179A3"/>
    <w:rsid w:val="00917ED5"/>
    <w:rsid w:val="0092028E"/>
    <w:rsid w:val="009209DD"/>
    <w:rsid w:val="00920CFB"/>
    <w:rsid w:val="00921B1D"/>
    <w:rsid w:val="00921E97"/>
    <w:rsid w:val="00921E99"/>
    <w:rsid w:val="00921F4F"/>
    <w:rsid w:val="00922B8B"/>
    <w:rsid w:val="00924483"/>
    <w:rsid w:val="00924CEA"/>
    <w:rsid w:val="00925701"/>
    <w:rsid w:val="009262B6"/>
    <w:rsid w:val="009263BB"/>
    <w:rsid w:val="00926966"/>
    <w:rsid w:val="00926A64"/>
    <w:rsid w:val="00926DCF"/>
    <w:rsid w:val="00927481"/>
    <w:rsid w:val="009274B1"/>
    <w:rsid w:val="00930000"/>
    <w:rsid w:val="00930692"/>
    <w:rsid w:val="009306D6"/>
    <w:rsid w:val="00930B46"/>
    <w:rsid w:val="00931656"/>
    <w:rsid w:val="00931DFC"/>
    <w:rsid w:val="009327CD"/>
    <w:rsid w:val="00932D15"/>
    <w:rsid w:val="0093327F"/>
    <w:rsid w:val="0093332D"/>
    <w:rsid w:val="009339C0"/>
    <w:rsid w:val="009339E5"/>
    <w:rsid w:val="00933A1F"/>
    <w:rsid w:val="00933CEF"/>
    <w:rsid w:val="00934D03"/>
    <w:rsid w:val="00934F17"/>
    <w:rsid w:val="00934F33"/>
    <w:rsid w:val="00934FD6"/>
    <w:rsid w:val="00935492"/>
    <w:rsid w:val="009358B1"/>
    <w:rsid w:val="00935FCE"/>
    <w:rsid w:val="009372BC"/>
    <w:rsid w:val="00937EA7"/>
    <w:rsid w:val="00937F04"/>
    <w:rsid w:val="00941225"/>
    <w:rsid w:val="009413BC"/>
    <w:rsid w:val="00943564"/>
    <w:rsid w:val="0094380A"/>
    <w:rsid w:val="00943AE2"/>
    <w:rsid w:val="009455AF"/>
    <w:rsid w:val="009456F5"/>
    <w:rsid w:val="0094640F"/>
    <w:rsid w:val="00946859"/>
    <w:rsid w:val="009468AC"/>
    <w:rsid w:val="009504B1"/>
    <w:rsid w:val="00950D4B"/>
    <w:rsid w:val="00950DFC"/>
    <w:rsid w:val="00951A02"/>
    <w:rsid w:val="00951D56"/>
    <w:rsid w:val="0095201C"/>
    <w:rsid w:val="00952D37"/>
    <w:rsid w:val="00953151"/>
    <w:rsid w:val="009542E9"/>
    <w:rsid w:val="00954908"/>
    <w:rsid w:val="00955196"/>
    <w:rsid w:val="00955463"/>
    <w:rsid w:val="009561F8"/>
    <w:rsid w:val="00956546"/>
    <w:rsid w:val="009569E9"/>
    <w:rsid w:val="00956A45"/>
    <w:rsid w:val="00957870"/>
    <w:rsid w:val="00957A10"/>
    <w:rsid w:val="00957B2D"/>
    <w:rsid w:val="00960390"/>
    <w:rsid w:val="009616F1"/>
    <w:rsid w:val="009622B1"/>
    <w:rsid w:val="00962976"/>
    <w:rsid w:val="00962AAC"/>
    <w:rsid w:val="0096437D"/>
    <w:rsid w:val="00964665"/>
    <w:rsid w:val="009646A0"/>
    <w:rsid w:val="00964C6A"/>
    <w:rsid w:val="00965096"/>
    <w:rsid w:val="00965688"/>
    <w:rsid w:val="009656C3"/>
    <w:rsid w:val="009656D3"/>
    <w:rsid w:val="00965B68"/>
    <w:rsid w:val="00965F9F"/>
    <w:rsid w:val="009662E9"/>
    <w:rsid w:val="009674A3"/>
    <w:rsid w:val="00967996"/>
    <w:rsid w:val="00970A33"/>
    <w:rsid w:val="009716EC"/>
    <w:rsid w:val="00971C97"/>
    <w:rsid w:val="00972155"/>
    <w:rsid w:val="009725F4"/>
    <w:rsid w:val="0097321D"/>
    <w:rsid w:val="00973432"/>
    <w:rsid w:val="009735D9"/>
    <w:rsid w:val="00975084"/>
    <w:rsid w:val="00976B7D"/>
    <w:rsid w:val="009808A3"/>
    <w:rsid w:val="00980F15"/>
    <w:rsid w:val="00981DF8"/>
    <w:rsid w:val="00982C8F"/>
    <w:rsid w:val="00982D09"/>
    <w:rsid w:val="00982D1B"/>
    <w:rsid w:val="009836AB"/>
    <w:rsid w:val="009840D8"/>
    <w:rsid w:val="009844E1"/>
    <w:rsid w:val="009845A8"/>
    <w:rsid w:val="00984A62"/>
    <w:rsid w:val="009852DC"/>
    <w:rsid w:val="0098552E"/>
    <w:rsid w:val="00986C61"/>
    <w:rsid w:val="00986E86"/>
    <w:rsid w:val="0098701A"/>
    <w:rsid w:val="00987237"/>
    <w:rsid w:val="00987707"/>
    <w:rsid w:val="009879E4"/>
    <w:rsid w:val="00987B83"/>
    <w:rsid w:val="00987E5B"/>
    <w:rsid w:val="00987FF9"/>
    <w:rsid w:val="0099147B"/>
    <w:rsid w:val="009916E2"/>
    <w:rsid w:val="00992098"/>
    <w:rsid w:val="0099234D"/>
    <w:rsid w:val="00992480"/>
    <w:rsid w:val="00993A89"/>
    <w:rsid w:val="00993B21"/>
    <w:rsid w:val="0099460E"/>
    <w:rsid w:val="00994E08"/>
    <w:rsid w:val="00994EE7"/>
    <w:rsid w:val="00995551"/>
    <w:rsid w:val="00996BC6"/>
    <w:rsid w:val="00996D31"/>
    <w:rsid w:val="009970E3"/>
    <w:rsid w:val="0099713F"/>
    <w:rsid w:val="00997811"/>
    <w:rsid w:val="00997965"/>
    <w:rsid w:val="00997BC4"/>
    <w:rsid w:val="009A03A1"/>
    <w:rsid w:val="009A09FC"/>
    <w:rsid w:val="009A0A71"/>
    <w:rsid w:val="009A1399"/>
    <w:rsid w:val="009A215B"/>
    <w:rsid w:val="009A2501"/>
    <w:rsid w:val="009A2546"/>
    <w:rsid w:val="009A2717"/>
    <w:rsid w:val="009A275F"/>
    <w:rsid w:val="009A278F"/>
    <w:rsid w:val="009A2CE6"/>
    <w:rsid w:val="009A2F94"/>
    <w:rsid w:val="009A32C7"/>
    <w:rsid w:val="009A42C7"/>
    <w:rsid w:val="009A433F"/>
    <w:rsid w:val="009A4349"/>
    <w:rsid w:val="009A447A"/>
    <w:rsid w:val="009A4684"/>
    <w:rsid w:val="009A4AE9"/>
    <w:rsid w:val="009A4D8D"/>
    <w:rsid w:val="009A4F9E"/>
    <w:rsid w:val="009A4FD7"/>
    <w:rsid w:val="009A5B53"/>
    <w:rsid w:val="009A631E"/>
    <w:rsid w:val="009A6DB2"/>
    <w:rsid w:val="009B0500"/>
    <w:rsid w:val="009B0691"/>
    <w:rsid w:val="009B0CAE"/>
    <w:rsid w:val="009B1351"/>
    <w:rsid w:val="009B25F5"/>
    <w:rsid w:val="009B2BCB"/>
    <w:rsid w:val="009B2D33"/>
    <w:rsid w:val="009B3226"/>
    <w:rsid w:val="009B3375"/>
    <w:rsid w:val="009B3940"/>
    <w:rsid w:val="009B45A6"/>
    <w:rsid w:val="009B60E1"/>
    <w:rsid w:val="009B6B0C"/>
    <w:rsid w:val="009B6E87"/>
    <w:rsid w:val="009B6EC4"/>
    <w:rsid w:val="009B7428"/>
    <w:rsid w:val="009B74BB"/>
    <w:rsid w:val="009C0A43"/>
    <w:rsid w:val="009C16FB"/>
    <w:rsid w:val="009C1A03"/>
    <w:rsid w:val="009C1BA4"/>
    <w:rsid w:val="009C2182"/>
    <w:rsid w:val="009C2275"/>
    <w:rsid w:val="009C295B"/>
    <w:rsid w:val="009C38C9"/>
    <w:rsid w:val="009C3BCE"/>
    <w:rsid w:val="009C4DEF"/>
    <w:rsid w:val="009C642E"/>
    <w:rsid w:val="009C6543"/>
    <w:rsid w:val="009C743B"/>
    <w:rsid w:val="009D0440"/>
    <w:rsid w:val="009D09D9"/>
    <w:rsid w:val="009D0BEE"/>
    <w:rsid w:val="009D0F36"/>
    <w:rsid w:val="009D197C"/>
    <w:rsid w:val="009D24EE"/>
    <w:rsid w:val="009D2F0C"/>
    <w:rsid w:val="009D3211"/>
    <w:rsid w:val="009D3754"/>
    <w:rsid w:val="009D3761"/>
    <w:rsid w:val="009D4020"/>
    <w:rsid w:val="009D5698"/>
    <w:rsid w:val="009D7573"/>
    <w:rsid w:val="009D7AD8"/>
    <w:rsid w:val="009D7B7C"/>
    <w:rsid w:val="009E1828"/>
    <w:rsid w:val="009E19B5"/>
    <w:rsid w:val="009E285B"/>
    <w:rsid w:val="009E33D2"/>
    <w:rsid w:val="009E35FD"/>
    <w:rsid w:val="009E3B8E"/>
    <w:rsid w:val="009E43AB"/>
    <w:rsid w:val="009E454F"/>
    <w:rsid w:val="009E490B"/>
    <w:rsid w:val="009E4ADB"/>
    <w:rsid w:val="009E4DF7"/>
    <w:rsid w:val="009E5566"/>
    <w:rsid w:val="009E5A50"/>
    <w:rsid w:val="009E5A7C"/>
    <w:rsid w:val="009E63E6"/>
    <w:rsid w:val="009E6C7E"/>
    <w:rsid w:val="009E7696"/>
    <w:rsid w:val="009E7E75"/>
    <w:rsid w:val="009F0C6F"/>
    <w:rsid w:val="009F12A9"/>
    <w:rsid w:val="009F14CD"/>
    <w:rsid w:val="009F2180"/>
    <w:rsid w:val="009F2843"/>
    <w:rsid w:val="009F52DA"/>
    <w:rsid w:val="009F5FDD"/>
    <w:rsid w:val="009F620A"/>
    <w:rsid w:val="009F6D38"/>
    <w:rsid w:val="009F70AC"/>
    <w:rsid w:val="009F71F5"/>
    <w:rsid w:val="009F7319"/>
    <w:rsid w:val="009F7368"/>
    <w:rsid w:val="00A0065A"/>
    <w:rsid w:val="00A008E3"/>
    <w:rsid w:val="00A01366"/>
    <w:rsid w:val="00A0146C"/>
    <w:rsid w:val="00A02584"/>
    <w:rsid w:val="00A03813"/>
    <w:rsid w:val="00A03B6C"/>
    <w:rsid w:val="00A04692"/>
    <w:rsid w:val="00A04BF6"/>
    <w:rsid w:val="00A05329"/>
    <w:rsid w:val="00A06925"/>
    <w:rsid w:val="00A077F2"/>
    <w:rsid w:val="00A1024E"/>
    <w:rsid w:val="00A12ACE"/>
    <w:rsid w:val="00A12C8B"/>
    <w:rsid w:val="00A13004"/>
    <w:rsid w:val="00A13008"/>
    <w:rsid w:val="00A130D9"/>
    <w:rsid w:val="00A1396F"/>
    <w:rsid w:val="00A15443"/>
    <w:rsid w:val="00A15D4A"/>
    <w:rsid w:val="00A16543"/>
    <w:rsid w:val="00A16C3B"/>
    <w:rsid w:val="00A1700F"/>
    <w:rsid w:val="00A171ED"/>
    <w:rsid w:val="00A17B69"/>
    <w:rsid w:val="00A203DB"/>
    <w:rsid w:val="00A24110"/>
    <w:rsid w:val="00A24A30"/>
    <w:rsid w:val="00A24D4E"/>
    <w:rsid w:val="00A27231"/>
    <w:rsid w:val="00A27880"/>
    <w:rsid w:val="00A325F2"/>
    <w:rsid w:val="00A3280F"/>
    <w:rsid w:val="00A32B24"/>
    <w:rsid w:val="00A32CDF"/>
    <w:rsid w:val="00A3309D"/>
    <w:rsid w:val="00A34D40"/>
    <w:rsid w:val="00A35082"/>
    <w:rsid w:val="00A3536D"/>
    <w:rsid w:val="00A353AA"/>
    <w:rsid w:val="00A35C94"/>
    <w:rsid w:val="00A35E52"/>
    <w:rsid w:val="00A3649E"/>
    <w:rsid w:val="00A36652"/>
    <w:rsid w:val="00A36873"/>
    <w:rsid w:val="00A37483"/>
    <w:rsid w:val="00A4201F"/>
    <w:rsid w:val="00A4232B"/>
    <w:rsid w:val="00A4293A"/>
    <w:rsid w:val="00A42A39"/>
    <w:rsid w:val="00A42C9A"/>
    <w:rsid w:val="00A43624"/>
    <w:rsid w:val="00A436C6"/>
    <w:rsid w:val="00A43BD5"/>
    <w:rsid w:val="00A45482"/>
    <w:rsid w:val="00A455DE"/>
    <w:rsid w:val="00A45738"/>
    <w:rsid w:val="00A45748"/>
    <w:rsid w:val="00A46458"/>
    <w:rsid w:val="00A464C6"/>
    <w:rsid w:val="00A4697D"/>
    <w:rsid w:val="00A46C43"/>
    <w:rsid w:val="00A47324"/>
    <w:rsid w:val="00A509E8"/>
    <w:rsid w:val="00A51EE4"/>
    <w:rsid w:val="00A52542"/>
    <w:rsid w:val="00A526D8"/>
    <w:rsid w:val="00A52AFE"/>
    <w:rsid w:val="00A52EB2"/>
    <w:rsid w:val="00A53EC9"/>
    <w:rsid w:val="00A54AB0"/>
    <w:rsid w:val="00A56B07"/>
    <w:rsid w:val="00A576DC"/>
    <w:rsid w:val="00A577A3"/>
    <w:rsid w:val="00A602DE"/>
    <w:rsid w:val="00A604E7"/>
    <w:rsid w:val="00A60B26"/>
    <w:rsid w:val="00A60BA0"/>
    <w:rsid w:val="00A612E3"/>
    <w:rsid w:val="00A62A20"/>
    <w:rsid w:val="00A6320F"/>
    <w:rsid w:val="00A64E08"/>
    <w:rsid w:val="00A652EC"/>
    <w:rsid w:val="00A65C3D"/>
    <w:rsid w:val="00A663E2"/>
    <w:rsid w:val="00A664EB"/>
    <w:rsid w:val="00A6754E"/>
    <w:rsid w:val="00A7056D"/>
    <w:rsid w:val="00A71392"/>
    <w:rsid w:val="00A722D0"/>
    <w:rsid w:val="00A726D1"/>
    <w:rsid w:val="00A72F0D"/>
    <w:rsid w:val="00A76954"/>
    <w:rsid w:val="00A76E31"/>
    <w:rsid w:val="00A77053"/>
    <w:rsid w:val="00A77EED"/>
    <w:rsid w:val="00A80B00"/>
    <w:rsid w:val="00A80BBF"/>
    <w:rsid w:val="00A80C4D"/>
    <w:rsid w:val="00A817FC"/>
    <w:rsid w:val="00A81E8A"/>
    <w:rsid w:val="00A81F60"/>
    <w:rsid w:val="00A81FCA"/>
    <w:rsid w:val="00A8204F"/>
    <w:rsid w:val="00A829CC"/>
    <w:rsid w:val="00A82E01"/>
    <w:rsid w:val="00A83597"/>
    <w:rsid w:val="00A83637"/>
    <w:rsid w:val="00A847C4"/>
    <w:rsid w:val="00A84F90"/>
    <w:rsid w:val="00A865A9"/>
    <w:rsid w:val="00A87119"/>
    <w:rsid w:val="00A87392"/>
    <w:rsid w:val="00A87AAE"/>
    <w:rsid w:val="00A90249"/>
    <w:rsid w:val="00A90642"/>
    <w:rsid w:val="00A92095"/>
    <w:rsid w:val="00A92884"/>
    <w:rsid w:val="00A928AD"/>
    <w:rsid w:val="00A93645"/>
    <w:rsid w:val="00A939AF"/>
    <w:rsid w:val="00A94EAD"/>
    <w:rsid w:val="00A9556B"/>
    <w:rsid w:val="00A95E7A"/>
    <w:rsid w:val="00A9638F"/>
    <w:rsid w:val="00A96A8F"/>
    <w:rsid w:val="00AA1034"/>
    <w:rsid w:val="00AA1503"/>
    <w:rsid w:val="00AA1A21"/>
    <w:rsid w:val="00AA26A6"/>
    <w:rsid w:val="00AA333F"/>
    <w:rsid w:val="00AA42B3"/>
    <w:rsid w:val="00AA47D1"/>
    <w:rsid w:val="00AA4B3D"/>
    <w:rsid w:val="00AA4C00"/>
    <w:rsid w:val="00AA79DD"/>
    <w:rsid w:val="00AA7DDD"/>
    <w:rsid w:val="00AA7EB8"/>
    <w:rsid w:val="00AB0265"/>
    <w:rsid w:val="00AB0738"/>
    <w:rsid w:val="00AB08C7"/>
    <w:rsid w:val="00AB0C3B"/>
    <w:rsid w:val="00AB0D03"/>
    <w:rsid w:val="00AB2291"/>
    <w:rsid w:val="00AB2712"/>
    <w:rsid w:val="00AB508D"/>
    <w:rsid w:val="00AB57F8"/>
    <w:rsid w:val="00AB5CCC"/>
    <w:rsid w:val="00AB5D45"/>
    <w:rsid w:val="00AB69AA"/>
    <w:rsid w:val="00AB6C00"/>
    <w:rsid w:val="00AB7E84"/>
    <w:rsid w:val="00AC036C"/>
    <w:rsid w:val="00AC0F0B"/>
    <w:rsid w:val="00AC2707"/>
    <w:rsid w:val="00AC2D8F"/>
    <w:rsid w:val="00AC374C"/>
    <w:rsid w:val="00AC3883"/>
    <w:rsid w:val="00AC411B"/>
    <w:rsid w:val="00AC414B"/>
    <w:rsid w:val="00AC4BA7"/>
    <w:rsid w:val="00AC4E59"/>
    <w:rsid w:val="00AC588F"/>
    <w:rsid w:val="00AC63DA"/>
    <w:rsid w:val="00AC6496"/>
    <w:rsid w:val="00AD03EB"/>
    <w:rsid w:val="00AD049C"/>
    <w:rsid w:val="00AD14F8"/>
    <w:rsid w:val="00AD17AA"/>
    <w:rsid w:val="00AD24B5"/>
    <w:rsid w:val="00AD379D"/>
    <w:rsid w:val="00AD3E3D"/>
    <w:rsid w:val="00AD42B3"/>
    <w:rsid w:val="00AD44B3"/>
    <w:rsid w:val="00AD558A"/>
    <w:rsid w:val="00AD5FFE"/>
    <w:rsid w:val="00AD60E8"/>
    <w:rsid w:val="00AD6D16"/>
    <w:rsid w:val="00AD7D37"/>
    <w:rsid w:val="00AE1311"/>
    <w:rsid w:val="00AE159B"/>
    <w:rsid w:val="00AE4128"/>
    <w:rsid w:val="00AE4AEB"/>
    <w:rsid w:val="00AE51F4"/>
    <w:rsid w:val="00AE55E4"/>
    <w:rsid w:val="00AE5E67"/>
    <w:rsid w:val="00AE5FAD"/>
    <w:rsid w:val="00AE655F"/>
    <w:rsid w:val="00AE75AC"/>
    <w:rsid w:val="00AE79CF"/>
    <w:rsid w:val="00AE7E90"/>
    <w:rsid w:val="00AF0365"/>
    <w:rsid w:val="00AF04A7"/>
    <w:rsid w:val="00AF07C0"/>
    <w:rsid w:val="00AF0813"/>
    <w:rsid w:val="00AF0836"/>
    <w:rsid w:val="00AF0FAA"/>
    <w:rsid w:val="00AF1B52"/>
    <w:rsid w:val="00AF30EE"/>
    <w:rsid w:val="00AF3169"/>
    <w:rsid w:val="00AF3705"/>
    <w:rsid w:val="00AF50F1"/>
    <w:rsid w:val="00AF52CE"/>
    <w:rsid w:val="00AF5AD2"/>
    <w:rsid w:val="00AF609B"/>
    <w:rsid w:val="00AF6222"/>
    <w:rsid w:val="00AF6B05"/>
    <w:rsid w:val="00AF729E"/>
    <w:rsid w:val="00AF7478"/>
    <w:rsid w:val="00AF761E"/>
    <w:rsid w:val="00B00DDC"/>
    <w:rsid w:val="00B03D14"/>
    <w:rsid w:val="00B03D6E"/>
    <w:rsid w:val="00B03E44"/>
    <w:rsid w:val="00B04688"/>
    <w:rsid w:val="00B04C27"/>
    <w:rsid w:val="00B052E6"/>
    <w:rsid w:val="00B05B49"/>
    <w:rsid w:val="00B06053"/>
    <w:rsid w:val="00B06404"/>
    <w:rsid w:val="00B067F1"/>
    <w:rsid w:val="00B072AD"/>
    <w:rsid w:val="00B0738B"/>
    <w:rsid w:val="00B0766A"/>
    <w:rsid w:val="00B10816"/>
    <w:rsid w:val="00B1095A"/>
    <w:rsid w:val="00B10E85"/>
    <w:rsid w:val="00B11996"/>
    <w:rsid w:val="00B11E1B"/>
    <w:rsid w:val="00B12026"/>
    <w:rsid w:val="00B12291"/>
    <w:rsid w:val="00B13699"/>
    <w:rsid w:val="00B13B96"/>
    <w:rsid w:val="00B14882"/>
    <w:rsid w:val="00B14F38"/>
    <w:rsid w:val="00B1563C"/>
    <w:rsid w:val="00B15B65"/>
    <w:rsid w:val="00B162EE"/>
    <w:rsid w:val="00B16410"/>
    <w:rsid w:val="00B16A2F"/>
    <w:rsid w:val="00B16EAF"/>
    <w:rsid w:val="00B20B37"/>
    <w:rsid w:val="00B20E5E"/>
    <w:rsid w:val="00B21830"/>
    <w:rsid w:val="00B221A5"/>
    <w:rsid w:val="00B22D14"/>
    <w:rsid w:val="00B22EB8"/>
    <w:rsid w:val="00B22FB6"/>
    <w:rsid w:val="00B2372E"/>
    <w:rsid w:val="00B24401"/>
    <w:rsid w:val="00B2498F"/>
    <w:rsid w:val="00B24A7C"/>
    <w:rsid w:val="00B2550B"/>
    <w:rsid w:val="00B25D8F"/>
    <w:rsid w:val="00B270AB"/>
    <w:rsid w:val="00B27149"/>
    <w:rsid w:val="00B30330"/>
    <w:rsid w:val="00B304E0"/>
    <w:rsid w:val="00B30613"/>
    <w:rsid w:val="00B30FF4"/>
    <w:rsid w:val="00B31108"/>
    <w:rsid w:val="00B312C2"/>
    <w:rsid w:val="00B318A6"/>
    <w:rsid w:val="00B33EB6"/>
    <w:rsid w:val="00B33F9F"/>
    <w:rsid w:val="00B34CC6"/>
    <w:rsid w:val="00B34F2E"/>
    <w:rsid w:val="00B35649"/>
    <w:rsid w:val="00B36913"/>
    <w:rsid w:val="00B3745B"/>
    <w:rsid w:val="00B409F9"/>
    <w:rsid w:val="00B413E8"/>
    <w:rsid w:val="00B41AAB"/>
    <w:rsid w:val="00B41EB2"/>
    <w:rsid w:val="00B42892"/>
    <w:rsid w:val="00B43D0F"/>
    <w:rsid w:val="00B446BA"/>
    <w:rsid w:val="00B4496C"/>
    <w:rsid w:val="00B44DEE"/>
    <w:rsid w:val="00B45B7F"/>
    <w:rsid w:val="00B45C25"/>
    <w:rsid w:val="00B4619E"/>
    <w:rsid w:val="00B464F8"/>
    <w:rsid w:val="00B47B70"/>
    <w:rsid w:val="00B502A6"/>
    <w:rsid w:val="00B51821"/>
    <w:rsid w:val="00B524B1"/>
    <w:rsid w:val="00B52601"/>
    <w:rsid w:val="00B526E6"/>
    <w:rsid w:val="00B53112"/>
    <w:rsid w:val="00B5375E"/>
    <w:rsid w:val="00B5399F"/>
    <w:rsid w:val="00B53F8E"/>
    <w:rsid w:val="00B5537A"/>
    <w:rsid w:val="00B55817"/>
    <w:rsid w:val="00B55FE7"/>
    <w:rsid w:val="00B56936"/>
    <w:rsid w:val="00B571F3"/>
    <w:rsid w:val="00B57B78"/>
    <w:rsid w:val="00B57BD6"/>
    <w:rsid w:val="00B60A4A"/>
    <w:rsid w:val="00B60E03"/>
    <w:rsid w:val="00B615A2"/>
    <w:rsid w:val="00B615F5"/>
    <w:rsid w:val="00B62113"/>
    <w:rsid w:val="00B6279B"/>
    <w:rsid w:val="00B631D3"/>
    <w:rsid w:val="00B637E1"/>
    <w:rsid w:val="00B64435"/>
    <w:rsid w:val="00B65406"/>
    <w:rsid w:val="00B655F4"/>
    <w:rsid w:val="00B65E01"/>
    <w:rsid w:val="00B6676A"/>
    <w:rsid w:val="00B671F8"/>
    <w:rsid w:val="00B67A04"/>
    <w:rsid w:val="00B67D88"/>
    <w:rsid w:val="00B70844"/>
    <w:rsid w:val="00B70F26"/>
    <w:rsid w:val="00B710A6"/>
    <w:rsid w:val="00B710AF"/>
    <w:rsid w:val="00B7114C"/>
    <w:rsid w:val="00B71979"/>
    <w:rsid w:val="00B71D2D"/>
    <w:rsid w:val="00B7211F"/>
    <w:rsid w:val="00B722FD"/>
    <w:rsid w:val="00B72675"/>
    <w:rsid w:val="00B7317A"/>
    <w:rsid w:val="00B73619"/>
    <w:rsid w:val="00B73831"/>
    <w:rsid w:val="00B73AB6"/>
    <w:rsid w:val="00B748D7"/>
    <w:rsid w:val="00B751EA"/>
    <w:rsid w:val="00B760F1"/>
    <w:rsid w:val="00B76F92"/>
    <w:rsid w:val="00B774FE"/>
    <w:rsid w:val="00B7759F"/>
    <w:rsid w:val="00B8005D"/>
    <w:rsid w:val="00B813D5"/>
    <w:rsid w:val="00B819D4"/>
    <w:rsid w:val="00B81CDA"/>
    <w:rsid w:val="00B8209F"/>
    <w:rsid w:val="00B8220F"/>
    <w:rsid w:val="00B82720"/>
    <w:rsid w:val="00B82908"/>
    <w:rsid w:val="00B83055"/>
    <w:rsid w:val="00B83733"/>
    <w:rsid w:val="00B837B7"/>
    <w:rsid w:val="00B837D1"/>
    <w:rsid w:val="00B83B3C"/>
    <w:rsid w:val="00B84608"/>
    <w:rsid w:val="00B852D4"/>
    <w:rsid w:val="00B85615"/>
    <w:rsid w:val="00B856B4"/>
    <w:rsid w:val="00B859D4"/>
    <w:rsid w:val="00B85EDB"/>
    <w:rsid w:val="00B86199"/>
    <w:rsid w:val="00B86415"/>
    <w:rsid w:val="00B869F5"/>
    <w:rsid w:val="00B86DEF"/>
    <w:rsid w:val="00B87165"/>
    <w:rsid w:val="00B87FEF"/>
    <w:rsid w:val="00B901DB"/>
    <w:rsid w:val="00B90602"/>
    <w:rsid w:val="00B91830"/>
    <w:rsid w:val="00B928ED"/>
    <w:rsid w:val="00B92B14"/>
    <w:rsid w:val="00B9368F"/>
    <w:rsid w:val="00B93730"/>
    <w:rsid w:val="00B9452D"/>
    <w:rsid w:val="00B94766"/>
    <w:rsid w:val="00B94E02"/>
    <w:rsid w:val="00B9542B"/>
    <w:rsid w:val="00B95F5F"/>
    <w:rsid w:val="00B966B7"/>
    <w:rsid w:val="00B97A2C"/>
    <w:rsid w:val="00B97FE1"/>
    <w:rsid w:val="00BA03F1"/>
    <w:rsid w:val="00BA04F4"/>
    <w:rsid w:val="00BA1A55"/>
    <w:rsid w:val="00BA275E"/>
    <w:rsid w:val="00BA2898"/>
    <w:rsid w:val="00BA2C1D"/>
    <w:rsid w:val="00BA30DB"/>
    <w:rsid w:val="00BA31B7"/>
    <w:rsid w:val="00BA40E8"/>
    <w:rsid w:val="00BA41AF"/>
    <w:rsid w:val="00BA42CB"/>
    <w:rsid w:val="00BA44FB"/>
    <w:rsid w:val="00BA512B"/>
    <w:rsid w:val="00BA5427"/>
    <w:rsid w:val="00BA5B34"/>
    <w:rsid w:val="00BA6A52"/>
    <w:rsid w:val="00BA6C8C"/>
    <w:rsid w:val="00BA71F7"/>
    <w:rsid w:val="00BA7386"/>
    <w:rsid w:val="00BB0089"/>
    <w:rsid w:val="00BB1A43"/>
    <w:rsid w:val="00BB2417"/>
    <w:rsid w:val="00BB24AB"/>
    <w:rsid w:val="00BB3141"/>
    <w:rsid w:val="00BB3AB6"/>
    <w:rsid w:val="00BB448A"/>
    <w:rsid w:val="00BB457A"/>
    <w:rsid w:val="00BB4889"/>
    <w:rsid w:val="00BB4B49"/>
    <w:rsid w:val="00BB4EB6"/>
    <w:rsid w:val="00BB5CF7"/>
    <w:rsid w:val="00BB6DAC"/>
    <w:rsid w:val="00BB77F6"/>
    <w:rsid w:val="00BC07B5"/>
    <w:rsid w:val="00BC09D3"/>
    <w:rsid w:val="00BC0E1B"/>
    <w:rsid w:val="00BC1F65"/>
    <w:rsid w:val="00BC24DA"/>
    <w:rsid w:val="00BC2824"/>
    <w:rsid w:val="00BC2DE7"/>
    <w:rsid w:val="00BC2ECC"/>
    <w:rsid w:val="00BC2F7A"/>
    <w:rsid w:val="00BC356D"/>
    <w:rsid w:val="00BC377A"/>
    <w:rsid w:val="00BC3CBE"/>
    <w:rsid w:val="00BC4D14"/>
    <w:rsid w:val="00BC57CD"/>
    <w:rsid w:val="00BC5FDC"/>
    <w:rsid w:val="00BC67A4"/>
    <w:rsid w:val="00BC6AB5"/>
    <w:rsid w:val="00BC7190"/>
    <w:rsid w:val="00BC79EE"/>
    <w:rsid w:val="00BC7ED4"/>
    <w:rsid w:val="00BD0437"/>
    <w:rsid w:val="00BD0E2C"/>
    <w:rsid w:val="00BD12A5"/>
    <w:rsid w:val="00BD1652"/>
    <w:rsid w:val="00BD2F72"/>
    <w:rsid w:val="00BD369C"/>
    <w:rsid w:val="00BD5C1C"/>
    <w:rsid w:val="00BD5DD2"/>
    <w:rsid w:val="00BD7CF1"/>
    <w:rsid w:val="00BE0217"/>
    <w:rsid w:val="00BE14AB"/>
    <w:rsid w:val="00BE1693"/>
    <w:rsid w:val="00BE28DB"/>
    <w:rsid w:val="00BE2F19"/>
    <w:rsid w:val="00BE2FC7"/>
    <w:rsid w:val="00BE3141"/>
    <w:rsid w:val="00BE3206"/>
    <w:rsid w:val="00BE3C93"/>
    <w:rsid w:val="00BE448E"/>
    <w:rsid w:val="00BE5B89"/>
    <w:rsid w:val="00BE5DD7"/>
    <w:rsid w:val="00BE6050"/>
    <w:rsid w:val="00BE6985"/>
    <w:rsid w:val="00BE7613"/>
    <w:rsid w:val="00BE776A"/>
    <w:rsid w:val="00BE7C2C"/>
    <w:rsid w:val="00BF17FC"/>
    <w:rsid w:val="00BF1892"/>
    <w:rsid w:val="00BF1DC5"/>
    <w:rsid w:val="00BF24A2"/>
    <w:rsid w:val="00BF2B31"/>
    <w:rsid w:val="00BF353A"/>
    <w:rsid w:val="00BF3CDF"/>
    <w:rsid w:val="00BF3DEE"/>
    <w:rsid w:val="00BF4B4E"/>
    <w:rsid w:val="00BF4B83"/>
    <w:rsid w:val="00BF52EB"/>
    <w:rsid w:val="00BF548C"/>
    <w:rsid w:val="00BF593E"/>
    <w:rsid w:val="00BF60A0"/>
    <w:rsid w:val="00BF63A7"/>
    <w:rsid w:val="00BF644B"/>
    <w:rsid w:val="00BF7107"/>
    <w:rsid w:val="00BF73D1"/>
    <w:rsid w:val="00C01D29"/>
    <w:rsid w:val="00C01DDD"/>
    <w:rsid w:val="00C020BE"/>
    <w:rsid w:val="00C022E5"/>
    <w:rsid w:val="00C0235A"/>
    <w:rsid w:val="00C02DEC"/>
    <w:rsid w:val="00C02F36"/>
    <w:rsid w:val="00C0359C"/>
    <w:rsid w:val="00C045F8"/>
    <w:rsid w:val="00C06212"/>
    <w:rsid w:val="00C064C8"/>
    <w:rsid w:val="00C064F1"/>
    <w:rsid w:val="00C0666B"/>
    <w:rsid w:val="00C0684F"/>
    <w:rsid w:val="00C068C2"/>
    <w:rsid w:val="00C07773"/>
    <w:rsid w:val="00C07B80"/>
    <w:rsid w:val="00C07D8C"/>
    <w:rsid w:val="00C1019C"/>
    <w:rsid w:val="00C10227"/>
    <w:rsid w:val="00C111ED"/>
    <w:rsid w:val="00C11B90"/>
    <w:rsid w:val="00C12F23"/>
    <w:rsid w:val="00C13D71"/>
    <w:rsid w:val="00C13F59"/>
    <w:rsid w:val="00C144CE"/>
    <w:rsid w:val="00C14FDB"/>
    <w:rsid w:val="00C155DC"/>
    <w:rsid w:val="00C161CB"/>
    <w:rsid w:val="00C163BA"/>
    <w:rsid w:val="00C1659A"/>
    <w:rsid w:val="00C1702C"/>
    <w:rsid w:val="00C17245"/>
    <w:rsid w:val="00C175CE"/>
    <w:rsid w:val="00C17E5F"/>
    <w:rsid w:val="00C17E90"/>
    <w:rsid w:val="00C20711"/>
    <w:rsid w:val="00C22143"/>
    <w:rsid w:val="00C2219B"/>
    <w:rsid w:val="00C22D9A"/>
    <w:rsid w:val="00C23432"/>
    <w:rsid w:val="00C234E8"/>
    <w:rsid w:val="00C2452E"/>
    <w:rsid w:val="00C25AC2"/>
    <w:rsid w:val="00C26981"/>
    <w:rsid w:val="00C26C7E"/>
    <w:rsid w:val="00C27EAE"/>
    <w:rsid w:val="00C302C8"/>
    <w:rsid w:val="00C304DC"/>
    <w:rsid w:val="00C3158F"/>
    <w:rsid w:val="00C31BB7"/>
    <w:rsid w:val="00C321D0"/>
    <w:rsid w:val="00C32C1E"/>
    <w:rsid w:val="00C32ED2"/>
    <w:rsid w:val="00C332A7"/>
    <w:rsid w:val="00C3334B"/>
    <w:rsid w:val="00C34F13"/>
    <w:rsid w:val="00C352DB"/>
    <w:rsid w:val="00C35491"/>
    <w:rsid w:val="00C35F77"/>
    <w:rsid w:val="00C367DF"/>
    <w:rsid w:val="00C37408"/>
    <w:rsid w:val="00C37EE1"/>
    <w:rsid w:val="00C405BB"/>
    <w:rsid w:val="00C40A4A"/>
    <w:rsid w:val="00C413CA"/>
    <w:rsid w:val="00C41B93"/>
    <w:rsid w:val="00C4264B"/>
    <w:rsid w:val="00C43865"/>
    <w:rsid w:val="00C440E0"/>
    <w:rsid w:val="00C44AA2"/>
    <w:rsid w:val="00C45140"/>
    <w:rsid w:val="00C46A53"/>
    <w:rsid w:val="00C47859"/>
    <w:rsid w:val="00C51946"/>
    <w:rsid w:val="00C52161"/>
    <w:rsid w:val="00C52494"/>
    <w:rsid w:val="00C5280C"/>
    <w:rsid w:val="00C52D0A"/>
    <w:rsid w:val="00C53A02"/>
    <w:rsid w:val="00C53C1D"/>
    <w:rsid w:val="00C54574"/>
    <w:rsid w:val="00C54AFC"/>
    <w:rsid w:val="00C54FA2"/>
    <w:rsid w:val="00C556B0"/>
    <w:rsid w:val="00C55796"/>
    <w:rsid w:val="00C55ACB"/>
    <w:rsid w:val="00C5666B"/>
    <w:rsid w:val="00C57294"/>
    <w:rsid w:val="00C60235"/>
    <w:rsid w:val="00C60A1F"/>
    <w:rsid w:val="00C60A60"/>
    <w:rsid w:val="00C61FFE"/>
    <w:rsid w:val="00C621EB"/>
    <w:rsid w:val="00C6228E"/>
    <w:rsid w:val="00C62299"/>
    <w:rsid w:val="00C626CA"/>
    <w:rsid w:val="00C6301D"/>
    <w:rsid w:val="00C63A32"/>
    <w:rsid w:val="00C63E73"/>
    <w:rsid w:val="00C6466F"/>
    <w:rsid w:val="00C653C0"/>
    <w:rsid w:val="00C66681"/>
    <w:rsid w:val="00C66967"/>
    <w:rsid w:val="00C66EF8"/>
    <w:rsid w:val="00C67099"/>
    <w:rsid w:val="00C6728A"/>
    <w:rsid w:val="00C67AAE"/>
    <w:rsid w:val="00C67E94"/>
    <w:rsid w:val="00C70487"/>
    <w:rsid w:val="00C70F76"/>
    <w:rsid w:val="00C71662"/>
    <w:rsid w:val="00C7166C"/>
    <w:rsid w:val="00C7173C"/>
    <w:rsid w:val="00C72154"/>
    <w:rsid w:val="00C7225F"/>
    <w:rsid w:val="00C72A18"/>
    <w:rsid w:val="00C734A7"/>
    <w:rsid w:val="00C73F4C"/>
    <w:rsid w:val="00C74593"/>
    <w:rsid w:val="00C74E1E"/>
    <w:rsid w:val="00C75749"/>
    <w:rsid w:val="00C75EB4"/>
    <w:rsid w:val="00C760A5"/>
    <w:rsid w:val="00C76838"/>
    <w:rsid w:val="00C770B4"/>
    <w:rsid w:val="00C7766D"/>
    <w:rsid w:val="00C7781E"/>
    <w:rsid w:val="00C77E25"/>
    <w:rsid w:val="00C77F60"/>
    <w:rsid w:val="00C800E8"/>
    <w:rsid w:val="00C8150A"/>
    <w:rsid w:val="00C82399"/>
    <w:rsid w:val="00C83175"/>
    <w:rsid w:val="00C832E1"/>
    <w:rsid w:val="00C8340D"/>
    <w:rsid w:val="00C83599"/>
    <w:rsid w:val="00C83CB6"/>
    <w:rsid w:val="00C85128"/>
    <w:rsid w:val="00C85973"/>
    <w:rsid w:val="00C85C91"/>
    <w:rsid w:val="00C879DC"/>
    <w:rsid w:val="00C90118"/>
    <w:rsid w:val="00C91400"/>
    <w:rsid w:val="00C91910"/>
    <w:rsid w:val="00C91DA8"/>
    <w:rsid w:val="00C92979"/>
    <w:rsid w:val="00C931BA"/>
    <w:rsid w:val="00C937CB"/>
    <w:rsid w:val="00C93914"/>
    <w:rsid w:val="00C946E7"/>
    <w:rsid w:val="00C9559B"/>
    <w:rsid w:val="00C961A9"/>
    <w:rsid w:val="00C96CA8"/>
    <w:rsid w:val="00C96DEC"/>
    <w:rsid w:val="00C96E0B"/>
    <w:rsid w:val="00C97F1C"/>
    <w:rsid w:val="00CA0CE0"/>
    <w:rsid w:val="00CA0D5C"/>
    <w:rsid w:val="00CA0E2B"/>
    <w:rsid w:val="00CA1794"/>
    <w:rsid w:val="00CA1ED8"/>
    <w:rsid w:val="00CA3068"/>
    <w:rsid w:val="00CA3B94"/>
    <w:rsid w:val="00CA3D3A"/>
    <w:rsid w:val="00CA4320"/>
    <w:rsid w:val="00CA4E2A"/>
    <w:rsid w:val="00CA55A9"/>
    <w:rsid w:val="00CA5954"/>
    <w:rsid w:val="00CA6E66"/>
    <w:rsid w:val="00CA7376"/>
    <w:rsid w:val="00CA7A5D"/>
    <w:rsid w:val="00CB0605"/>
    <w:rsid w:val="00CB0726"/>
    <w:rsid w:val="00CB0759"/>
    <w:rsid w:val="00CB0761"/>
    <w:rsid w:val="00CB0990"/>
    <w:rsid w:val="00CB0C90"/>
    <w:rsid w:val="00CB1804"/>
    <w:rsid w:val="00CB18CD"/>
    <w:rsid w:val="00CB3AC6"/>
    <w:rsid w:val="00CB46BB"/>
    <w:rsid w:val="00CB50ED"/>
    <w:rsid w:val="00CB5387"/>
    <w:rsid w:val="00CB551D"/>
    <w:rsid w:val="00CB5BE3"/>
    <w:rsid w:val="00CB5E12"/>
    <w:rsid w:val="00CB7790"/>
    <w:rsid w:val="00CB7991"/>
    <w:rsid w:val="00CC021E"/>
    <w:rsid w:val="00CC0CC6"/>
    <w:rsid w:val="00CC0DF8"/>
    <w:rsid w:val="00CC10F7"/>
    <w:rsid w:val="00CC20FE"/>
    <w:rsid w:val="00CC2492"/>
    <w:rsid w:val="00CC2E07"/>
    <w:rsid w:val="00CC3E76"/>
    <w:rsid w:val="00CC4302"/>
    <w:rsid w:val="00CC51E6"/>
    <w:rsid w:val="00CC5A84"/>
    <w:rsid w:val="00CC617A"/>
    <w:rsid w:val="00CC6289"/>
    <w:rsid w:val="00CC7066"/>
    <w:rsid w:val="00CD01AE"/>
    <w:rsid w:val="00CD0267"/>
    <w:rsid w:val="00CD0334"/>
    <w:rsid w:val="00CD0789"/>
    <w:rsid w:val="00CD0CA0"/>
    <w:rsid w:val="00CD0D97"/>
    <w:rsid w:val="00CD103A"/>
    <w:rsid w:val="00CD13CA"/>
    <w:rsid w:val="00CD1788"/>
    <w:rsid w:val="00CD1C2B"/>
    <w:rsid w:val="00CD1CB3"/>
    <w:rsid w:val="00CD1DEE"/>
    <w:rsid w:val="00CD3097"/>
    <w:rsid w:val="00CD34DB"/>
    <w:rsid w:val="00CD367D"/>
    <w:rsid w:val="00CD3ADB"/>
    <w:rsid w:val="00CD3F99"/>
    <w:rsid w:val="00CD4FA7"/>
    <w:rsid w:val="00CD5536"/>
    <w:rsid w:val="00CD620B"/>
    <w:rsid w:val="00CD6604"/>
    <w:rsid w:val="00CD673E"/>
    <w:rsid w:val="00CE0105"/>
    <w:rsid w:val="00CE0900"/>
    <w:rsid w:val="00CE10EF"/>
    <w:rsid w:val="00CE1163"/>
    <w:rsid w:val="00CE12BF"/>
    <w:rsid w:val="00CE1535"/>
    <w:rsid w:val="00CE1742"/>
    <w:rsid w:val="00CE2907"/>
    <w:rsid w:val="00CE2B29"/>
    <w:rsid w:val="00CE3569"/>
    <w:rsid w:val="00CE3997"/>
    <w:rsid w:val="00CE3BAB"/>
    <w:rsid w:val="00CE3DA1"/>
    <w:rsid w:val="00CE4C99"/>
    <w:rsid w:val="00CE4FD0"/>
    <w:rsid w:val="00CE4FD7"/>
    <w:rsid w:val="00CE5021"/>
    <w:rsid w:val="00CE5D2D"/>
    <w:rsid w:val="00CE75E0"/>
    <w:rsid w:val="00CF02B7"/>
    <w:rsid w:val="00CF1686"/>
    <w:rsid w:val="00CF2BC8"/>
    <w:rsid w:val="00CF452A"/>
    <w:rsid w:val="00CF4A44"/>
    <w:rsid w:val="00CF5500"/>
    <w:rsid w:val="00CF6D66"/>
    <w:rsid w:val="00CF7AC1"/>
    <w:rsid w:val="00D00567"/>
    <w:rsid w:val="00D00628"/>
    <w:rsid w:val="00D007E2"/>
    <w:rsid w:val="00D00DC0"/>
    <w:rsid w:val="00D01248"/>
    <w:rsid w:val="00D012E7"/>
    <w:rsid w:val="00D026DF"/>
    <w:rsid w:val="00D02739"/>
    <w:rsid w:val="00D03026"/>
    <w:rsid w:val="00D033F0"/>
    <w:rsid w:val="00D03A27"/>
    <w:rsid w:val="00D03CA4"/>
    <w:rsid w:val="00D0423D"/>
    <w:rsid w:val="00D05379"/>
    <w:rsid w:val="00D05A02"/>
    <w:rsid w:val="00D05E02"/>
    <w:rsid w:val="00D05F3F"/>
    <w:rsid w:val="00D06572"/>
    <w:rsid w:val="00D06BA6"/>
    <w:rsid w:val="00D06EA2"/>
    <w:rsid w:val="00D07104"/>
    <w:rsid w:val="00D073BA"/>
    <w:rsid w:val="00D07746"/>
    <w:rsid w:val="00D10FB6"/>
    <w:rsid w:val="00D112E1"/>
    <w:rsid w:val="00D114EA"/>
    <w:rsid w:val="00D12495"/>
    <w:rsid w:val="00D13256"/>
    <w:rsid w:val="00D13939"/>
    <w:rsid w:val="00D13A16"/>
    <w:rsid w:val="00D13C5E"/>
    <w:rsid w:val="00D14B82"/>
    <w:rsid w:val="00D15364"/>
    <w:rsid w:val="00D1568C"/>
    <w:rsid w:val="00D16517"/>
    <w:rsid w:val="00D16821"/>
    <w:rsid w:val="00D16887"/>
    <w:rsid w:val="00D169C6"/>
    <w:rsid w:val="00D175E3"/>
    <w:rsid w:val="00D17620"/>
    <w:rsid w:val="00D17EC0"/>
    <w:rsid w:val="00D2142E"/>
    <w:rsid w:val="00D22405"/>
    <w:rsid w:val="00D22C39"/>
    <w:rsid w:val="00D22D4A"/>
    <w:rsid w:val="00D22EA9"/>
    <w:rsid w:val="00D23674"/>
    <w:rsid w:val="00D23992"/>
    <w:rsid w:val="00D24062"/>
    <w:rsid w:val="00D2406A"/>
    <w:rsid w:val="00D24D23"/>
    <w:rsid w:val="00D2500F"/>
    <w:rsid w:val="00D26B76"/>
    <w:rsid w:val="00D27595"/>
    <w:rsid w:val="00D275AD"/>
    <w:rsid w:val="00D275CF"/>
    <w:rsid w:val="00D27725"/>
    <w:rsid w:val="00D305DA"/>
    <w:rsid w:val="00D306DD"/>
    <w:rsid w:val="00D307B6"/>
    <w:rsid w:val="00D30EA4"/>
    <w:rsid w:val="00D31A2A"/>
    <w:rsid w:val="00D31E3B"/>
    <w:rsid w:val="00D31F84"/>
    <w:rsid w:val="00D3281A"/>
    <w:rsid w:val="00D32BCB"/>
    <w:rsid w:val="00D330DC"/>
    <w:rsid w:val="00D34130"/>
    <w:rsid w:val="00D342B0"/>
    <w:rsid w:val="00D351C9"/>
    <w:rsid w:val="00D35212"/>
    <w:rsid w:val="00D353E8"/>
    <w:rsid w:val="00D36E63"/>
    <w:rsid w:val="00D371B8"/>
    <w:rsid w:val="00D405BA"/>
    <w:rsid w:val="00D40A4F"/>
    <w:rsid w:val="00D40EA7"/>
    <w:rsid w:val="00D41523"/>
    <w:rsid w:val="00D416B7"/>
    <w:rsid w:val="00D41906"/>
    <w:rsid w:val="00D41BB6"/>
    <w:rsid w:val="00D42BF5"/>
    <w:rsid w:val="00D42CEF"/>
    <w:rsid w:val="00D433A4"/>
    <w:rsid w:val="00D44C98"/>
    <w:rsid w:val="00D4572B"/>
    <w:rsid w:val="00D45A06"/>
    <w:rsid w:val="00D45E50"/>
    <w:rsid w:val="00D461D2"/>
    <w:rsid w:val="00D46D23"/>
    <w:rsid w:val="00D47298"/>
    <w:rsid w:val="00D52355"/>
    <w:rsid w:val="00D53B43"/>
    <w:rsid w:val="00D53D03"/>
    <w:rsid w:val="00D5485A"/>
    <w:rsid w:val="00D54965"/>
    <w:rsid w:val="00D549E2"/>
    <w:rsid w:val="00D54D9B"/>
    <w:rsid w:val="00D553D5"/>
    <w:rsid w:val="00D55941"/>
    <w:rsid w:val="00D567E6"/>
    <w:rsid w:val="00D569C6"/>
    <w:rsid w:val="00D576D4"/>
    <w:rsid w:val="00D615B1"/>
    <w:rsid w:val="00D62277"/>
    <w:rsid w:val="00D622B4"/>
    <w:rsid w:val="00D6403A"/>
    <w:rsid w:val="00D6416C"/>
    <w:rsid w:val="00D64537"/>
    <w:rsid w:val="00D64801"/>
    <w:rsid w:val="00D649F4"/>
    <w:rsid w:val="00D6513F"/>
    <w:rsid w:val="00D65B5C"/>
    <w:rsid w:val="00D662D5"/>
    <w:rsid w:val="00D6732B"/>
    <w:rsid w:val="00D70064"/>
    <w:rsid w:val="00D732CF"/>
    <w:rsid w:val="00D741EB"/>
    <w:rsid w:val="00D7433B"/>
    <w:rsid w:val="00D75FBE"/>
    <w:rsid w:val="00D764F5"/>
    <w:rsid w:val="00D76B8D"/>
    <w:rsid w:val="00D76E69"/>
    <w:rsid w:val="00D77D30"/>
    <w:rsid w:val="00D801E6"/>
    <w:rsid w:val="00D80614"/>
    <w:rsid w:val="00D8065A"/>
    <w:rsid w:val="00D8093D"/>
    <w:rsid w:val="00D81CD2"/>
    <w:rsid w:val="00D836DD"/>
    <w:rsid w:val="00D83AD6"/>
    <w:rsid w:val="00D84400"/>
    <w:rsid w:val="00D8534A"/>
    <w:rsid w:val="00D859CC"/>
    <w:rsid w:val="00D86710"/>
    <w:rsid w:val="00D86B6B"/>
    <w:rsid w:val="00D86C44"/>
    <w:rsid w:val="00D90CF4"/>
    <w:rsid w:val="00D91C26"/>
    <w:rsid w:val="00D91E0E"/>
    <w:rsid w:val="00DA078C"/>
    <w:rsid w:val="00DA07D4"/>
    <w:rsid w:val="00DA0A7D"/>
    <w:rsid w:val="00DA0C6F"/>
    <w:rsid w:val="00DA0D56"/>
    <w:rsid w:val="00DA0D96"/>
    <w:rsid w:val="00DA0F16"/>
    <w:rsid w:val="00DA1388"/>
    <w:rsid w:val="00DA1A0C"/>
    <w:rsid w:val="00DA1FC8"/>
    <w:rsid w:val="00DA220A"/>
    <w:rsid w:val="00DA255B"/>
    <w:rsid w:val="00DA2CFF"/>
    <w:rsid w:val="00DA2F80"/>
    <w:rsid w:val="00DA3144"/>
    <w:rsid w:val="00DA4930"/>
    <w:rsid w:val="00DA4F88"/>
    <w:rsid w:val="00DA5544"/>
    <w:rsid w:val="00DA57C0"/>
    <w:rsid w:val="00DA5991"/>
    <w:rsid w:val="00DA6317"/>
    <w:rsid w:val="00DA66BA"/>
    <w:rsid w:val="00DA7235"/>
    <w:rsid w:val="00DA7309"/>
    <w:rsid w:val="00DA7DA4"/>
    <w:rsid w:val="00DA7E95"/>
    <w:rsid w:val="00DB0287"/>
    <w:rsid w:val="00DB02B3"/>
    <w:rsid w:val="00DB0483"/>
    <w:rsid w:val="00DB08D9"/>
    <w:rsid w:val="00DB0B18"/>
    <w:rsid w:val="00DB10BF"/>
    <w:rsid w:val="00DB1182"/>
    <w:rsid w:val="00DB12FB"/>
    <w:rsid w:val="00DB214F"/>
    <w:rsid w:val="00DB2D30"/>
    <w:rsid w:val="00DB3D40"/>
    <w:rsid w:val="00DB3E88"/>
    <w:rsid w:val="00DB3F3E"/>
    <w:rsid w:val="00DB4298"/>
    <w:rsid w:val="00DB4396"/>
    <w:rsid w:val="00DB466B"/>
    <w:rsid w:val="00DB5A59"/>
    <w:rsid w:val="00DC094E"/>
    <w:rsid w:val="00DC0CDA"/>
    <w:rsid w:val="00DC1AF2"/>
    <w:rsid w:val="00DC24DF"/>
    <w:rsid w:val="00DC2719"/>
    <w:rsid w:val="00DC3370"/>
    <w:rsid w:val="00DC3A63"/>
    <w:rsid w:val="00DC403F"/>
    <w:rsid w:val="00DC4672"/>
    <w:rsid w:val="00DC47C9"/>
    <w:rsid w:val="00DC529B"/>
    <w:rsid w:val="00DC5607"/>
    <w:rsid w:val="00DC5BE4"/>
    <w:rsid w:val="00DC5C31"/>
    <w:rsid w:val="00DC5C49"/>
    <w:rsid w:val="00DC6079"/>
    <w:rsid w:val="00DC6212"/>
    <w:rsid w:val="00DC6282"/>
    <w:rsid w:val="00DC6C28"/>
    <w:rsid w:val="00DC6C76"/>
    <w:rsid w:val="00DC6C7B"/>
    <w:rsid w:val="00DC7779"/>
    <w:rsid w:val="00DC7EC4"/>
    <w:rsid w:val="00DD0B33"/>
    <w:rsid w:val="00DD10BB"/>
    <w:rsid w:val="00DD1D22"/>
    <w:rsid w:val="00DD2982"/>
    <w:rsid w:val="00DD4551"/>
    <w:rsid w:val="00DD45B0"/>
    <w:rsid w:val="00DD45F3"/>
    <w:rsid w:val="00DD4E3F"/>
    <w:rsid w:val="00DD4E97"/>
    <w:rsid w:val="00DD57A8"/>
    <w:rsid w:val="00DD5DD5"/>
    <w:rsid w:val="00DD632B"/>
    <w:rsid w:val="00DD6653"/>
    <w:rsid w:val="00DE016E"/>
    <w:rsid w:val="00DE0523"/>
    <w:rsid w:val="00DE0A79"/>
    <w:rsid w:val="00DE0CF0"/>
    <w:rsid w:val="00DE18C3"/>
    <w:rsid w:val="00DE321A"/>
    <w:rsid w:val="00DE334D"/>
    <w:rsid w:val="00DE360E"/>
    <w:rsid w:val="00DE3E70"/>
    <w:rsid w:val="00DE4116"/>
    <w:rsid w:val="00DE4766"/>
    <w:rsid w:val="00DE4933"/>
    <w:rsid w:val="00DE5343"/>
    <w:rsid w:val="00DE563A"/>
    <w:rsid w:val="00DE626C"/>
    <w:rsid w:val="00DF135A"/>
    <w:rsid w:val="00DF1510"/>
    <w:rsid w:val="00DF2EAE"/>
    <w:rsid w:val="00DF31F1"/>
    <w:rsid w:val="00DF3269"/>
    <w:rsid w:val="00DF3D2F"/>
    <w:rsid w:val="00DF4635"/>
    <w:rsid w:val="00DF49EF"/>
    <w:rsid w:val="00DF5317"/>
    <w:rsid w:val="00DF636A"/>
    <w:rsid w:val="00DF6B16"/>
    <w:rsid w:val="00DF768F"/>
    <w:rsid w:val="00E00362"/>
    <w:rsid w:val="00E00DF5"/>
    <w:rsid w:val="00E0121A"/>
    <w:rsid w:val="00E02000"/>
    <w:rsid w:val="00E02837"/>
    <w:rsid w:val="00E02BCF"/>
    <w:rsid w:val="00E02D90"/>
    <w:rsid w:val="00E03AD9"/>
    <w:rsid w:val="00E0476D"/>
    <w:rsid w:val="00E04BD4"/>
    <w:rsid w:val="00E063F5"/>
    <w:rsid w:val="00E06B86"/>
    <w:rsid w:val="00E06F5B"/>
    <w:rsid w:val="00E073EA"/>
    <w:rsid w:val="00E1026A"/>
    <w:rsid w:val="00E10520"/>
    <w:rsid w:val="00E10BB2"/>
    <w:rsid w:val="00E10E5A"/>
    <w:rsid w:val="00E11A91"/>
    <w:rsid w:val="00E125D8"/>
    <w:rsid w:val="00E128CD"/>
    <w:rsid w:val="00E1347A"/>
    <w:rsid w:val="00E13C21"/>
    <w:rsid w:val="00E14A12"/>
    <w:rsid w:val="00E14F1E"/>
    <w:rsid w:val="00E153F8"/>
    <w:rsid w:val="00E1546B"/>
    <w:rsid w:val="00E15901"/>
    <w:rsid w:val="00E15C13"/>
    <w:rsid w:val="00E15F9D"/>
    <w:rsid w:val="00E15FF4"/>
    <w:rsid w:val="00E1627D"/>
    <w:rsid w:val="00E16906"/>
    <w:rsid w:val="00E16C64"/>
    <w:rsid w:val="00E17DCF"/>
    <w:rsid w:val="00E20202"/>
    <w:rsid w:val="00E206B1"/>
    <w:rsid w:val="00E20D1A"/>
    <w:rsid w:val="00E21F42"/>
    <w:rsid w:val="00E22324"/>
    <w:rsid w:val="00E2255C"/>
    <w:rsid w:val="00E22CAE"/>
    <w:rsid w:val="00E230A6"/>
    <w:rsid w:val="00E232FC"/>
    <w:rsid w:val="00E23309"/>
    <w:rsid w:val="00E234A1"/>
    <w:rsid w:val="00E235A3"/>
    <w:rsid w:val="00E243A0"/>
    <w:rsid w:val="00E24E06"/>
    <w:rsid w:val="00E25BC9"/>
    <w:rsid w:val="00E2694F"/>
    <w:rsid w:val="00E279DE"/>
    <w:rsid w:val="00E3179C"/>
    <w:rsid w:val="00E320FE"/>
    <w:rsid w:val="00E32834"/>
    <w:rsid w:val="00E32C31"/>
    <w:rsid w:val="00E337C6"/>
    <w:rsid w:val="00E3602F"/>
    <w:rsid w:val="00E36CEF"/>
    <w:rsid w:val="00E36F5A"/>
    <w:rsid w:val="00E3716D"/>
    <w:rsid w:val="00E37701"/>
    <w:rsid w:val="00E379FC"/>
    <w:rsid w:val="00E37F2B"/>
    <w:rsid w:val="00E40F4F"/>
    <w:rsid w:val="00E4145A"/>
    <w:rsid w:val="00E415B5"/>
    <w:rsid w:val="00E4176A"/>
    <w:rsid w:val="00E44103"/>
    <w:rsid w:val="00E44156"/>
    <w:rsid w:val="00E44A26"/>
    <w:rsid w:val="00E44AD9"/>
    <w:rsid w:val="00E45202"/>
    <w:rsid w:val="00E45BA3"/>
    <w:rsid w:val="00E462C2"/>
    <w:rsid w:val="00E46824"/>
    <w:rsid w:val="00E468BE"/>
    <w:rsid w:val="00E47BD4"/>
    <w:rsid w:val="00E50C87"/>
    <w:rsid w:val="00E50FE0"/>
    <w:rsid w:val="00E5105B"/>
    <w:rsid w:val="00E516DC"/>
    <w:rsid w:val="00E517EA"/>
    <w:rsid w:val="00E51C59"/>
    <w:rsid w:val="00E51DB8"/>
    <w:rsid w:val="00E52E51"/>
    <w:rsid w:val="00E52FC7"/>
    <w:rsid w:val="00E53723"/>
    <w:rsid w:val="00E5444D"/>
    <w:rsid w:val="00E55152"/>
    <w:rsid w:val="00E551A0"/>
    <w:rsid w:val="00E55650"/>
    <w:rsid w:val="00E5587A"/>
    <w:rsid w:val="00E55BA6"/>
    <w:rsid w:val="00E56CD7"/>
    <w:rsid w:val="00E56DD1"/>
    <w:rsid w:val="00E57979"/>
    <w:rsid w:val="00E57B72"/>
    <w:rsid w:val="00E57C84"/>
    <w:rsid w:val="00E57D1E"/>
    <w:rsid w:val="00E60514"/>
    <w:rsid w:val="00E612A5"/>
    <w:rsid w:val="00E614C3"/>
    <w:rsid w:val="00E61728"/>
    <w:rsid w:val="00E61921"/>
    <w:rsid w:val="00E62F91"/>
    <w:rsid w:val="00E634D4"/>
    <w:rsid w:val="00E63540"/>
    <w:rsid w:val="00E63731"/>
    <w:rsid w:val="00E640C6"/>
    <w:rsid w:val="00E64832"/>
    <w:rsid w:val="00E64972"/>
    <w:rsid w:val="00E65036"/>
    <w:rsid w:val="00E6525B"/>
    <w:rsid w:val="00E6560E"/>
    <w:rsid w:val="00E65E10"/>
    <w:rsid w:val="00E65F67"/>
    <w:rsid w:val="00E663C2"/>
    <w:rsid w:val="00E6678D"/>
    <w:rsid w:val="00E66FA1"/>
    <w:rsid w:val="00E6740B"/>
    <w:rsid w:val="00E6768D"/>
    <w:rsid w:val="00E70E38"/>
    <w:rsid w:val="00E71488"/>
    <w:rsid w:val="00E7189E"/>
    <w:rsid w:val="00E7230E"/>
    <w:rsid w:val="00E72BA1"/>
    <w:rsid w:val="00E73D2C"/>
    <w:rsid w:val="00E74283"/>
    <w:rsid w:val="00E762C3"/>
    <w:rsid w:val="00E76365"/>
    <w:rsid w:val="00E7671F"/>
    <w:rsid w:val="00E767F7"/>
    <w:rsid w:val="00E774DC"/>
    <w:rsid w:val="00E812DA"/>
    <w:rsid w:val="00E8180B"/>
    <w:rsid w:val="00E81D79"/>
    <w:rsid w:val="00E81F6C"/>
    <w:rsid w:val="00E8247C"/>
    <w:rsid w:val="00E834B4"/>
    <w:rsid w:val="00E838FF"/>
    <w:rsid w:val="00E83BEE"/>
    <w:rsid w:val="00E83E46"/>
    <w:rsid w:val="00E83F80"/>
    <w:rsid w:val="00E840BA"/>
    <w:rsid w:val="00E84C0A"/>
    <w:rsid w:val="00E84D37"/>
    <w:rsid w:val="00E84F6D"/>
    <w:rsid w:val="00E85264"/>
    <w:rsid w:val="00E85369"/>
    <w:rsid w:val="00E855CF"/>
    <w:rsid w:val="00E85968"/>
    <w:rsid w:val="00E85A2B"/>
    <w:rsid w:val="00E86239"/>
    <w:rsid w:val="00E865C2"/>
    <w:rsid w:val="00E867E2"/>
    <w:rsid w:val="00E875DD"/>
    <w:rsid w:val="00E9065A"/>
    <w:rsid w:val="00E908AE"/>
    <w:rsid w:val="00E92123"/>
    <w:rsid w:val="00E93BD2"/>
    <w:rsid w:val="00E947F5"/>
    <w:rsid w:val="00E949CB"/>
    <w:rsid w:val="00E970E7"/>
    <w:rsid w:val="00E9773D"/>
    <w:rsid w:val="00E97827"/>
    <w:rsid w:val="00E97B91"/>
    <w:rsid w:val="00E97CE6"/>
    <w:rsid w:val="00EA08AA"/>
    <w:rsid w:val="00EA0A23"/>
    <w:rsid w:val="00EA150F"/>
    <w:rsid w:val="00EA1E71"/>
    <w:rsid w:val="00EA26A0"/>
    <w:rsid w:val="00EA28C4"/>
    <w:rsid w:val="00EA5A7C"/>
    <w:rsid w:val="00EA5BE3"/>
    <w:rsid w:val="00EA6E9E"/>
    <w:rsid w:val="00EA6ED6"/>
    <w:rsid w:val="00EA6EF0"/>
    <w:rsid w:val="00EA7775"/>
    <w:rsid w:val="00EB06D4"/>
    <w:rsid w:val="00EB07A7"/>
    <w:rsid w:val="00EB08B3"/>
    <w:rsid w:val="00EB163B"/>
    <w:rsid w:val="00EB1879"/>
    <w:rsid w:val="00EB200D"/>
    <w:rsid w:val="00EB2A5A"/>
    <w:rsid w:val="00EB2CE5"/>
    <w:rsid w:val="00EB2F47"/>
    <w:rsid w:val="00EB3412"/>
    <w:rsid w:val="00EB45AC"/>
    <w:rsid w:val="00EB4759"/>
    <w:rsid w:val="00EB485D"/>
    <w:rsid w:val="00EB4F6A"/>
    <w:rsid w:val="00EB5C9A"/>
    <w:rsid w:val="00EB60C6"/>
    <w:rsid w:val="00EB65B6"/>
    <w:rsid w:val="00EB71DE"/>
    <w:rsid w:val="00EB7437"/>
    <w:rsid w:val="00EB7AE5"/>
    <w:rsid w:val="00EC045C"/>
    <w:rsid w:val="00EC0C2B"/>
    <w:rsid w:val="00EC10BF"/>
    <w:rsid w:val="00EC118B"/>
    <w:rsid w:val="00EC12D7"/>
    <w:rsid w:val="00EC1509"/>
    <w:rsid w:val="00EC188B"/>
    <w:rsid w:val="00EC2B2E"/>
    <w:rsid w:val="00EC31C1"/>
    <w:rsid w:val="00EC3209"/>
    <w:rsid w:val="00EC332E"/>
    <w:rsid w:val="00EC5224"/>
    <w:rsid w:val="00EC52DA"/>
    <w:rsid w:val="00EC5469"/>
    <w:rsid w:val="00EC7440"/>
    <w:rsid w:val="00EC7A94"/>
    <w:rsid w:val="00EC7FB9"/>
    <w:rsid w:val="00ED1837"/>
    <w:rsid w:val="00ED270C"/>
    <w:rsid w:val="00ED2FD5"/>
    <w:rsid w:val="00ED308A"/>
    <w:rsid w:val="00ED3B18"/>
    <w:rsid w:val="00ED4C4F"/>
    <w:rsid w:val="00ED5FB4"/>
    <w:rsid w:val="00ED6C79"/>
    <w:rsid w:val="00ED6DEA"/>
    <w:rsid w:val="00ED79DB"/>
    <w:rsid w:val="00ED7F04"/>
    <w:rsid w:val="00EE0161"/>
    <w:rsid w:val="00EE06C0"/>
    <w:rsid w:val="00EE103F"/>
    <w:rsid w:val="00EE19F0"/>
    <w:rsid w:val="00EE1B5D"/>
    <w:rsid w:val="00EE1F5F"/>
    <w:rsid w:val="00EE22E1"/>
    <w:rsid w:val="00EE318F"/>
    <w:rsid w:val="00EE384D"/>
    <w:rsid w:val="00EE4A16"/>
    <w:rsid w:val="00EE4BB9"/>
    <w:rsid w:val="00EE6363"/>
    <w:rsid w:val="00EE6608"/>
    <w:rsid w:val="00EE6987"/>
    <w:rsid w:val="00EE7502"/>
    <w:rsid w:val="00EE75DA"/>
    <w:rsid w:val="00EE7FE5"/>
    <w:rsid w:val="00EF13AA"/>
    <w:rsid w:val="00EF288E"/>
    <w:rsid w:val="00EF2D33"/>
    <w:rsid w:val="00EF54C1"/>
    <w:rsid w:val="00EF5B22"/>
    <w:rsid w:val="00EF5C96"/>
    <w:rsid w:val="00EF61D6"/>
    <w:rsid w:val="00EF64EC"/>
    <w:rsid w:val="00EF65EC"/>
    <w:rsid w:val="00F012DD"/>
    <w:rsid w:val="00F01390"/>
    <w:rsid w:val="00F017A8"/>
    <w:rsid w:val="00F036C9"/>
    <w:rsid w:val="00F045A0"/>
    <w:rsid w:val="00F04F10"/>
    <w:rsid w:val="00F05309"/>
    <w:rsid w:val="00F053F1"/>
    <w:rsid w:val="00F05A54"/>
    <w:rsid w:val="00F062C6"/>
    <w:rsid w:val="00F06B05"/>
    <w:rsid w:val="00F07001"/>
    <w:rsid w:val="00F07331"/>
    <w:rsid w:val="00F073CB"/>
    <w:rsid w:val="00F101E4"/>
    <w:rsid w:val="00F1072B"/>
    <w:rsid w:val="00F11B6C"/>
    <w:rsid w:val="00F11E64"/>
    <w:rsid w:val="00F1210A"/>
    <w:rsid w:val="00F1278F"/>
    <w:rsid w:val="00F13B89"/>
    <w:rsid w:val="00F13C14"/>
    <w:rsid w:val="00F16422"/>
    <w:rsid w:val="00F164A9"/>
    <w:rsid w:val="00F16773"/>
    <w:rsid w:val="00F16800"/>
    <w:rsid w:val="00F16B76"/>
    <w:rsid w:val="00F1774B"/>
    <w:rsid w:val="00F17771"/>
    <w:rsid w:val="00F17EED"/>
    <w:rsid w:val="00F20214"/>
    <w:rsid w:val="00F20397"/>
    <w:rsid w:val="00F208A7"/>
    <w:rsid w:val="00F21333"/>
    <w:rsid w:val="00F237A9"/>
    <w:rsid w:val="00F23E79"/>
    <w:rsid w:val="00F24E9A"/>
    <w:rsid w:val="00F2553A"/>
    <w:rsid w:val="00F27089"/>
    <w:rsid w:val="00F273FA"/>
    <w:rsid w:val="00F2799B"/>
    <w:rsid w:val="00F30740"/>
    <w:rsid w:val="00F31814"/>
    <w:rsid w:val="00F3279E"/>
    <w:rsid w:val="00F32AB4"/>
    <w:rsid w:val="00F3383E"/>
    <w:rsid w:val="00F33F62"/>
    <w:rsid w:val="00F342FA"/>
    <w:rsid w:val="00F346F8"/>
    <w:rsid w:val="00F35CF9"/>
    <w:rsid w:val="00F35F41"/>
    <w:rsid w:val="00F36338"/>
    <w:rsid w:val="00F40EFD"/>
    <w:rsid w:val="00F41241"/>
    <w:rsid w:val="00F42594"/>
    <w:rsid w:val="00F43204"/>
    <w:rsid w:val="00F4333F"/>
    <w:rsid w:val="00F4387E"/>
    <w:rsid w:val="00F43B92"/>
    <w:rsid w:val="00F441A8"/>
    <w:rsid w:val="00F4420F"/>
    <w:rsid w:val="00F44C3E"/>
    <w:rsid w:val="00F45709"/>
    <w:rsid w:val="00F46184"/>
    <w:rsid w:val="00F4621D"/>
    <w:rsid w:val="00F46D3A"/>
    <w:rsid w:val="00F4743A"/>
    <w:rsid w:val="00F5259D"/>
    <w:rsid w:val="00F52852"/>
    <w:rsid w:val="00F54252"/>
    <w:rsid w:val="00F552BE"/>
    <w:rsid w:val="00F5532D"/>
    <w:rsid w:val="00F55D6D"/>
    <w:rsid w:val="00F55FD5"/>
    <w:rsid w:val="00F562D8"/>
    <w:rsid w:val="00F564FA"/>
    <w:rsid w:val="00F56C87"/>
    <w:rsid w:val="00F60246"/>
    <w:rsid w:val="00F60BC2"/>
    <w:rsid w:val="00F6186E"/>
    <w:rsid w:val="00F61954"/>
    <w:rsid w:val="00F61A4C"/>
    <w:rsid w:val="00F61E7D"/>
    <w:rsid w:val="00F6239D"/>
    <w:rsid w:val="00F6293A"/>
    <w:rsid w:val="00F62DB8"/>
    <w:rsid w:val="00F62FB4"/>
    <w:rsid w:val="00F6324B"/>
    <w:rsid w:val="00F633B5"/>
    <w:rsid w:val="00F63E8B"/>
    <w:rsid w:val="00F65130"/>
    <w:rsid w:val="00F66D1C"/>
    <w:rsid w:val="00F7052D"/>
    <w:rsid w:val="00F70D36"/>
    <w:rsid w:val="00F71962"/>
    <w:rsid w:val="00F727F1"/>
    <w:rsid w:val="00F72A42"/>
    <w:rsid w:val="00F72B93"/>
    <w:rsid w:val="00F74501"/>
    <w:rsid w:val="00F74EFE"/>
    <w:rsid w:val="00F74FCD"/>
    <w:rsid w:val="00F75860"/>
    <w:rsid w:val="00F75CC3"/>
    <w:rsid w:val="00F76153"/>
    <w:rsid w:val="00F76189"/>
    <w:rsid w:val="00F76D82"/>
    <w:rsid w:val="00F77637"/>
    <w:rsid w:val="00F77D5D"/>
    <w:rsid w:val="00F80A8B"/>
    <w:rsid w:val="00F8125D"/>
    <w:rsid w:val="00F81B41"/>
    <w:rsid w:val="00F81E3B"/>
    <w:rsid w:val="00F81F49"/>
    <w:rsid w:val="00F820AE"/>
    <w:rsid w:val="00F824C6"/>
    <w:rsid w:val="00F82FAA"/>
    <w:rsid w:val="00F83E8B"/>
    <w:rsid w:val="00F842AB"/>
    <w:rsid w:val="00F84B3C"/>
    <w:rsid w:val="00F84BC6"/>
    <w:rsid w:val="00F8518C"/>
    <w:rsid w:val="00F854FF"/>
    <w:rsid w:val="00F85C87"/>
    <w:rsid w:val="00F86A15"/>
    <w:rsid w:val="00F87D25"/>
    <w:rsid w:val="00F903E2"/>
    <w:rsid w:val="00F905EF"/>
    <w:rsid w:val="00F909ED"/>
    <w:rsid w:val="00F9230A"/>
    <w:rsid w:val="00F93180"/>
    <w:rsid w:val="00F93DBF"/>
    <w:rsid w:val="00F95700"/>
    <w:rsid w:val="00F96C9F"/>
    <w:rsid w:val="00F96E85"/>
    <w:rsid w:val="00F9705A"/>
    <w:rsid w:val="00F97776"/>
    <w:rsid w:val="00F977F1"/>
    <w:rsid w:val="00F97AB2"/>
    <w:rsid w:val="00FA0293"/>
    <w:rsid w:val="00FA0E55"/>
    <w:rsid w:val="00FA1094"/>
    <w:rsid w:val="00FA22EA"/>
    <w:rsid w:val="00FA26DC"/>
    <w:rsid w:val="00FA27B1"/>
    <w:rsid w:val="00FA42E2"/>
    <w:rsid w:val="00FA4762"/>
    <w:rsid w:val="00FA5026"/>
    <w:rsid w:val="00FA5173"/>
    <w:rsid w:val="00FA5778"/>
    <w:rsid w:val="00FA5C81"/>
    <w:rsid w:val="00FA5FE2"/>
    <w:rsid w:val="00FA69B7"/>
    <w:rsid w:val="00FA720C"/>
    <w:rsid w:val="00FA77EB"/>
    <w:rsid w:val="00FB1C8E"/>
    <w:rsid w:val="00FB2846"/>
    <w:rsid w:val="00FB2F51"/>
    <w:rsid w:val="00FB318E"/>
    <w:rsid w:val="00FB376C"/>
    <w:rsid w:val="00FB3884"/>
    <w:rsid w:val="00FB3BE3"/>
    <w:rsid w:val="00FB49EF"/>
    <w:rsid w:val="00FB4FCB"/>
    <w:rsid w:val="00FB527C"/>
    <w:rsid w:val="00FB55B4"/>
    <w:rsid w:val="00FB5CB2"/>
    <w:rsid w:val="00FB6F00"/>
    <w:rsid w:val="00FB75B9"/>
    <w:rsid w:val="00FC0E10"/>
    <w:rsid w:val="00FC15B9"/>
    <w:rsid w:val="00FC1804"/>
    <w:rsid w:val="00FC21B0"/>
    <w:rsid w:val="00FC26CE"/>
    <w:rsid w:val="00FC270F"/>
    <w:rsid w:val="00FC35AB"/>
    <w:rsid w:val="00FC3666"/>
    <w:rsid w:val="00FC4649"/>
    <w:rsid w:val="00FC4888"/>
    <w:rsid w:val="00FC5722"/>
    <w:rsid w:val="00FC6044"/>
    <w:rsid w:val="00FC6256"/>
    <w:rsid w:val="00FC7117"/>
    <w:rsid w:val="00FC7C69"/>
    <w:rsid w:val="00FD0400"/>
    <w:rsid w:val="00FD1318"/>
    <w:rsid w:val="00FD16DF"/>
    <w:rsid w:val="00FD1753"/>
    <w:rsid w:val="00FD17FB"/>
    <w:rsid w:val="00FD2182"/>
    <w:rsid w:val="00FD248D"/>
    <w:rsid w:val="00FD2BBD"/>
    <w:rsid w:val="00FD3193"/>
    <w:rsid w:val="00FD339A"/>
    <w:rsid w:val="00FD3AB1"/>
    <w:rsid w:val="00FD3F5F"/>
    <w:rsid w:val="00FD5025"/>
    <w:rsid w:val="00FD558D"/>
    <w:rsid w:val="00FD735C"/>
    <w:rsid w:val="00FD783F"/>
    <w:rsid w:val="00FD7963"/>
    <w:rsid w:val="00FD79FF"/>
    <w:rsid w:val="00FD7F12"/>
    <w:rsid w:val="00FE0788"/>
    <w:rsid w:val="00FE08A9"/>
    <w:rsid w:val="00FE0BA2"/>
    <w:rsid w:val="00FE0D41"/>
    <w:rsid w:val="00FE1045"/>
    <w:rsid w:val="00FE2A3A"/>
    <w:rsid w:val="00FE2D17"/>
    <w:rsid w:val="00FE31F6"/>
    <w:rsid w:val="00FE34B2"/>
    <w:rsid w:val="00FE3A4B"/>
    <w:rsid w:val="00FE46AA"/>
    <w:rsid w:val="00FE49CC"/>
    <w:rsid w:val="00FE5802"/>
    <w:rsid w:val="00FE59E6"/>
    <w:rsid w:val="00FE5DB0"/>
    <w:rsid w:val="00FE608B"/>
    <w:rsid w:val="00FE63CC"/>
    <w:rsid w:val="00FE7B94"/>
    <w:rsid w:val="00FE7CDF"/>
    <w:rsid w:val="00FE7F9F"/>
    <w:rsid w:val="00FF3197"/>
    <w:rsid w:val="00FF3C97"/>
    <w:rsid w:val="00FF3E30"/>
    <w:rsid w:val="00FF5C87"/>
    <w:rsid w:val="00FF61FA"/>
    <w:rsid w:val="00FF6F06"/>
    <w:rsid w:val="00FF6F96"/>
    <w:rsid w:val="00FF7E0C"/>
    <w:rsid w:val="010158D6"/>
    <w:rsid w:val="01113D6B"/>
    <w:rsid w:val="01137ECF"/>
    <w:rsid w:val="01172A03"/>
    <w:rsid w:val="011B081B"/>
    <w:rsid w:val="011D4062"/>
    <w:rsid w:val="01256F50"/>
    <w:rsid w:val="012810B4"/>
    <w:rsid w:val="012C687B"/>
    <w:rsid w:val="013730A5"/>
    <w:rsid w:val="0137715B"/>
    <w:rsid w:val="013D4B60"/>
    <w:rsid w:val="014162F3"/>
    <w:rsid w:val="01474EA6"/>
    <w:rsid w:val="014852B3"/>
    <w:rsid w:val="01511039"/>
    <w:rsid w:val="0153673B"/>
    <w:rsid w:val="01572F42"/>
    <w:rsid w:val="01592D6B"/>
    <w:rsid w:val="015D20F7"/>
    <w:rsid w:val="01630F53"/>
    <w:rsid w:val="01633E9B"/>
    <w:rsid w:val="0166575B"/>
    <w:rsid w:val="016D07F5"/>
    <w:rsid w:val="01756A62"/>
    <w:rsid w:val="01826A17"/>
    <w:rsid w:val="01893391"/>
    <w:rsid w:val="018D0F17"/>
    <w:rsid w:val="018D1D97"/>
    <w:rsid w:val="019271CC"/>
    <w:rsid w:val="01952A27"/>
    <w:rsid w:val="019D55FE"/>
    <w:rsid w:val="01A7022B"/>
    <w:rsid w:val="01A9632F"/>
    <w:rsid w:val="01B34E22"/>
    <w:rsid w:val="01C012ED"/>
    <w:rsid w:val="01C866F9"/>
    <w:rsid w:val="01CA5CC8"/>
    <w:rsid w:val="01CC0CC7"/>
    <w:rsid w:val="01D17056"/>
    <w:rsid w:val="01D37272"/>
    <w:rsid w:val="01D86637"/>
    <w:rsid w:val="01EB45BC"/>
    <w:rsid w:val="01EC5634"/>
    <w:rsid w:val="02005B8D"/>
    <w:rsid w:val="020E6E6E"/>
    <w:rsid w:val="02234DAC"/>
    <w:rsid w:val="022B0E5C"/>
    <w:rsid w:val="023128A5"/>
    <w:rsid w:val="02316129"/>
    <w:rsid w:val="023870D5"/>
    <w:rsid w:val="02485D4E"/>
    <w:rsid w:val="024B6E08"/>
    <w:rsid w:val="024C4754"/>
    <w:rsid w:val="025305CA"/>
    <w:rsid w:val="025874A5"/>
    <w:rsid w:val="025A3A6A"/>
    <w:rsid w:val="025B2DC4"/>
    <w:rsid w:val="025D6BED"/>
    <w:rsid w:val="025F28B4"/>
    <w:rsid w:val="02653FF9"/>
    <w:rsid w:val="026B1746"/>
    <w:rsid w:val="027125E7"/>
    <w:rsid w:val="02765598"/>
    <w:rsid w:val="027F0426"/>
    <w:rsid w:val="02832138"/>
    <w:rsid w:val="02864C0D"/>
    <w:rsid w:val="028B1CBA"/>
    <w:rsid w:val="02907ECF"/>
    <w:rsid w:val="02924A37"/>
    <w:rsid w:val="02990FD0"/>
    <w:rsid w:val="029C1412"/>
    <w:rsid w:val="02A4476B"/>
    <w:rsid w:val="02AA4AEE"/>
    <w:rsid w:val="02AD361F"/>
    <w:rsid w:val="02B04EBD"/>
    <w:rsid w:val="02E1151B"/>
    <w:rsid w:val="02E132C9"/>
    <w:rsid w:val="02EB5557"/>
    <w:rsid w:val="02F2197A"/>
    <w:rsid w:val="02F24EE2"/>
    <w:rsid w:val="02FC549B"/>
    <w:rsid w:val="02FE1FF9"/>
    <w:rsid w:val="030B47EA"/>
    <w:rsid w:val="03190625"/>
    <w:rsid w:val="032141C2"/>
    <w:rsid w:val="03253AFD"/>
    <w:rsid w:val="032558AB"/>
    <w:rsid w:val="032D0FE9"/>
    <w:rsid w:val="032D1844"/>
    <w:rsid w:val="033433CD"/>
    <w:rsid w:val="03373831"/>
    <w:rsid w:val="0338006F"/>
    <w:rsid w:val="03394F19"/>
    <w:rsid w:val="033F6241"/>
    <w:rsid w:val="0343328D"/>
    <w:rsid w:val="034675D0"/>
    <w:rsid w:val="034F46D6"/>
    <w:rsid w:val="0350044F"/>
    <w:rsid w:val="03506580"/>
    <w:rsid w:val="035C5045"/>
    <w:rsid w:val="03632B55"/>
    <w:rsid w:val="03726617"/>
    <w:rsid w:val="0376513B"/>
    <w:rsid w:val="03766107"/>
    <w:rsid w:val="03771E7F"/>
    <w:rsid w:val="037979A5"/>
    <w:rsid w:val="037D0349"/>
    <w:rsid w:val="03802AE2"/>
    <w:rsid w:val="03816D4F"/>
    <w:rsid w:val="03887BE8"/>
    <w:rsid w:val="03936CB9"/>
    <w:rsid w:val="0398271D"/>
    <w:rsid w:val="039D2DFC"/>
    <w:rsid w:val="03A2514E"/>
    <w:rsid w:val="03A82039"/>
    <w:rsid w:val="03BC7E2E"/>
    <w:rsid w:val="03BD6164"/>
    <w:rsid w:val="03C06834"/>
    <w:rsid w:val="03C21D37"/>
    <w:rsid w:val="03C42E23"/>
    <w:rsid w:val="03C86237"/>
    <w:rsid w:val="03C947DD"/>
    <w:rsid w:val="03CD412C"/>
    <w:rsid w:val="03D17DD3"/>
    <w:rsid w:val="03D8775E"/>
    <w:rsid w:val="03D90444"/>
    <w:rsid w:val="03D97BA9"/>
    <w:rsid w:val="03DE3179"/>
    <w:rsid w:val="03E2379C"/>
    <w:rsid w:val="03E91996"/>
    <w:rsid w:val="03EE2141"/>
    <w:rsid w:val="03EF3B00"/>
    <w:rsid w:val="03F11C32"/>
    <w:rsid w:val="03F31506"/>
    <w:rsid w:val="03F60FF6"/>
    <w:rsid w:val="03F67926"/>
    <w:rsid w:val="040B3430"/>
    <w:rsid w:val="04155920"/>
    <w:rsid w:val="041651F4"/>
    <w:rsid w:val="04180F6C"/>
    <w:rsid w:val="041C10A2"/>
    <w:rsid w:val="042042C5"/>
    <w:rsid w:val="04230AD7"/>
    <w:rsid w:val="04272D60"/>
    <w:rsid w:val="042C3965"/>
    <w:rsid w:val="043F600F"/>
    <w:rsid w:val="04436E0D"/>
    <w:rsid w:val="044C0C16"/>
    <w:rsid w:val="044C50BA"/>
    <w:rsid w:val="044F06A2"/>
    <w:rsid w:val="04545D1C"/>
    <w:rsid w:val="0458352F"/>
    <w:rsid w:val="04640655"/>
    <w:rsid w:val="04654DC4"/>
    <w:rsid w:val="046B5540"/>
    <w:rsid w:val="046C12B8"/>
    <w:rsid w:val="046E16BD"/>
    <w:rsid w:val="046E5030"/>
    <w:rsid w:val="046E6DDE"/>
    <w:rsid w:val="046F4189"/>
    <w:rsid w:val="047C599F"/>
    <w:rsid w:val="04842AA6"/>
    <w:rsid w:val="048760F2"/>
    <w:rsid w:val="049031F8"/>
    <w:rsid w:val="04960E16"/>
    <w:rsid w:val="04965593"/>
    <w:rsid w:val="04974587"/>
    <w:rsid w:val="04A226F5"/>
    <w:rsid w:val="04A5362F"/>
    <w:rsid w:val="04B17441"/>
    <w:rsid w:val="04B213C1"/>
    <w:rsid w:val="04B96A4C"/>
    <w:rsid w:val="04C3735B"/>
    <w:rsid w:val="04CC7C6B"/>
    <w:rsid w:val="04CD7FA9"/>
    <w:rsid w:val="04D94D82"/>
    <w:rsid w:val="04E35A1E"/>
    <w:rsid w:val="04E43544"/>
    <w:rsid w:val="04E84DE3"/>
    <w:rsid w:val="04E92909"/>
    <w:rsid w:val="04E97BF7"/>
    <w:rsid w:val="04F419D9"/>
    <w:rsid w:val="04F808C2"/>
    <w:rsid w:val="04F85637"/>
    <w:rsid w:val="04FA68C4"/>
    <w:rsid w:val="04FB4950"/>
    <w:rsid w:val="04FC6AE0"/>
    <w:rsid w:val="050414F1"/>
    <w:rsid w:val="05094D59"/>
    <w:rsid w:val="0509734D"/>
    <w:rsid w:val="050D2A9B"/>
    <w:rsid w:val="0511189C"/>
    <w:rsid w:val="05181037"/>
    <w:rsid w:val="051C0693"/>
    <w:rsid w:val="05233EFD"/>
    <w:rsid w:val="05290F57"/>
    <w:rsid w:val="052F2A11"/>
    <w:rsid w:val="05336716"/>
    <w:rsid w:val="05373674"/>
    <w:rsid w:val="05482E38"/>
    <w:rsid w:val="054B01AE"/>
    <w:rsid w:val="054B711F"/>
    <w:rsid w:val="055B3806"/>
    <w:rsid w:val="056501EA"/>
    <w:rsid w:val="056C7B90"/>
    <w:rsid w:val="056D0012"/>
    <w:rsid w:val="05734F81"/>
    <w:rsid w:val="05762682"/>
    <w:rsid w:val="057C7E0F"/>
    <w:rsid w:val="058C3E4F"/>
    <w:rsid w:val="058D598A"/>
    <w:rsid w:val="05900FD6"/>
    <w:rsid w:val="059211F2"/>
    <w:rsid w:val="059565ED"/>
    <w:rsid w:val="059F67B7"/>
    <w:rsid w:val="05A37CCE"/>
    <w:rsid w:val="05A64326"/>
    <w:rsid w:val="05AF76AE"/>
    <w:rsid w:val="05B93636"/>
    <w:rsid w:val="05B943F0"/>
    <w:rsid w:val="05BC570A"/>
    <w:rsid w:val="05C0366A"/>
    <w:rsid w:val="05C621CD"/>
    <w:rsid w:val="05C86C09"/>
    <w:rsid w:val="05C93DB1"/>
    <w:rsid w:val="05CA44E8"/>
    <w:rsid w:val="05CF3F8B"/>
    <w:rsid w:val="05DE530E"/>
    <w:rsid w:val="05DF20B2"/>
    <w:rsid w:val="05E774BE"/>
    <w:rsid w:val="05E82BC0"/>
    <w:rsid w:val="05ED01D7"/>
    <w:rsid w:val="05EE7472"/>
    <w:rsid w:val="05EF21A1"/>
    <w:rsid w:val="05F54255"/>
    <w:rsid w:val="05FC3BE0"/>
    <w:rsid w:val="05FE0F95"/>
    <w:rsid w:val="05FE4192"/>
    <w:rsid w:val="060E29BA"/>
    <w:rsid w:val="06104528"/>
    <w:rsid w:val="06150D98"/>
    <w:rsid w:val="061C6693"/>
    <w:rsid w:val="06253E14"/>
    <w:rsid w:val="06256FA3"/>
    <w:rsid w:val="06262826"/>
    <w:rsid w:val="06293905"/>
    <w:rsid w:val="062F6A41"/>
    <w:rsid w:val="0636392C"/>
    <w:rsid w:val="06443FD4"/>
    <w:rsid w:val="064707DC"/>
    <w:rsid w:val="06497B03"/>
    <w:rsid w:val="065F2600"/>
    <w:rsid w:val="066E7569"/>
    <w:rsid w:val="0677352A"/>
    <w:rsid w:val="06945058"/>
    <w:rsid w:val="069B7700"/>
    <w:rsid w:val="069D0C9C"/>
    <w:rsid w:val="06A13342"/>
    <w:rsid w:val="06A765D7"/>
    <w:rsid w:val="06AE6F4B"/>
    <w:rsid w:val="06B744EC"/>
    <w:rsid w:val="06BE35C9"/>
    <w:rsid w:val="06C1141B"/>
    <w:rsid w:val="06C4362D"/>
    <w:rsid w:val="06C673A5"/>
    <w:rsid w:val="06E45A7E"/>
    <w:rsid w:val="06F36D64"/>
    <w:rsid w:val="06FA704F"/>
    <w:rsid w:val="06FD08ED"/>
    <w:rsid w:val="07027CB2"/>
    <w:rsid w:val="070D6D82"/>
    <w:rsid w:val="07114922"/>
    <w:rsid w:val="07230354"/>
    <w:rsid w:val="072A7934"/>
    <w:rsid w:val="072E6CF9"/>
    <w:rsid w:val="07537A15"/>
    <w:rsid w:val="07541C13"/>
    <w:rsid w:val="07545496"/>
    <w:rsid w:val="07572B98"/>
    <w:rsid w:val="07591FC8"/>
    <w:rsid w:val="075A189C"/>
    <w:rsid w:val="07683FB9"/>
    <w:rsid w:val="076E6040"/>
    <w:rsid w:val="07740BAF"/>
    <w:rsid w:val="077956DC"/>
    <w:rsid w:val="077FE512"/>
    <w:rsid w:val="078F2583"/>
    <w:rsid w:val="078F6575"/>
    <w:rsid w:val="07943000"/>
    <w:rsid w:val="079B438E"/>
    <w:rsid w:val="07AE35A7"/>
    <w:rsid w:val="07AF2EC2"/>
    <w:rsid w:val="07B13BB2"/>
    <w:rsid w:val="07C05BA3"/>
    <w:rsid w:val="07C264EE"/>
    <w:rsid w:val="07D02862"/>
    <w:rsid w:val="07D43F81"/>
    <w:rsid w:val="07D6476B"/>
    <w:rsid w:val="07DB2121"/>
    <w:rsid w:val="07E15B19"/>
    <w:rsid w:val="07E301FD"/>
    <w:rsid w:val="07E850FA"/>
    <w:rsid w:val="07F73795"/>
    <w:rsid w:val="08147C9D"/>
    <w:rsid w:val="0817778D"/>
    <w:rsid w:val="081952B3"/>
    <w:rsid w:val="08251344"/>
    <w:rsid w:val="08273E74"/>
    <w:rsid w:val="0828546F"/>
    <w:rsid w:val="082E7378"/>
    <w:rsid w:val="08331281"/>
    <w:rsid w:val="08346D03"/>
    <w:rsid w:val="085A5FF7"/>
    <w:rsid w:val="085F49A3"/>
    <w:rsid w:val="08610ACC"/>
    <w:rsid w:val="086E55FF"/>
    <w:rsid w:val="08744BDF"/>
    <w:rsid w:val="0875422F"/>
    <w:rsid w:val="08766BA9"/>
    <w:rsid w:val="087B457E"/>
    <w:rsid w:val="087D5842"/>
    <w:rsid w:val="088865FB"/>
    <w:rsid w:val="08907C6B"/>
    <w:rsid w:val="089A0E0D"/>
    <w:rsid w:val="089D4136"/>
    <w:rsid w:val="089E0931"/>
    <w:rsid w:val="08A454C4"/>
    <w:rsid w:val="08A84AC3"/>
    <w:rsid w:val="08B01ED0"/>
    <w:rsid w:val="08BA0261"/>
    <w:rsid w:val="08BE565E"/>
    <w:rsid w:val="08C21DEA"/>
    <w:rsid w:val="08C330EF"/>
    <w:rsid w:val="08CB2A51"/>
    <w:rsid w:val="08D613F6"/>
    <w:rsid w:val="08EC051C"/>
    <w:rsid w:val="08ED6E6B"/>
    <w:rsid w:val="090D12BC"/>
    <w:rsid w:val="091266F1"/>
    <w:rsid w:val="091650F7"/>
    <w:rsid w:val="091E4702"/>
    <w:rsid w:val="091E5277"/>
    <w:rsid w:val="0926237D"/>
    <w:rsid w:val="0932487E"/>
    <w:rsid w:val="093525C0"/>
    <w:rsid w:val="093E76C7"/>
    <w:rsid w:val="09436A8B"/>
    <w:rsid w:val="094620D8"/>
    <w:rsid w:val="09466604"/>
    <w:rsid w:val="09497E1A"/>
    <w:rsid w:val="09503FD7"/>
    <w:rsid w:val="09511A59"/>
    <w:rsid w:val="09523172"/>
    <w:rsid w:val="0963712E"/>
    <w:rsid w:val="09767F69"/>
    <w:rsid w:val="09772BD9"/>
    <w:rsid w:val="097B289D"/>
    <w:rsid w:val="097E5D15"/>
    <w:rsid w:val="09954E0D"/>
    <w:rsid w:val="099752DD"/>
    <w:rsid w:val="099F5C8C"/>
    <w:rsid w:val="09A56C35"/>
    <w:rsid w:val="09A82D92"/>
    <w:rsid w:val="09BD4D6C"/>
    <w:rsid w:val="09C25210"/>
    <w:rsid w:val="09D103A6"/>
    <w:rsid w:val="09D873B4"/>
    <w:rsid w:val="09DE0562"/>
    <w:rsid w:val="09E047C0"/>
    <w:rsid w:val="09F21777"/>
    <w:rsid w:val="09F935EE"/>
    <w:rsid w:val="09F9539C"/>
    <w:rsid w:val="0A00497C"/>
    <w:rsid w:val="0A0124A3"/>
    <w:rsid w:val="0A014251"/>
    <w:rsid w:val="0A072481"/>
    <w:rsid w:val="0A09367D"/>
    <w:rsid w:val="0A0D21C8"/>
    <w:rsid w:val="0A173A74"/>
    <w:rsid w:val="0A187F18"/>
    <w:rsid w:val="0A1977EC"/>
    <w:rsid w:val="0A264D9A"/>
    <w:rsid w:val="0A2A19F9"/>
    <w:rsid w:val="0A2F5262"/>
    <w:rsid w:val="0A311903"/>
    <w:rsid w:val="0A3208AE"/>
    <w:rsid w:val="0A3B3C06"/>
    <w:rsid w:val="0A3F5E5E"/>
    <w:rsid w:val="0A4679E7"/>
    <w:rsid w:val="0A474359"/>
    <w:rsid w:val="0A4822B5"/>
    <w:rsid w:val="0A482EEB"/>
    <w:rsid w:val="0A48720E"/>
    <w:rsid w:val="0A4A1C71"/>
    <w:rsid w:val="0A564F2E"/>
    <w:rsid w:val="0A586566"/>
    <w:rsid w:val="0A64315D"/>
    <w:rsid w:val="0A6D7B38"/>
    <w:rsid w:val="0A7140AF"/>
    <w:rsid w:val="0A764C3F"/>
    <w:rsid w:val="0A7D56BF"/>
    <w:rsid w:val="0A7E3AF3"/>
    <w:rsid w:val="0A83110A"/>
    <w:rsid w:val="0A863B8C"/>
    <w:rsid w:val="0A8729A8"/>
    <w:rsid w:val="0A9037A2"/>
    <w:rsid w:val="0A95686D"/>
    <w:rsid w:val="0AA47A04"/>
    <w:rsid w:val="0AA531D1"/>
    <w:rsid w:val="0AA53284"/>
    <w:rsid w:val="0AA76787"/>
    <w:rsid w:val="0AAA0FE6"/>
    <w:rsid w:val="0AAC0660"/>
    <w:rsid w:val="0ABA57A8"/>
    <w:rsid w:val="0ABF5171"/>
    <w:rsid w:val="0ABF65E6"/>
    <w:rsid w:val="0AC05EBA"/>
    <w:rsid w:val="0AC637B9"/>
    <w:rsid w:val="0ACC4142"/>
    <w:rsid w:val="0AD61B81"/>
    <w:rsid w:val="0ADC2637"/>
    <w:rsid w:val="0ADD4CBE"/>
    <w:rsid w:val="0AE71698"/>
    <w:rsid w:val="0AF3628F"/>
    <w:rsid w:val="0AFB3396"/>
    <w:rsid w:val="0AFB5144"/>
    <w:rsid w:val="0AFC2280"/>
    <w:rsid w:val="0AFD2C6A"/>
    <w:rsid w:val="0AFD710E"/>
    <w:rsid w:val="0AFE7196"/>
    <w:rsid w:val="0B025226"/>
    <w:rsid w:val="0B106E41"/>
    <w:rsid w:val="0B1F52D6"/>
    <w:rsid w:val="0B1F76CB"/>
    <w:rsid w:val="0B2226D0"/>
    <w:rsid w:val="0B3243DF"/>
    <w:rsid w:val="0B393AF8"/>
    <w:rsid w:val="0B3C4B15"/>
    <w:rsid w:val="0B3D24FE"/>
    <w:rsid w:val="0B4123CD"/>
    <w:rsid w:val="0B4765DB"/>
    <w:rsid w:val="0B4B0D06"/>
    <w:rsid w:val="0B4C2B18"/>
    <w:rsid w:val="0B5036E2"/>
    <w:rsid w:val="0B5807E8"/>
    <w:rsid w:val="0B612388"/>
    <w:rsid w:val="0B676BC5"/>
    <w:rsid w:val="0B7218AA"/>
    <w:rsid w:val="0B745622"/>
    <w:rsid w:val="0B7A2363"/>
    <w:rsid w:val="0B82196E"/>
    <w:rsid w:val="0B856A8B"/>
    <w:rsid w:val="0B8A6D7A"/>
    <w:rsid w:val="0B8E5FB8"/>
    <w:rsid w:val="0B916209"/>
    <w:rsid w:val="0B925AA8"/>
    <w:rsid w:val="0B951472"/>
    <w:rsid w:val="0B9814FE"/>
    <w:rsid w:val="0B995089"/>
    <w:rsid w:val="0B9C6927"/>
    <w:rsid w:val="0BA666AA"/>
    <w:rsid w:val="0BA717DB"/>
    <w:rsid w:val="0BAA1044"/>
    <w:rsid w:val="0BAD28E2"/>
    <w:rsid w:val="0BAE4BF1"/>
    <w:rsid w:val="0BB70ED4"/>
    <w:rsid w:val="0BB721C8"/>
    <w:rsid w:val="0BB81E48"/>
    <w:rsid w:val="0BBA0B5B"/>
    <w:rsid w:val="0BBC084E"/>
    <w:rsid w:val="0BBF5056"/>
    <w:rsid w:val="0BC35599"/>
    <w:rsid w:val="0BC536DC"/>
    <w:rsid w:val="0BC55E7E"/>
    <w:rsid w:val="0BCD0C64"/>
    <w:rsid w:val="0BCD436B"/>
    <w:rsid w:val="0BCE514A"/>
    <w:rsid w:val="0BD639A2"/>
    <w:rsid w:val="0BD6482C"/>
    <w:rsid w:val="0BDA3681"/>
    <w:rsid w:val="0BDF2758"/>
    <w:rsid w:val="0BE1086E"/>
    <w:rsid w:val="0BE360E1"/>
    <w:rsid w:val="0BE3650F"/>
    <w:rsid w:val="0BE572AB"/>
    <w:rsid w:val="0BEC359B"/>
    <w:rsid w:val="0BF10B5F"/>
    <w:rsid w:val="0BF17A23"/>
    <w:rsid w:val="0BF4422B"/>
    <w:rsid w:val="0BF7590B"/>
    <w:rsid w:val="0C0D512F"/>
    <w:rsid w:val="0C183166"/>
    <w:rsid w:val="0C1A6669"/>
    <w:rsid w:val="0C1C7A68"/>
    <w:rsid w:val="0C281202"/>
    <w:rsid w:val="0C3B1111"/>
    <w:rsid w:val="0C4007E9"/>
    <w:rsid w:val="0C430B50"/>
    <w:rsid w:val="0C43782D"/>
    <w:rsid w:val="0C44594F"/>
    <w:rsid w:val="0C4548C9"/>
    <w:rsid w:val="0C460641"/>
    <w:rsid w:val="0C493935"/>
    <w:rsid w:val="0C4E6409"/>
    <w:rsid w:val="0C4F1BEB"/>
    <w:rsid w:val="0C50326D"/>
    <w:rsid w:val="0C5032C0"/>
    <w:rsid w:val="0C540FAF"/>
    <w:rsid w:val="0C5F6BFB"/>
    <w:rsid w:val="0C601702"/>
    <w:rsid w:val="0C62485F"/>
    <w:rsid w:val="0C663265"/>
    <w:rsid w:val="0C7D22B4"/>
    <w:rsid w:val="0C8A5A23"/>
    <w:rsid w:val="0C8D626F"/>
    <w:rsid w:val="0C8F3D96"/>
    <w:rsid w:val="0C9615C8"/>
    <w:rsid w:val="0C985340"/>
    <w:rsid w:val="0C9D2956"/>
    <w:rsid w:val="0CA710DF"/>
    <w:rsid w:val="0CA80AC7"/>
    <w:rsid w:val="0CAA5073"/>
    <w:rsid w:val="0CAB5F58"/>
    <w:rsid w:val="0CAE6912"/>
    <w:rsid w:val="0CB258D1"/>
    <w:rsid w:val="0CB33F28"/>
    <w:rsid w:val="0CB72AA7"/>
    <w:rsid w:val="0CB877EC"/>
    <w:rsid w:val="0CB90E13"/>
    <w:rsid w:val="0CBB296F"/>
    <w:rsid w:val="0CBD4DA7"/>
    <w:rsid w:val="0CCF276E"/>
    <w:rsid w:val="0CDC1ECE"/>
    <w:rsid w:val="0CE51C08"/>
    <w:rsid w:val="0CE54304"/>
    <w:rsid w:val="0CE916F8"/>
    <w:rsid w:val="0CF167FE"/>
    <w:rsid w:val="0CF54541"/>
    <w:rsid w:val="0CFCDAA7"/>
    <w:rsid w:val="0D026C5D"/>
    <w:rsid w:val="0D076022"/>
    <w:rsid w:val="0D0A1648"/>
    <w:rsid w:val="0D0A78C0"/>
    <w:rsid w:val="0D0E4978"/>
    <w:rsid w:val="0D136775"/>
    <w:rsid w:val="0D166265"/>
    <w:rsid w:val="0D192565"/>
    <w:rsid w:val="0D197B03"/>
    <w:rsid w:val="0D1D4F92"/>
    <w:rsid w:val="0D2074BF"/>
    <w:rsid w:val="0D246B1B"/>
    <w:rsid w:val="0D277430"/>
    <w:rsid w:val="0D38267F"/>
    <w:rsid w:val="0D443CB1"/>
    <w:rsid w:val="0D483312"/>
    <w:rsid w:val="0D4E5761"/>
    <w:rsid w:val="0D53766A"/>
    <w:rsid w:val="0D541E54"/>
    <w:rsid w:val="0D55096F"/>
    <w:rsid w:val="0D5C2500"/>
    <w:rsid w:val="0D5C5D7C"/>
    <w:rsid w:val="0D670889"/>
    <w:rsid w:val="0D6A5091"/>
    <w:rsid w:val="0D6A62E0"/>
    <w:rsid w:val="0D6B5B56"/>
    <w:rsid w:val="0D75742F"/>
    <w:rsid w:val="0D826EB5"/>
    <w:rsid w:val="0D8A7B44"/>
    <w:rsid w:val="0D903C4C"/>
    <w:rsid w:val="0D913B3D"/>
    <w:rsid w:val="0D9838BD"/>
    <w:rsid w:val="0D9C2C0E"/>
    <w:rsid w:val="0D9C32E2"/>
    <w:rsid w:val="0DA303ED"/>
    <w:rsid w:val="0DB03409"/>
    <w:rsid w:val="0DB05806"/>
    <w:rsid w:val="0DB25F8E"/>
    <w:rsid w:val="0DBE3638"/>
    <w:rsid w:val="0DC363ED"/>
    <w:rsid w:val="0DCC75CE"/>
    <w:rsid w:val="0DCD3AB1"/>
    <w:rsid w:val="0DCF6FB4"/>
    <w:rsid w:val="0DD24882"/>
    <w:rsid w:val="0DD405FA"/>
    <w:rsid w:val="0DD56120"/>
    <w:rsid w:val="0DDE464E"/>
    <w:rsid w:val="0DE933E1"/>
    <w:rsid w:val="0DEE2B4B"/>
    <w:rsid w:val="0DFA4660"/>
    <w:rsid w:val="0E0013EF"/>
    <w:rsid w:val="0E041A0C"/>
    <w:rsid w:val="0E072991"/>
    <w:rsid w:val="0E0F1632"/>
    <w:rsid w:val="0E2624D8"/>
    <w:rsid w:val="0E290A20"/>
    <w:rsid w:val="0E2A646C"/>
    <w:rsid w:val="0E2D0F5F"/>
    <w:rsid w:val="0E356BBF"/>
    <w:rsid w:val="0E364E11"/>
    <w:rsid w:val="0E3966AF"/>
    <w:rsid w:val="0E407A3D"/>
    <w:rsid w:val="0E4259A9"/>
    <w:rsid w:val="0E46753C"/>
    <w:rsid w:val="0E48771C"/>
    <w:rsid w:val="0E4F2D85"/>
    <w:rsid w:val="0E576B35"/>
    <w:rsid w:val="0E5F3EA6"/>
    <w:rsid w:val="0E7019A5"/>
    <w:rsid w:val="0E72396F"/>
    <w:rsid w:val="0E811F50"/>
    <w:rsid w:val="0E837D5C"/>
    <w:rsid w:val="0E8405CB"/>
    <w:rsid w:val="0E85325F"/>
    <w:rsid w:val="0E8D066C"/>
    <w:rsid w:val="0EA24254"/>
    <w:rsid w:val="0EA63619"/>
    <w:rsid w:val="0EA649FA"/>
    <w:rsid w:val="0EA67017"/>
    <w:rsid w:val="0EA8251A"/>
    <w:rsid w:val="0EAF6971"/>
    <w:rsid w:val="0EB126E9"/>
    <w:rsid w:val="0EB43F87"/>
    <w:rsid w:val="0EB7170A"/>
    <w:rsid w:val="0EB775D4"/>
    <w:rsid w:val="0EB94C69"/>
    <w:rsid w:val="0EC50D66"/>
    <w:rsid w:val="0EC82A4F"/>
    <w:rsid w:val="0EC95C85"/>
    <w:rsid w:val="0ECC7523"/>
    <w:rsid w:val="0ED10695"/>
    <w:rsid w:val="0ED30DE0"/>
    <w:rsid w:val="0ED338F6"/>
    <w:rsid w:val="0EE14237"/>
    <w:rsid w:val="0EE15B77"/>
    <w:rsid w:val="0EF14797"/>
    <w:rsid w:val="0EF25E12"/>
    <w:rsid w:val="0EF44384"/>
    <w:rsid w:val="0EF56D96"/>
    <w:rsid w:val="0EFD148A"/>
    <w:rsid w:val="0F00541F"/>
    <w:rsid w:val="0F024CF3"/>
    <w:rsid w:val="0F050299"/>
    <w:rsid w:val="0F075DB7"/>
    <w:rsid w:val="0F0A16BC"/>
    <w:rsid w:val="0F1D102F"/>
    <w:rsid w:val="0F1D410D"/>
    <w:rsid w:val="0F3139F2"/>
    <w:rsid w:val="0F475035"/>
    <w:rsid w:val="0F504C70"/>
    <w:rsid w:val="0F534BB2"/>
    <w:rsid w:val="0F5B3F73"/>
    <w:rsid w:val="0F5C08A7"/>
    <w:rsid w:val="0F5D017B"/>
    <w:rsid w:val="0F5D54C1"/>
    <w:rsid w:val="0F6251CC"/>
    <w:rsid w:val="0F6A47D7"/>
    <w:rsid w:val="0F704352"/>
    <w:rsid w:val="0F732EE8"/>
    <w:rsid w:val="0F786D63"/>
    <w:rsid w:val="0F7A2873"/>
    <w:rsid w:val="0F7A6F7F"/>
    <w:rsid w:val="0F7D247B"/>
    <w:rsid w:val="0F8021FE"/>
    <w:rsid w:val="0F824086"/>
    <w:rsid w:val="0F895414"/>
    <w:rsid w:val="0F921AF0"/>
    <w:rsid w:val="0F931DEF"/>
    <w:rsid w:val="0F96368D"/>
    <w:rsid w:val="0FA0212C"/>
    <w:rsid w:val="0FA83AEC"/>
    <w:rsid w:val="0FB3423F"/>
    <w:rsid w:val="0FB56F73"/>
    <w:rsid w:val="0FBE4187"/>
    <w:rsid w:val="0FBE4261"/>
    <w:rsid w:val="0FC1695C"/>
    <w:rsid w:val="0FC33738"/>
    <w:rsid w:val="0FC611FF"/>
    <w:rsid w:val="0FC65D20"/>
    <w:rsid w:val="0FD30983"/>
    <w:rsid w:val="0FD41C88"/>
    <w:rsid w:val="0FD61908"/>
    <w:rsid w:val="0FD6518B"/>
    <w:rsid w:val="0FDD3329"/>
    <w:rsid w:val="0FE12B5A"/>
    <w:rsid w:val="0FE23CB5"/>
    <w:rsid w:val="0FE850A5"/>
    <w:rsid w:val="0FEE5EBF"/>
    <w:rsid w:val="0FEF0352"/>
    <w:rsid w:val="0FFCCF4E"/>
    <w:rsid w:val="0FFD54BA"/>
    <w:rsid w:val="0FFF56D6"/>
    <w:rsid w:val="100B7BD7"/>
    <w:rsid w:val="100E76C7"/>
    <w:rsid w:val="101A606C"/>
    <w:rsid w:val="101C3B92"/>
    <w:rsid w:val="101C52D6"/>
    <w:rsid w:val="1025078D"/>
    <w:rsid w:val="10250CCD"/>
    <w:rsid w:val="10280686"/>
    <w:rsid w:val="10293910"/>
    <w:rsid w:val="102962AF"/>
    <w:rsid w:val="102D5B9A"/>
    <w:rsid w:val="102E56E2"/>
    <w:rsid w:val="10306B1E"/>
    <w:rsid w:val="10383F2B"/>
    <w:rsid w:val="1039481A"/>
    <w:rsid w:val="103B70AE"/>
    <w:rsid w:val="1045133B"/>
    <w:rsid w:val="104906FF"/>
    <w:rsid w:val="105527CB"/>
    <w:rsid w:val="1057106E"/>
    <w:rsid w:val="105C0433"/>
    <w:rsid w:val="106C201D"/>
    <w:rsid w:val="106D0892"/>
    <w:rsid w:val="107717E2"/>
    <w:rsid w:val="1081433D"/>
    <w:rsid w:val="10817E99"/>
    <w:rsid w:val="108D5DE2"/>
    <w:rsid w:val="109777C7"/>
    <w:rsid w:val="10A100D7"/>
    <w:rsid w:val="10A46ADD"/>
    <w:rsid w:val="10CE3146"/>
    <w:rsid w:val="10D4446D"/>
    <w:rsid w:val="10D75D0B"/>
    <w:rsid w:val="10D85020"/>
    <w:rsid w:val="10E16B8A"/>
    <w:rsid w:val="10E36DA6"/>
    <w:rsid w:val="10E50428"/>
    <w:rsid w:val="10EC6ED1"/>
    <w:rsid w:val="10F32CC7"/>
    <w:rsid w:val="110754FD"/>
    <w:rsid w:val="110F2909"/>
    <w:rsid w:val="111032D6"/>
    <w:rsid w:val="1111746F"/>
    <w:rsid w:val="11162CD7"/>
    <w:rsid w:val="111807FE"/>
    <w:rsid w:val="11185797"/>
    <w:rsid w:val="111927C8"/>
    <w:rsid w:val="111B209C"/>
    <w:rsid w:val="111C566F"/>
    <w:rsid w:val="111D4066"/>
    <w:rsid w:val="112812B5"/>
    <w:rsid w:val="112845C2"/>
    <w:rsid w:val="11285A31"/>
    <w:rsid w:val="11317B11"/>
    <w:rsid w:val="1137606C"/>
    <w:rsid w:val="113F222E"/>
    <w:rsid w:val="11425F69"/>
    <w:rsid w:val="11474599"/>
    <w:rsid w:val="114A472F"/>
    <w:rsid w:val="114D6D8E"/>
    <w:rsid w:val="1157357D"/>
    <w:rsid w:val="115B693C"/>
    <w:rsid w:val="116E3FA7"/>
    <w:rsid w:val="117F262B"/>
    <w:rsid w:val="1182036D"/>
    <w:rsid w:val="118355A0"/>
    <w:rsid w:val="1185041F"/>
    <w:rsid w:val="118947D1"/>
    <w:rsid w:val="11915C91"/>
    <w:rsid w:val="119631A9"/>
    <w:rsid w:val="11A26319"/>
    <w:rsid w:val="11B10FCC"/>
    <w:rsid w:val="11B83122"/>
    <w:rsid w:val="11BD13A5"/>
    <w:rsid w:val="11BE502B"/>
    <w:rsid w:val="11C6025A"/>
    <w:rsid w:val="11C75232"/>
    <w:rsid w:val="11D16BFE"/>
    <w:rsid w:val="11DB6B5A"/>
    <w:rsid w:val="11E46932"/>
    <w:rsid w:val="11E626AA"/>
    <w:rsid w:val="11E800CE"/>
    <w:rsid w:val="11F12DFD"/>
    <w:rsid w:val="11F272A1"/>
    <w:rsid w:val="11F27D69"/>
    <w:rsid w:val="12036C76"/>
    <w:rsid w:val="120F5D2F"/>
    <w:rsid w:val="121A05A5"/>
    <w:rsid w:val="12211934"/>
    <w:rsid w:val="12422116"/>
    <w:rsid w:val="12435103"/>
    <w:rsid w:val="1249138C"/>
    <w:rsid w:val="1250459A"/>
    <w:rsid w:val="12695089"/>
    <w:rsid w:val="126C254B"/>
    <w:rsid w:val="126E0CFC"/>
    <w:rsid w:val="127001C5"/>
    <w:rsid w:val="12723F3D"/>
    <w:rsid w:val="128724F6"/>
    <w:rsid w:val="128A347A"/>
    <w:rsid w:val="128D0E5D"/>
    <w:rsid w:val="128D521B"/>
    <w:rsid w:val="12900868"/>
    <w:rsid w:val="12906AB9"/>
    <w:rsid w:val="12971BF6"/>
    <w:rsid w:val="12977E48"/>
    <w:rsid w:val="129E2F84"/>
    <w:rsid w:val="12B24C82"/>
    <w:rsid w:val="12B90746"/>
    <w:rsid w:val="12BC023A"/>
    <w:rsid w:val="12C10A21"/>
    <w:rsid w:val="12C74CD1"/>
    <w:rsid w:val="12CC7FD0"/>
    <w:rsid w:val="12D627D0"/>
    <w:rsid w:val="12DD5483"/>
    <w:rsid w:val="12E00606"/>
    <w:rsid w:val="12E110C3"/>
    <w:rsid w:val="12E3308D"/>
    <w:rsid w:val="12E3738C"/>
    <w:rsid w:val="12E60488"/>
    <w:rsid w:val="12E96A91"/>
    <w:rsid w:val="12EA0CED"/>
    <w:rsid w:val="12F47048"/>
    <w:rsid w:val="12F85CAD"/>
    <w:rsid w:val="12F9465F"/>
    <w:rsid w:val="12FE1C75"/>
    <w:rsid w:val="1300693C"/>
    <w:rsid w:val="130C25E4"/>
    <w:rsid w:val="130D1EB8"/>
    <w:rsid w:val="130F36D3"/>
    <w:rsid w:val="13143247"/>
    <w:rsid w:val="1319260B"/>
    <w:rsid w:val="131A3751"/>
    <w:rsid w:val="13205DAA"/>
    <w:rsid w:val="132316DC"/>
    <w:rsid w:val="13371015"/>
    <w:rsid w:val="13392CAD"/>
    <w:rsid w:val="13402A9B"/>
    <w:rsid w:val="13451652"/>
    <w:rsid w:val="1347361C"/>
    <w:rsid w:val="13486D30"/>
    <w:rsid w:val="13547AE7"/>
    <w:rsid w:val="13573133"/>
    <w:rsid w:val="13581385"/>
    <w:rsid w:val="135B0E75"/>
    <w:rsid w:val="136F7127"/>
    <w:rsid w:val="1374267F"/>
    <w:rsid w:val="137837D5"/>
    <w:rsid w:val="13855EBC"/>
    <w:rsid w:val="13995836"/>
    <w:rsid w:val="139B3968"/>
    <w:rsid w:val="139B74C4"/>
    <w:rsid w:val="13A14F2C"/>
    <w:rsid w:val="13A670CA"/>
    <w:rsid w:val="13B2095E"/>
    <w:rsid w:val="13B3480E"/>
    <w:rsid w:val="13BA5D6B"/>
    <w:rsid w:val="13D201A5"/>
    <w:rsid w:val="13D34716"/>
    <w:rsid w:val="13D604FC"/>
    <w:rsid w:val="13F217DA"/>
    <w:rsid w:val="13FC61B5"/>
    <w:rsid w:val="140E413A"/>
    <w:rsid w:val="141352AC"/>
    <w:rsid w:val="1424395D"/>
    <w:rsid w:val="14250C9D"/>
    <w:rsid w:val="1428639F"/>
    <w:rsid w:val="143769B9"/>
    <w:rsid w:val="1439793E"/>
    <w:rsid w:val="143A53BF"/>
    <w:rsid w:val="143D67CD"/>
    <w:rsid w:val="14423DE3"/>
    <w:rsid w:val="144D4C62"/>
    <w:rsid w:val="14531B4D"/>
    <w:rsid w:val="145F3F63"/>
    <w:rsid w:val="14641FAC"/>
    <w:rsid w:val="14681A9C"/>
    <w:rsid w:val="146E4BD8"/>
    <w:rsid w:val="14706BA3"/>
    <w:rsid w:val="14720225"/>
    <w:rsid w:val="147F13C2"/>
    <w:rsid w:val="14956609"/>
    <w:rsid w:val="14997EA7"/>
    <w:rsid w:val="149A59CD"/>
    <w:rsid w:val="149E1860"/>
    <w:rsid w:val="149F4D92"/>
    <w:rsid w:val="14A979BF"/>
    <w:rsid w:val="14B14FFE"/>
    <w:rsid w:val="14B22D17"/>
    <w:rsid w:val="14B35F82"/>
    <w:rsid w:val="14C15298"/>
    <w:rsid w:val="14CD18FF"/>
    <w:rsid w:val="14CD3A65"/>
    <w:rsid w:val="14D07AD9"/>
    <w:rsid w:val="14DC7D94"/>
    <w:rsid w:val="14FC07AC"/>
    <w:rsid w:val="15015A4D"/>
    <w:rsid w:val="15023B03"/>
    <w:rsid w:val="15027387"/>
    <w:rsid w:val="15064E11"/>
    <w:rsid w:val="15082937"/>
    <w:rsid w:val="150855A5"/>
    <w:rsid w:val="15127621"/>
    <w:rsid w:val="15155054"/>
    <w:rsid w:val="151D2886"/>
    <w:rsid w:val="151E34D5"/>
    <w:rsid w:val="15200B35"/>
    <w:rsid w:val="15204125"/>
    <w:rsid w:val="153220D4"/>
    <w:rsid w:val="15332247"/>
    <w:rsid w:val="153A3533"/>
    <w:rsid w:val="153A74E0"/>
    <w:rsid w:val="15436065"/>
    <w:rsid w:val="154C2C7E"/>
    <w:rsid w:val="154C301A"/>
    <w:rsid w:val="15535E8C"/>
    <w:rsid w:val="15567B46"/>
    <w:rsid w:val="155913E5"/>
    <w:rsid w:val="15591F94"/>
    <w:rsid w:val="156222AC"/>
    <w:rsid w:val="156C0FB4"/>
    <w:rsid w:val="15763D45"/>
    <w:rsid w:val="157E0E4B"/>
    <w:rsid w:val="15836462"/>
    <w:rsid w:val="158775E0"/>
    <w:rsid w:val="158972DF"/>
    <w:rsid w:val="158A3C94"/>
    <w:rsid w:val="159248FD"/>
    <w:rsid w:val="15961DF8"/>
    <w:rsid w:val="15997A33"/>
    <w:rsid w:val="15A2559D"/>
    <w:rsid w:val="15A25786"/>
    <w:rsid w:val="15AA7E92"/>
    <w:rsid w:val="15B825AF"/>
    <w:rsid w:val="15B8610B"/>
    <w:rsid w:val="15BE4B39"/>
    <w:rsid w:val="15BE6A5D"/>
    <w:rsid w:val="15C03A4F"/>
    <w:rsid w:val="15C947BC"/>
    <w:rsid w:val="15E215B3"/>
    <w:rsid w:val="15E6711C"/>
    <w:rsid w:val="15EB7F26"/>
    <w:rsid w:val="15F01D49"/>
    <w:rsid w:val="15FC6940"/>
    <w:rsid w:val="160A1413"/>
    <w:rsid w:val="16111CBF"/>
    <w:rsid w:val="16157A01"/>
    <w:rsid w:val="161726D9"/>
    <w:rsid w:val="161810CD"/>
    <w:rsid w:val="161A5018"/>
    <w:rsid w:val="161C0D90"/>
    <w:rsid w:val="162309D2"/>
    <w:rsid w:val="1630328A"/>
    <w:rsid w:val="16321213"/>
    <w:rsid w:val="163360DA"/>
    <w:rsid w:val="1635775C"/>
    <w:rsid w:val="163806CE"/>
    <w:rsid w:val="163F4D52"/>
    <w:rsid w:val="16430D4A"/>
    <w:rsid w:val="164D0F49"/>
    <w:rsid w:val="164F4B0E"/>
    <w:rsid w:val="165027E8"/>
    <w:rsid w:val="16554715"/>
    <w:rsid w:val="16557DFE"/>
    <w:rsid w:val="165840B5"/>
    <w:rsid w:val="165B7221"/>
    <w:rsid w:val="167209B0"/>
    <w:rsid w:val="16781D3E"/>
    <w:rsid w:val="167823EB"/>
    <w:rsid w:val="1680307B"/>
    <w:rsid w:val="16822CFB"/>
    <w:rsid w:val="16832127"/>
    <w:rsid w:val="168B1A72"/>
    <w:rsid w:val="168E11C7"/>
    <w:rsid w:val="1696199B"/>
    <w:rsid w:val="16A4650F"/>
    <w:rsid w:val="16AA639C"/>
    <w:rsid w:val="16AB5C70"/>
    <w:rsid w:val="16B32F4A"/>
    <w:rsid w:val="16B831D5"/>
    <w:rsid w:val="16BA2357"/>
    <w:rsid w:val="16BB08D6"/>
    <w:rsid w:val="16C3120C"/>
    <w:rsid w:val="16C476BC"/>
    <w:rsid w:val="16CE3829"/>
    <w:rsid w:val="16D17044"/>
    <w:rsid w:val="16D50F3F"/>
    <w:rsid w:val="16DB41BD"/>
    <w:rsid w:val="16DE6045"/>
    <w:rsid w:val="16E00B16"/>
    <w:rsid w:val="16E15B36"/>
    <w:rsid w:val="16E31A9A"/>
    <w:rsid w:val="16E52D9F"/>
    <w:rsid w:val="16E974B8"/>
    <w:rsid w:val="16EB272A"/>
    <w:rsid w:val="16EE354D"/>
    <w:rsid w:val="16F2389F"/>
    <w:rsid w:val="16F5513D"/>
    <w:rsid w:val="16F92E7F"/>
    <w:rsid w:val="17006E4C"/>
    <w:rsid w:val="170139CD"/>
    <w:rsid w:val="170A508C"/>
    <w:rsid w:val="170B68AC"/>
    <w:rsid w:val="171952CF"/>
    <w:rsid w:val="171F3E7E"/>
    <w:rsid w:val="17233A58"/>
    <w:rsid w:val="17416345"/>
    <w:rsid w:val="1743228E"/>
    <w:rsid w:val="17463BEB"/>
    <w:rsid w:val="174C5C47"/>
    <w:rsid w:val="174D36C8"/>
    <w:rsid w:val="1752433D"/>
    <w:rsid w:val="175A4F5C"/>
    <w:rsid w:val="17681CF4"/>
    <w:rsid w:val="1768590F"/>
    <w:rsid w:val="176C3F7D"/>
    <w:rsid w:val="17722F72"/>
    <w:rsid w:val="177C50D5"/>
    <w:rsid w:val="17800EAB"/>
    <w:rsid w:val="178C0D2D"/>
    <w:rsid w:val="178C5AA1"/>
    <w:rsid w:val="17914F17"/>
    <w:rsid w:val="179E7583"/>
    <w:rsid w:val="17A32DEB"/>
    <w:rsid w:val="17A440D7"/>
    <w:rsid w:val="17A70B2D"/>
    <w:rsid w:val="17AB1459"/>
    <w:rsid w:val="17AC4D67"/>
    <w:rsid w:val="17AD7139"/>
    <w:rsid w:val="17B0300D"/>
    <w:rsid w:val="17B46DA6"/>
    <w:rsid w:val="17B9260F"/>
    <w:rsid w:val="17BC177E"/>
    <w:rsid w:val="17C771E9"/>
    <w:rsid w:val="17D23921"/>
    <w:rsid w:val="17D65BAB"/>
    <w:rsid w:val="17DC4231"/>
    <w:rsid w:val="17E05DED"/>
    <w:rsid w:val="17E3693C"/>
    <w:rsid w:val="17E4768B"/>
    <w:rsid w:val="17EFDE28"/>
    <w:rsid w:val="180A6A0E"/>
    <w:rsid w:val="180C6BE2"/>
    <w:rsid w:val="1811244B"/>
    <w:rsid w:val="18133ACD"/>
    <w:rsid w:val="18166027"/>
    <w:rsid w:val="183121A5"/>
    <w:rsid w:val="183539C6"/>
    <w:rsid w:val="18477163"/>
    <w:rsid w:val="184B7D68"/>
    <w:rsid w:val="185145F5"/>
    <w:rsid w:val="18581E27"/>
    <w:rsid w:val="18694035"/>
    <w:rsid w:val="186B3909"/>
    <w:rsid w:val="186C2485"/>
    <w:rsid w:val="18700F1F"/>
    <w:rsid w:val="18707171"/>
    <w:rsid w:val="18730A0F"/>
    <w:rsid w:val="187334AB"/>
    <w:rsid w:val="187B413A"/>
    <w:rsid w:val="187C78C4"/>
    <w:rsid w:val="187D763D"/>
    <w:rsid w:val="1881312C"/>
    <w:rsid w:val="189162DE"/>
    <w:rsid w:val="18947263"/>
    <w:rsid w:val="189C466F"/>
    <w:rsid w:val="189E7B72"/>
    <w:rsid w:val="189F57CC"/>
    <w:rsid w:val="18A10FBB"/>
    <w:rsid w:val="18AB4A67"/>
    <w:rsid w:val="18AD3F21"/>
    <w:rsid w:val="18B0330F"/>
    <w:rsid w:val="18B232E6"/>
    <w:rsid w:val="18B54290"/>
    <w:rsid w:val="18B54B84"/>
    <w:rsid w:val="18BC5F12"/>
    <w:rsid w:val="18C179CD"/>
    <w:rsid w:val="18C379AA"/>
    <w:rsid w:val="18C43019"/>
    <w:rsid w:val="18C5372C"/>
    <w:rsid w:val="18CB193B"/>
    <w:rsid w:val="18CB39A2"/>
    <w:rsid w:val="18CE5C46"/>
    <w:rsid w:val="18D37174"/>
    <w:rsid w:val="18DC30F4"/>
    <w:rsid w:val="18DD1183"/>
    <w:rsid w:val="18DF42F7"/>
    <w:rsid w:val="18E32865"/>
    <w:rsid w:val="18EA6F23"/>
    <w:rsid w:val="18EC56F3"/>
    <w:rsid w:val="18F5277F"/>
    <w:rsid w:val="19016592"/>
    <w:rsid w:val="19031D93"/>
    <w:rsid w:val="190478B9"/>
    <w:rsid w:val="19085091"/>
    <w:rsid w:val="190D49C0"/>
    <w:rsid w:val="19197809"/>
    <w:rsid w:val="191B0CE6"/>
    <w:rsid w:val="191E3943"/>
    <w:rsid w:val="19201045"/>
    <w:rsid w:val="192A5572"/>
    <w:rsid w:val="192B0FA6"/>
    <w:rsid w:val="192B3098"/>
    <w:rsid w:val="192B4BE1"/>
    <w:rsid w:val="19443A4D"/>
    <w:rsid w:val="194D300E"/>
    <w:rsid w:val="194F441F"/>
    <w:rsid w:val="195C122A"/>
    <w:rsid w:val="19645891"/>
    <w:rsid w:val="197467ED"/>
    <w:rsid w:val="19771A54"/>
    <w:rsid w:val="19782D58"/>
    <w:rsid w:val="19871CEE"/>
    <w:rsid w:val="198C416F"/>
    <w:rsid w:val="198D78AF"/>
    <w:rsid w:val="199926F8"/>
    <w:rsid w:val="199A0D0F"/>
    <w:rsid w:val="19B117EF"/>
    <w:rsid w:val="19B363EB"/>
    <w:rsid w:val="19B66E06"/>
    <w:rsid w:val="19B7492C"/>
    <w:rsid w:val="19B80DD0"/>
    <w:rsid w:val="19B968F6"/>
    <w:rsid w:val="19BA405F"/>
    <w:rsid w:val="19BE3F0C"/>
    <w:rsid w:val="19C21C4E"/>
    <w:rsid w:val="19C534ED"/>
    <w:rsid w:val="19C83DDC"/>
    <w:rsid w:val="19D43730"/>
    <w:rsid w:val="19E576EB"/>
    <w:rsid w:val="19E8300C"/>
    <w:rsid w:val="19EB5B18"/>
    <w:rsid w:val="19F65454"/>
    <w:rsid w:val="19FA202D"/>
    <w:rsid w:val="19FE0A33"/>
    <w:rsid w:val="1A001F21"/>
    <w:rsid w:val="1A0B4930"/>
    <w:rsid w:val="1A0C111B"/>
    <w:rsid w:val="1A1041D0"/>
    <w:rsid w:val="1A13247F"/>
    <w:rsid w:val="1A133E0E"/>
    <w:rsid w:val="1A1D3736"/>
    <w:rsid w:val="1A1D4091"/>
    <w:rsid w:val="1A1D50D7"/>
    <w:rsid w:val="1A1F3FB2"/>
    <w:rsid w:val="1A2C356C"/>
    <w:rsid w:val="1A2C5CA9"/>
    <w:rsid w:val="1A3C2084"/>
    <w:rsid w:val="1A4646AB"/>
    <w:rsid w:val="1A464F9E"/>
    <w:rsid w:val="1A4E703E"/>
    <w:rsid w:val="1A7043B7"/>
    <w:rsid w:val="1A707A6D"/>
    <w:rsid w:val="1A750A6F"/>
    <w:rsid w:val="1A7641DE"/>
    <w:rsid w:val="1A772A39"/>
    <w:rsid w:val="1A84446B"/>
    <w:rsid w:val="1A8707A2"/>
    <w:rsid w:val="1A8A5BDF"/>
    <w:rsid w:val="1A9C1E5C"/>
    <w:rsid w:val="1AA2738A"/>
    <w:rsid w:val="1AA768ED"/>
    <w:rsid w:val="1AAB26E2"/>
    <w:rsid w:val="1AB175CD"/>
    <w:rsid w:val="1AB217DB"/>
    <w:rsid w:val="1AB5530F"/>
    <w:rsid w:val="1AB772D9"/>
    <w:rsid w:val="1AB8095B"/>
    <w:rsid w:val="1AB86BAD"/>
    <w:rsid w:val="1ABF7180"/>
    <w:rsid w:val="1AC63078"/>
    <w:rsid w:val="1ADA3D30"/>
    <w:rsid w:val="1ADF05DE"/>
    <w:rsid w:val="1ADF238C"/>
    <w:rsid w:val="1AED1747"/>
    <w:rsid w:val="1AF06347"/>
    <w:rsid w:val="1AF23E6D"/>
    <w:rsid w:val="1AF743F8"/>
    <w:rsid w:val="1AFD0956"/>
    <w:rsid w:val="1B063DBD"/>
    <w:rsid w:val="1B065B6B"/>
    <w:rsid w:val="1B087B35"/>
    <w:rsid w:val="1B102FA7"/>
    <w:rsid w:val="1B1262BE"/>
    <w:rsid w:val="1B1A1531"/>
    <w:rsid w:val="1B217891"/>
    <w:rsid w:val="1B222849"/>
    <w:rsid w:val="1B245FF1"/>
    <w:rsid w:val="1B252495"/>
    <w:rsid w:val="1B283D33"/>
    <w:rsid w:val="1B2F2D9B"/>
    <w:rsid w:val="1B306F48"/>
    <w:rsid w:val="1B351FAC"/>
    <w:rsid w:val="1B4D72F6"/>
    <w:rsid w:val="1B4F70DB"/>
    <w:rsid w:val="1B612879"/>
    <w:rsid w:val="1B66485B"/>
    <w:rsid w:val="1B6A5C07"/>
    <w:rsid w:val="1B6B1E72"/>
    <w:rsid w:val="1B79334E"/>
    <w:rsid w:val="1B7B7A15"/>
    <w:rsid w:val="1B8156FF"/>
    <w:rsid w:val="1B8847D2"/>
    <w:rsid w:val="1B8D003A"/>
    <w:rsid w:val="1B8D3B96"/>
    <w:rsid w:val="1B967850"/>
    <w:rsid w:val="1BA3785E"/>
    <w:rsid w:val="1BA50EE0"/>
    <w:rsid w:val="1BAF61FB"/>
    <w:rsid w:val="1BB90E2F"/>
    <w:rsid w:val="1BBE2F3B"/>
    <w:rsid w:val="1BBE4697"/>
    <w:rsid w:val="1BC05D1A"/>
    <w:rsid w:val="1BC54B1C"/>
    <w:rsid w:val="1BC577D4"/>
    <w:rsid w:val="1BCE322D"/>
    <w:rsid w:val="1BD143CB"/>
    <w:rsid w:val="1BD25A4D"/>
    <w:rsid w:val="1BD276B4"/>
    <w:rsid w:val="1BD619E1"/>
    <w:rsid w:val="1BD87507"/>
    <w:rsid w:val="1BDD3D46"/>
    <w:rsid w:val="1BDF56C5"/>
    <w:rsid w:val="1BFE0522"/>
    <w:rsid w:val="1C0906A0"/>
    <w:rsid w:val="1C1B5646"/>
    <w:rsid w:val="1C1B73F4"/>
    <w:rsid w:val="1C1C2FAC"/>
    <w:rsid w:val="1C1E0C92"/>
    <w:rsid w:val="1C2403B8"/>
    <w:rsid w:val="1C2516BD"/>
    <w:rsid w:val="1C2A5F5B"/>
    <w:rsid w:val="1C2C57C5"/>
    <w:rsid w:val="1C2D6AC9"/>
    <w:rsid w:val="1C322F51"/>
    <w:rsid w:val="1C3D380E"/>
    <w:rsid w:val="1C4A1A87"/>
    <w:rsid w:val="1C4E77C9"/>
    <w:rsid w:val="1C6C3A38"/>
    <w:rsid w:val="1C71394B"/>
    <w:rsid w:val="1C725F39"/>
    <w:rsid w:val="1C782A98"/>
    <w:rsid w:val="1C827F34"/>
    <w:rsid w:val="1C830879"/>
    <w:rsid w:val="1C8B6E63"/>
    <w:rsid w:val="1C8C6544"/>
    <w:rsid w:val="1C984EE8"/>
    <w:rsid w:val="1CA27B15"/>
    <w:rsid w:val="1CA613B3"/>
    <w:rsid w:val="1CAC44F0"/>
    <w:rsid w:val="1CAD0994"/>
    <w:rsid w:val="1CAE0268"/>
    <w:rsid w:val="1CB64253"/>
    <w:rsid w:val="1CB67927"/>
    <w:rsid w:val="1CB76508"/>
    <w:rsid w:val="1CBA4E5F"/>
    <w:rsid w:val="1CBF4223"/>
    <w:rsid w:val="1CC161ED"/>
    <w:rsid w:val="1CC730D8"/>
    <w:rsid w:val="1CC80EC6"/>
    <w:rsid w:val="1CD203FA"/>
    <w:rsid w:val="1CD441A9"/>
    <w:rsid w:val="1CD61BA7"/>
    <w:rsid w:val="1CDA4664"/>
    <w:rsid w:val="1CDB5968"/>
    <w:rsid w:val="1CDD55E8"/>
    <w:rsid w:val="1CE43C8A"/>
    <w:rsid w:val="1CE44F73"/>
    <w:rsid w:val="1CE50760"/>
    <w:rsid w:val="1CE7377A"/>
    <w:rsid w:val="1CEA6E7C"/>
    <w:rsid w:val="1CF60711"/>
    <w:rsid w:val="1CFE11EF"/>
    <w:rsid w:val="1D012A8E"/>
    <w:rsid w:val="1D016AA2"/>
    <w:rsid w:val="1D104B3E"/>
    <w:rsid w:val="1D1125BF"/>
    <w:rsid w:val="1D1502E7"/>
    <w:rsid w:val="1D176D12"/>
    <w:rsid w:val="1D1D719C"/>
    <w:rsid w:val="1D2D666C"/>
    <w:rsid w:val="1D305121"/>
    <w:rsid w:val="1D320E8A"/>
    <w:rsid w:val="1D3C3403"/>
    <w:rsid w:val="1D444728"/>
    <w:rsid w:val="1D484C98"/>
    <w:rsid w:val="1D4C75FB"/>
    <w:rsid w:val="1D56364B"/>
    <w:rsid w:val="1D5801D4"/>
    <w:rsid w:val="1D6923E1"/>
    <w:rsid w:val="1D6D1ED1"/>
    <w:rsid w:val="1D6E17A5"/>
    <w:rsid w:val="1D70376F"/>
    <w:rsid w:val="1D71005A"/>
    <w:rsid w:val="1D840FC9"/>
    <w:rsid w:val="1D883D3A"/>
    <w:rsid w:val="1D8879E9"/>
    <w:rsid w:val="1D8A1F95"/>
    <w:rsid w:val="1D8B1ECB"/>
    <w:rsid w:val="1D931894"/>
    <w:rsid w:val="1DA358F3"/>
    <w:rsid w:val="1DA45229"/>
    <w:rsid w:val="1DA82F09"/>
    <w:rsid w:val="1DAB29F9"/>
    <w:rsid w:val="1DB47B00"/>
    <w:rsid w:val="1DB55626"/>
    <w:rsid w:val="1DB65DD3"/>
    <w:rsid w:val="1DB95116"/>
    <w:rsid w:val="1DC0145E"/>
    <w:rsid w:val="1DC44991"/>
    <w:rsid w:val="1DE81558"/>
    <w:rsid w:val="1DEB4F9C"/>
    <w:rsid w:val="1DEC1F22"/>
    <w:rsid w:val="1DF83E91"/>
    <w:rsid w:val="1DFB74DD"/>
    <w:rsid w:val="1DFD640B"/>
    <w:rsid w:val="1DFDD208"/>
    <w:rsid w:val="1E162569"/>
    <w:rsid w:val="1E2733B4"/>
    <w:rsid w:val="1E2B58F9"/>
    <w:rsid w:val="1E2F4F95"/>
    <w:rsid w:val="1E4A2212"/>
    <w:rsid w:val="1E5B385B"/>
    <w:rsid w:val="1E6A785E"/>
    <w:rsid w:val="1E902DEF"/>
    <w:rsid w:val="1E914478"/>
    <w:rsid w:val="1E94348E"/>
    <w:rsid w:val="1E9601BD"/>
    <w:rsid w:val="1E9A4645"/>
    <w:rsid w:val="1E9A4F48"/>
    <w:rsid w:val="1E9C42C4"/>
    <w:rsid w:val="1E9D1FC2"/>
    <w:rsid w:val="1E9D2342"/>
    <w:rsid w:val="1E9D67E6"/>
    <w:rsid w:val="1EA01E32"/>
    <w:rsid w:val="1EA03E84"/>
    <w:rsid w:val="1EA1074C"/>
    <w:rsid w:val="1EA5569B"/>
    <w:rsid w:val="1EA72655"/>
    <w:rsid w:val="1EA935DA"/>
    <w:rsid w:val="1EB23EB8"/>
    <w:rsid w:val="1EB268D8"/>
    <w:rsid w:val="1EB31B66"/>
    <w:rsid w:val="1EBE26B3"/>
    <w:rsid w:val="1EBF3A51"/>
    <w:rsid w:val="1EC2624D"/>
    <w:rsid w:val="1EC364F5"/>
    <w:rsid w:val="1ECD0317"/>
    <w:rsid w:val="1ECE074D"/>
    <w:rsid w:val="1EDB10BC"/>
    <w:rsid w:val="1EDD63B3"/>
    <w:rsid w:val="1EE066D3"/>
    <w:rsid w:val="1EF92460"/>
    <w:rsid w:val="1F0028D1"/>
    <w:rsid w:val="1F0E4FEE"/>
    <w:rsid w:val="1F1E3599"/>
    <w:rsid w:val="1F1F101A"/>
    <w:rsid w:val="1F234F3D"/>
    <w:rsid w:val="1F262338"/>
    <w:rsid w:val="1F3C1B5B"/>
    <w:rsid w:val="1F3E5153"/>
    <w:rsid w:val="1F497C60"/>
    <w:rsid w:val="1F4B6242"/>
    <w:rsid w:val="1F4C6F83"/>
    <w:rsid w:val="1F525822"/>
    <w:rsid w:val="1F550E6F"/>
    <w:rsid w:val="1F5B6C81"/>
    <w:rsid w:val="1F5F4C10"/>
    <w:rsid w:val="1F5FCE12"/>
    <w:rsid w:val="1F672A94"/>
    <w:rsid w:val="1F81363D"/>
    <w:rsid w:val="1F884DA0"/>
    <w:rsid w:val="1F8B459C"/>
    <w:rsid w:val="1F903C55"/>
    <w:rsid w:val="1F90634B"/>
    <w:rsid w:val="1F91275B"/>
    <w:rsid w:val="1F976502"/>
    <w:rsid w:val="1F9F20EA"/>
    <w:rsid w:val="1FA3607E"/>
    <w:rsid w:val="1FB44D91"/>
    <w:rsid w:val="1FB97650"/>
    <w:rsid w:val="1FCB27B8"/>
    <w:rsid w:val="1FD0701B"/>
    <w:rsid w:val="1FD71884"/>
    <w:rsid w:val="1FD9384E"/>
    <w:rsid w:val="1FDA1374"/>
    <w:rsid w:val="1FE06EDA"/>
    <w:rsid w:val="1FE741BD"/>
    <w:rsid w:val="1FEB7469"/>
    <w:rsid w:val="1FF764E0"/>
    <w:rsid w:val="1FF90EEE"/>
    <w:rsid w:val="1FFA20C8"/>
    <w:rsid w:val="1FFC753C"/>
    <w:rsid w:val="1FFE1EE2"/>
    <w:rsid w:val="20074B9B"/>
    <w:rsid w:val="200D1749"/>
    <w:rsid w:val="200D799B"/>
    <w:rsid w:val="20176124"/>
    <w:rsid w:val="202B1BD0"/>
    <w:rsid w:val="202F7912"/>
    <w:rsid w:val="20305383"/>
    <w:rsid w:val="203543E6"/>
    <w:rsid w:val="203640A2"/>
    <w:rsid w:val="20541126"/>
    <w:rsid w:val="2058589F"/>
    <w:rsid w:val="205935E1"/>
    <w:rsid w:val="205F7254"/>
    <w:rsid w:val="206044EB"/>
    <w:rsid w:val="20647D92"/>
    <w:rsid w:val="206F7D0E"/>
    <w:rsid w:val="207109C7"/>
    <w:rsid w:val="20711CD8"/>
    <w:rsid w:val="20726449"/>
    <w:rsid w:val="207451CF"/>
    <w:rsid w:val="207573CE"/>
    <w:rsid w:val="20784E15"/>
    <w:rsid w:val="2079293B"/>
    <w:rsid w:val="20857532"/>
    <w:rsid w:val="208A14B7"/>
    <w:rsid w:val="20947775"/>
    <w:rsid w:val="209D2ACD"/>
    <w:rsid w:val="209D2B10"/>
    <w:rsid w:val="209E23A2"/>
    <w:rsid w:val="20A63420"/>
    <w:rsid w:val="20AA65A3"/>
    <w:rsid w:val="20AE4FA9"/>
    <w:rsid w:val="20B41BC5"/>
    <w:rsid w:val="20BE2A44"/>
    <w:rsid w:val="20D451E9"/>
    <w:rsid w:val="20D52267"/>
    <w:rsid w:val="20D564EE"/>
    <w:rsid w:val="20D81D57"/>
    <w:rsid w:val="20DB64DD"/>
    <w:rsid w:val="20E06A7D"/>
    <w:rsid w:val="20E06E5E"/>
    <w:rsid w:val="20E57FD0"/>
    <w:rsid w:val="20EA3839"/>
    <w:rsid w:val="20F01248"/>
    <w:rsid w:val="20F46465"/>
    <w:rsid w:val="20F50A1B"/>
    <w:rsid w:val="2110329F"/>
    <w:rsid w:val="21156B08"/>
    <w:rsid w:val="2118245A"/>
    <w:rsid w:val="21187874"/>
    <w:rsid w:val="211A2370"/>
    <w:rsid w:val="211F7986"/>
    <w:rsid w:val="21290176"/>
    <w:rsid w:val="213A47C0"/>
    <w:rsid w:val="213B5E42"/>
    <w:rsid w:val="213C5449"/>
    <w:rsid w:val="213E04F7"/>
    <w:rsid w:val="2147194A"/>
    <w:rsid w:val="21472A39"/>
    <w:rsid w:val="21502CCB"/>
    <w:rsid w:val="215304DF"/>
    <w:rsid w:val="21652559"/>
    <w:rsid w:val="21687C5B"/>
    <w:rsid w:val="217008EA"/>
    <w:rsid w:val="217575A6"/>
    <w:rsid w:val="21793558"/>
    <w:rsid w:val="217952E8"/>
    <w:rsid w:val="2185500C"/>
    <w:rsid w:val="2188552B"/>
    <w:rsid w:val="218C0E74"/>
    <w:rsid w:val="21902632"/>
    <w:rsid w:val="21A57AC0"/>
    <w:rsid w:val="21AE03CF"/>
    <w:rsid w:val="21B87493"/>
    <w:rsid w:val="21BA320B"/>
    <w:rsid w:val="21C24E71"/>
    <w:rsid w:val="21C9156A"/>
    <w:rsid w:val="21C978F2"/>
    <w:rsid w:val="21D7362A"/>
    <w:rsid w:val="21DB7F9A"/>
    <w:rsid w:val="21DC13D3"/>
    <w:rsid w:val="21DE311D"/>
    <w:rsid w:val="21E07116"/>
    <w:rsid w:val="21E169EA"/>
    <w:rsid w:val="21E85FCA"/>
    <w:rsid w:val="21F8754A"/>
    <w:rsid w:val="21F911D4"/>
    <w:rsid w:val="21FF3314"/>
    <w:rsid w:val="22001566"/>
    <w:rsid w:val="220A23E4"/>
    <w:rsid w:val="220D61EA"/>
    <w:rsid w:val="220E74EF"/>
    <w:rsid w:val="22146DBF"/>
    <w:rsid w:val="2217457B"/>
    <w:rsid w:val="22194E15"/>
    <w:rsid w:val="2222290C"/>
    <w:rsid w:val="22244B28"/>
    <w:rsid w:val="222B5EB7"/>
    <w:rsid w:val="222F54A5"/>
    <w:rsid w:val="223631D9"/>
    <w:rsid w:val="223C00C4"/>
    <w:rsid w:val="224945A6"/>
    <w:rsid w:val="224D4A55"/>
    <w:rsid w:val="226338A3"/>
    <w:rsid w:val="2278111D"/>
    <w:rsid w:val="227D71CC"/>
    <w:rsid w:val="227E692E"/>
    <w:rsid w:val="228136F2"/>
    <w:rsid w:val="22813D29"/>
    <w:rsid w:val="228F0D42"/>
    <w:rsid w:val="22917898"/>
    <w:rsid w:val="22937748"/>
    <w:rsid w:val="229879F0"/>
    <w:rsid w:val="22A53EBB"/>
    <w:rsid w:val="22A55C69"/>
    <w:rsid w:val="22A918EC"/>
    <w:rsid w:val="22AA5F7F"/>
    <w:rsid w:val="22AC65B5"/>
    <w:rsid w:val="22AD02F2"/>
    <w:rsid w:val="22AE0FC2"/>
    <w:rsid w:val="22B03475"/>
    <w:rsid w:val="22B10AB2"/>
    <w:rsid w:val="22B55DBA"/>
    <w:rsid w:val="22B61C24"/>
    <w:rsid w:val="22F92970"/>
    <w:rsid w:val="22FB2F8D"/>
    <w:rsid w:val="22FF181D"/>
    <w:rsid w:val="230213B5"/>
    <w:rsid w:val="23055715"/>
    <w:rsid w:val="230C030B"/>
    <w:rsid w:val="231C3E29"/>
    <w:rsid w:val="232044A9"/>
    <w:rsid w:val="233C68DC"/>
    <w:rsid w:val="23447230"/>
    <w:rsid w:val="2344756C"/>
    <w:rsid w:val="234731C4"/>
    <w:rsid w:val="2355143D"/>
    <w:rsid w:val="235551CF"/>
    <w:rsid w:val="2356427F"/>
    <w:rsid w:val="235D2694"/>
    <w:rsid w:val="23671171"/>
    <w:rsid w:val="236A6126"/>
    <w:rsid w:val="236B0C61"/>
    <w:rsid w:val="2378320C"/>
    <w:rsid w:val="237C2E6E"/>
    <w:rsid w:val="238002CA"/>
    <w:rsid w:val="238115CF"/>
    <w:rsid w:val="238E0DF3"/>
    <w:rsid w:val="23922691"/>
    <w:rsid w:val="23A556D9"/>
    <w:rsid w:val="23A6613D"/>
    <w:rsid w:val="23A93537"/>
    <w:rsid w:val="23AA2793"/>
    <w:rsid w:val="23AA6F10"/>
    <w:rsid w:val="23B343B6"/>
    <w:rsid w:val="23B76226"/>
    <w:rsid w:val="23BC0A50"/>
    <w:rsid w:val="23C50DBF"/>
    <w:rsid w:val="23D22653"/>
    <w:rsid w:val="23D426DD"/>
    <w:rsid w:val="23DF51AB"/>
    <w:rsid w:val="23E33B7E"/>
    <w:rsid w:val="23E71422"/>
    <w:rsid w:val="23F32A04"/>
    <w:rsid w:val="23F52C20"/>
    <w:rsid w:val="23F90BF9"/>
    <w:rsid w:val="23FB483C"/>
    <w:rsid w:val="23FC7B0B"/>
    <w:rsid w:val="24023736"/>
    <w:rsid w:val="2406098A"/>
    <w:rsid w:val="240B41F2"/>
    <w:rsid w:val="240E79FB"/>
    <w:rsid w:val="241919A4"/>
    <w:rsid w:val="241B0219"/>
    <w:rsid w:val="241F37F9"/>
    <w:rsid w:val="24212F0F"/>
    <w:rsid w:val="24231158"/>
    <w:rsid w:val="242552B4"/>
    <w:rsid w:val="242B03F0"/>
    <w:rsid w:val="242D115C"/>
    <w:rsid w:val="242E68D6"/>
    <w:rsid w:val="2443398C"/>
    <w:rsid w:val="2445130D"/>
    <w:rsid w:val="244A2F6C"/>
    <w:rsid w:val="244B2840"/>
    <w:rsid w:val="244D0826"/>
    <w:rsid w:val="245109A3"/>
    <w:rsid w:val="24534DF9"/>
    <w:rsid w:val="245500BD"/>
    <w:rsid w:val="246D02D3"/>
    <w:rsid w:val="247B2001"/>
    <w:rsid w:val="2483647E"/>
    <w:rsid w:val="248A5117"/>
    <w:rsid w:val="248E2A06"/>
    <w:rsid w:val="2491720E"/>
    <w:rsid w:val="24924C8F"/>
    <w:rsid w:val="24967F5F"/>
    <w:rsid w:val="249F7A3B"/>
    <w:rsid w:val="24A5262B"/>
    <w:rsid w:val="24AF4B7D"/>
    <w:rsid w:val="24C16567"/>
    <w:rsid w:val="24C22B02"/>
    <w:rsid w:val="24C3545E"/>
    <w:rsid w:val="24C70119"/>
    <w:rsid w:val="24D26ABE"/>
    <w:rsid w:val="24D456F9"/>
    <w:rsid w:val="24D9609E"/>
    <w:rsid w:val="24D97E4C"/>
    <w:rsid w:val="24E72569"/>
    <w:rsid w:val="24F1107B"/>
    <w:rsid w:val="24F353B2"/>
    <w:rsid w:val="24F37160"/>
    <w:rsid w:val="24F46A34"/>
    <w:rsid w:val="24F627AC"/>
    <w:rsid w:val="24F95938"/>
    <w:rsid w:val="250550E5"/>
    <w:rsid w:val="250A5096"/>
    <w:rsid w:val="251C29DF"/>
    <w:rsid w:val="252512E3"/>
    <w:rsid w:val="25251747"/>
    <w:rsid w:val="252F227F"/>
    <w:rsid w:val="252F3F10"/>
    <w:rsid w:val="25315A92"/>
    <w:rsid w:val="2538541D"/>
    <w:rsid w:val="25413B2E"/>
    <w:rsid w:val="254A0BBB"/>
    <w:rsid w:val="25510545"/>
    <w:rsid w:val="2554491A"/>
    <w:rsid w:val="255A6C57"/>
    <w:rsid w:val="255B2F57"/>
    <w:rsid w:val="255F2A47"/>
    <w:rsid w:val="256065CC"/>
    <w:rsid w:val="256736AA"/>
    <w:rsid w:val="25695674"/>
    <w:rsid w:val="256A366E"/>
    <w:rsid w:val="256E4A38"/>
    <w:rsid w:val="25772983"/>
    <w:rsid w:val="257858B7"/>
    <w:rsid w:val="257D0E06"/>
    <w:rsid w:val="257D2ECD"/>
    <w:rsid w:val="258666D1"/>
    <w:rsid w:val="2593624D"/>
    <w:rsid w:val="2596002F"/>
    <w:rsid w:val="25A04A79"/>
    <w:rsid w:val="25B305EA"/>
    <w:rsid w:val="25B368EF"/>
    <w:rsid w:val="25BA7C7E"/>
    <w:rsid w:val="25BC1C48"/>
    <w:rsid w:val="25C01E7E"/>
    <w:rsid w:val="25C51D55"/>
    <w:rsid w:val="25CA23FF"/>
    <w:rsid w:val="25CB1E8B"/>
    <w:rsid w:val="25CB240D"/>
    <w:rsid w:val="25D17B9A"/>
    <w:rsid w:val="25DE142E"/>
    <w:rsid w:val="25E371D4"/>
    <w:rsid w:val="25E42F4C"/>
    <w:rsid w:val="25E71D3E"/>
    <w:rsid w:val="25EE16C9"/>
    <w:rsid w:val="25F51053"/>
    <w:rsid w:val="25F87C7B"/>
    <w:rsid w:val="260B6221"/>
    <w:rsid w:val="260E1D77"/>
    <w:rsid w:val="26125E7B"/>
    <w:rsid w:val="26185D90"/>
    <w:rsid w:val="2629095F"/>
    <w:rsid w:val="262E41C8"/>
    <w:rsid w:val="264777D9"/>
    <w:rsid w:val="264B2FCC"/>
    <w:rsid w:val="2650413E"/>
    <w:rsid w:val="26526108"/>
    <w:rsid w:val="26571970"/>
    <w:rsid w:val="26600825"/>
    <w:rsid w:val="266F2F1B"/>
    <w:rsid w:val="26720A30"/>
    <w:rsid w:val="26795B43"/>
    <w:rsid w:val="267E1DC4"/>
    <w:rsid w:val="26811F3C"/>
    <w:rsid w:val="26897349"/>
    <w:rsid w:val="268F0567"/>
    <w:rsid w:val="268F1252"/>
    <w:rsid w:val="26937C58"/>
    <w:rsid w:val="26960BDD"/>
    <w:rsid w:val="26996C1D"/>
    <w:rsid w:val="269B7AAF"/>
    <w:rsid w:val="269E134D"/>
    <w:rsid w:val="269E759F"/>
    <w:rsid w:val="26A242FB"/>
    <w:rsid w:val="26A526DC"/>
    <w:rsid w:val="26A922FB"/>
    <w:rsid w:val="26AF355A"/>
    <w:rsid w:val="26B11081"/>
    <w:rsid w:val="26B53276"/>
    <w:rsid w:val="26B91CE3"/>
    <w:rsid w:val="26BF062B"/>
    <w:rsid w:val="26C32B62"/>
    <w:rsid w:val="26CD23A7"/>
    <w:rsid w:val="26CF423A"/>
    <w:rsid w:val="26D32C40"/>
    <w:rsid w:val="26D94133"/>
    <w:rsid w:val="26DE5BEE"/>
    <w:rsid w:val="26ED7BDF"/>
    <w:rsid w:val="26F074FD"/>
    <w:rsid w:val="26F07FF2"/>
    <w:rsid w:val="26F61EFB"/>
    <w:rsid w:val="26F70A5D"/>
    <w:rsid w:val="26F853FE"/>
    <w:rsid w:val="270513CC"/>
    <w:rsid w:val="27082C6B"/>
    <w:rsid w:val="270F224B"/>
    <w:rsid w:val="270F5023"/>
    <w:rsid w:val="271433BD"/>
    <w:rsid w:val="271C2272"/>
    <w:rsid w:val="272726CA"/>
    <w:rsid w:val="27343A60"/>
    <w:rsid w:val="27402404"/>
    <w:rsid w:val="2741632C"/>
    <w:rsid w:val="27435A51"/>
    <w:rsid w:val="27447A7C"/>
    <w:rsid w:val="274E68CF"/>
    <w:rsid w:val="274E70AD"/>
    <w:rsid w:val="275356B2"/>
    <w:rsid w:val="2754116D"/>
    <w:rsid w:val="275A2BAD"/>
    <w:rsid w:val="275E288B"/>
    <w:rsid w:val="27600F19"/>
    <w:rsid w:val="276734B3"/>
    <w:rsid w:val="276854B7"/>
    <w:rsid w:val="276C2E52"/>
    <w:rsid w:val="276D2E3E"/>
    <w:rsid w:val="276F09CF"/>
    <w:rsid w:val="276F6846"/>
    <w:rsid w:val="277272C6"/>
    <w:rsid w:val="2775024B"/>
    <w:rsid w:val="27791136"/>
    <w:rsid w:val="277C770C"/>
    <w:rsid w:val="277E52D7"/>
    <w:rsid w:val="277F0251"/>
    <w:rsid w:val="277F1DC6"/>
    <w:rsid w:val="278B78AA"/>
    <w:rsid w:val="27A26C1B"/>
    <w:rsid w:val="27AA6231"/>
    <w:rsid w:val="27B64475"/>
    <w:rsid w:val="27BF3329"/>
    <w:rsid w:val="27BF73C5"/>
    <w:rsid w:val="27CE415D"/>
    <w:rsid w:val="27D74B17"/>
    <w:rsid w:val="27E64575"/>
    <w:rsid w:val="27ED6C10"/>
    <w:rsid w:val="27EF6B91"/>
    <w:rsid w:val="27F4659B"/>
    <w:rsid w:val="27F51441"/>
    <w:rsid w:val="27F84A8D"/>
    <w:rsid w:val="27FA25B3"/>
    <w:rsid w:val="28090A48"/>
    <w:rsid w:val="28247630"/>
    <w:rsid w:val="282B6C11"/>
    <w:rsid w:val="2839380C"/>
    <w:rsid w:val="283B4790"/>
    <w:rsid w:val="283D7C94"/>
    <w:rsid w:val="283E187C"/>
    <w:rsid w:val="283E1E92"/>
    <w:rsid w:val="28425D08"/>
    <w:rsid w:val="284952E9"/>
    <w:rsid w:val="284E28FF"/>
    <w:rsid w:val="28612632"/>
    <w:rsid w:val="286C2D61"/>
    <w:rsid w:val="286E6AFD"/>
    <w:rsid w:val="28703966"/>
    <w:rsid w:val="28726E69"/>
    <w:rsid w:val="2874236C"/>
    <w:rsid w:val="28754330"/>
    <w:rsid w:val="287C2FFC"/>
    <w:rsid w:val="287D5314"/>
    <w:rsid w:val="287F0D0A"/>
    <w:rsid w:val="288D39BF"/>
    <w:rsid w:val="28991DCC"/>
    <w:rsid w:val="289A25AC"/>
    <w:rsid w:val="289E3886"/>
    <w:rsid w:val="28A044B5"/>
    <w:rsid w:val="28AD1D1C"/>
    <w:rsid w:val="28B430AA"/>
    <w:rsid w:val="28C57065"/>
    <w:rsid w:val="28C62164"/>
    <w:rsid w:val="28D10507"/>
    <w:rsid w:val="28D14C84"/>
    <w:rsid w:val="28D472A8"/>
    <w:rsid w:val="28E155EF"/>
    <w:rsid w:val="28E30421"/>
    <w:rsid w:val="28E82D54"/>
    <w:rsid w:val="28E848A9"/>
    <w:rsid w:val="28EC32AF"/>
    <w:rsid w:val="28EF7AB7"/>
    <w:rsid w:val="29023709"/>
    <w:rsid w:val="290A02E1"/>
    <w:rsid w:val="29147BAB"/>
    <w:rsid w:val="2916166F"/>
    <w:rsid w:val="291C47AB"/>
    <w:rsid w:val="2920429C"/>
    <w:rsid w:val="292F0982"/>
    <w:rsid w:val="29323FCF"/>
    <w:rsid w:val="293314A5"/>
    <w:rsid w:val="29347D47"/>
    <w:rsid w:val="293933AF"/>
    <w:rsid w:val="293D679A"/>
    <w:rsid w:val="29485689"/>
    <w:rsid w:val="294A494E"/>
    <w:rsid w:val="294F4B81"/>
    <w:rsid w:val="295377DC"/>
    <w:rsid w:val="295E5B6D"/>
    <w:rsid w:val="29672BF9"/>
    <w:rsid w:val="296879F1"/>
    <w:rsid w:val="296A3769"/>
    <w:rsid w:val="296E0005"/>
    <w:rsid w:val="296E2584"/>
    <w:rsid w:val="29710A8D"/>
    <w:rsid w:val="297306C9"/>
    <w:rsid w:val="297445E7"/>
    <w:rsid w:val="297840D8"/>
    <w:rsid w:val="297B511D"/>
    <w:rsid w:val="297E0FC2"/>
    <w:rsid w:val="29847DB9"/>
    <w:rsid w:val="29890093"/>
    <w:rsid w:val="298A7967"/>
    <w:rsid w:val="29915199"/>
    <w:rsid w:val="299E3412"/>
    <w:rsid w:val="299F78B6"/>
    <w:rsid w:val="29A617E4"/>
    <w:rsid w:val="29A9603F"/>
    <w:rsid w:val="29BC137D"/>
    <w:rsid w:val="29C25891"/>
    <w:rsid w:val="29C42E79"/>
    <w:rsid w:val="29C76E0D"/>
    <w:rsid w:val="29D84B76"/>
    <w:rsid w:val="29D86924"/>
    <w:rsid w:val="29EE7A91"/>
    <w:rsid w:val="2A0911D4"/>
    <w:rsid w:val="2A0F245E"/>
    <w:rsid w:val="2A134397"/>
    <w:rsid w:val="2A1862A0"/>
    <w:rsid w:val="2A2658E2"/>
    <w:rsid w:val="2A302D58"/>
    <w:rsid w:val="2A351FC9"/>
    <w:rsid w:val="2A3732D1"/>
    <w:rsid w:val="2A3A138D"/>
    <w:rsid w:val="2A3F06DE"/>
    <w:rsid w:val="2A41096D"/>
    <w:rsid w:val="2A4A5D93"/>
    <w:rsid w:val="2A500BB0"/>
    <w:rsid w:val="2A673E21"/>
    <w:rsid w:val="2A694DA5"/>
    <w:rsid w:val="2A784A7C"/>
    <w:rsid w:val="2A7950A7"/>
    <w:rsid w:val="2A81027A"/>
    <w:rsid w:val="2A81030D"/>
    <w:rsid w:val="2A827ECE"/>
    <w:rsid w:val="2A930A9D"/>
    <w:rsid w:val="2A9C3DF6"/>
    <w:rsid w:val="2A9C7924"/>
    <w:rsid w:val="2AA9450A"/>
    <w:rsid w:val="2AB949A8"/>
    <w:rsid w:val="2ABC352B"/>
    <w:rsid w:val="2AC65DFD"/>
    <w:rsid w:val="2ACB651E"/>
    <w:rsid w:val="2AD51ED6"/>
    <w:rsid w:val="2AD76BDC"/>
    <w:rsid w:val="2ADE440E"/>
    <w:rsid w:val="2ADE7F6A"/>
    <w:rsid w:val="2AE01F34"/>
    <w:rsid w:val="2AE403E0"/>
    <w:rsid w:val="2AE5579D"/>
    <w:rsid w:val="2AF709DB"/>
    <w:rsid w:val="2AF74A05"/>
    <w:rsid w:val="2B0513A0"/>
    <w:rsid w:val="2B053749"/>
    <w:rsid w:val="2B0C5062"/>
    <w:rsid w:val="2B0E18C1"/>
    <w:rsid w:val="2B0E422E"/>
    <w:rsid w:val="2B0F45C8"/>
    <w:rsid w:val="2B164BB8"/>
    <w:rsid w:val="2B1C6CE5"/>
    <w:rsid w:val="2B1E480B"/>
    <w:rsid w:val="2B200583"/>
    <w:rsid w:val="2B253DEB"/>
    <w:rsid w:val="2B275DB5"/>
    <w:rsid w:val="2B286BBF"/>
    <w:rsid w:val="2B3012EB"/>
    <w:rsid w:val="2B345DDC"/>
    <w:rsid w:val="2B37482F"/>
    <w:rsid w:val="2B467BED"/>
    <w:rsid w:val="2B467C0B"/>
    <w:rsid w:val="2B47568D"/>
    <w:rsid w:val="2B4F50DB"/>
    <w:rsid w:val="2B51698E"/>
    <w:rsid w:val="2B634FBD"/>
    <w:rsid w:val="2B6371BC"/>
    <w:rsid w:val="2B754FB5"/>
    <w:rsid w:val="2B762D4B"/>
    <w:rsid w:val="2B7C00E6"/>
    <w:rsid w:val="2B8723B0"/>
    <w:rsid w:val="2B88197A"/>
    <w:rsid w:val="2B8A6344"/>
    <w:rsid w:val="2B9176D3"/>
    <w:rsid w:val="2B9C6064"/>
    <w:rsid w:val="2BA72A52"/>
    <w:rsid w:val="2BAC1E16"/>
    <w:rsid w:val="2BAE3DE1"/>
    <w:rsid w:val="2BB01839"/>
    <w:rsid w:val="2BB51544"/>
    <w:rsid w:val="2BB84C5F"/>
    <w:rsid w:val="2BBB0AD1"/>
    <w:rsid w:val="2BBD6C58"/>
    <w:rsid w:val="2BBE5E32"/>
    <w:rsid w:val="2BC2788C"/>
    <w:rsid w:val="2BC5112A"/>
    <w:rsid w:val="2BCA04EF"/>
    <w:rsid w:val="2BD12CFE"/>
    <w:rsid w:val="2BD551D5"/>
    <w:rsid w:val="2BD7BDAE"/>
    <w:rsid w:val="2BE912BD"/>
    <w:rsid w:val="2C0003B4"/>
    <w:rsid w:val="2C0B66D0"/>
    <w:rsid w:val="2C0C4FAB"/>
    <w:rsid w:val="2C183950"/>
    <w:rsid w:val="2C1A1476"/>
    <w:rsid w:val="2C225C99"/>
    <w:rsid w:val="2C2E598B"/>
    <w:rsid w:val="2C2F1A6C"/>
    <w:rsid w:val="2C332538"/>
    <w:rsid w:val="2C354822"/>
    <w:rsid w:val="2C3D0F42"/>
    <w:rsid w:val="2C414C55"/>
    <w:rsid w:val="2C46226B"/>
    <w:rsid w:val="2C464019"/>
    <w:rsid w:val="2C477AA2"/>
    <w:rsid w:val="2C4958B7"/>
    <w:rsid w:val="2C583D4C"/>
    <w:rsid w:val="2C5A3F68"/>
    <w:rsid w:val="2C626979"/>
    <w:rsid w:val="2C6538E6"/>
    <w:rsid w:val="2C6C546F"/>
    <w:rsid w:val="2C7212B2"/>
    <w:rsid w:val="2C732934"/>
    <w:rsid w:val="2C883B4B"/>
    <w:rsid w:val="2C8B2374"/>
    <w:rsid w:val="2C8B4122"/>
    <w:rsid w:val="2C8B462E"/>
    <w:rsid w:val="2C8D6075"/>
    <w:rsid w:val="2C9111D4"/>
    <w:rsid w:val="2C9D3A40"/>
    <w:rsid w:val="2CA156F3"/>
    <w:rsid w:val="2CA174A1"/>
    <w:rsid w:val="2CA46F92"/>
    <w:rsid w:val="2CA538A8"/>
    <w:rsid w:val="2CA70830"/>
    <w:rsid w:val="2CB27BEA"/>
    <w:rsid w:val="2CBA0563"/>
    <w:rsid w:val="2CBF3DCB"/>
    <w:rsid w:val="2CC5115E"/>
    <w:rsid w:val="2CC94C4A"/>
    <w:rsid w:val="2CCD678E"/>
    <w:rsid w:val="2CD51841"/>
    <w:rsid w:val="2CDC672B"/>
    <w:rsid w:val="2CDF7304"/>
    <w:rsid w:val="2CE04CCC"/>
    <w:rsid w:val="2CE341B5"/>
    <w:rsid w:val="2CED6B8B"/>
    <w:rsid w:val="2CF25F4F"/>
    <w:rsid w:val="2CF9108B"/>
    <w:rsid w:val="2CFD700F"/>
    <w:rsid w:val="2D001CDF"/>
    <w:rsid w:val="2D016192"/>
    <w:rsid w:val="2D0363AE"/>
    <w:rsid w:val="2D0637A8"/>
    <w:rsid w:val="2D076FA2"/>
    <w:rsid w:val="2D113AF9"/>
    <w:rsid w:val="2D16052D"/>
    <w:rsid w:val="2D177764"/>
    <w:rsid w:val="2D297497"/>
    <w:rsid w:val="2D3B5B48"/>
    <w:rsid w:val="2D460049"/>
    <w:rsid w:val="2D4F716D"/>
    <w:rsid w:val="2D5B7F98"/>
    <w:rsid w:val="2D607001"/>
    <w:rsid w:val="2D654973"/>
    <w:rsid w:val="2D657C06"/>
    <w:rsid w:val="2D686211"/>
    <w:rsid w:val="2D6B02E7"/>
    <w:rsid w:val="2D7352E2"/>
    <w:rsid w:val="2D7B4196"/>
    <w:rsid w:val="2D7C19E3"/>
    <w:rsid w:val="2D7D0B30"/>
    <w:rsid w:val="2D7FB598"/>
    <w:rsid w:val="2D83129D"/>
    <w:rsid w:val="2D870D8D"/>
    <w:rsid w:val="2D8F19F0"/>
    <w:rsid w:val="2D90585A"/>
    <w:rsid w:val="2D915768"/>
    <w:rsid w:val="2D947006"/>
    <w:rsid w:val="2D98715B"/>
    <w:rsid w:val="2D990AC0"/>
    <w:rsid w:val="2D9B00E0"/>
    <w:rsid w:val="2DA225D6"/>
    <w:rsid w:val="2DA53367"/>
    <w:rsid w:val="2DA80E6D"/>
    <w:rsid w:val="2DA85453"/>
    <w:rsid w:val="2DB00085"/>
    <w:rsid w:val="2DB476A8"/>
    <w:rsid w:val="2DB73EA8"/>
    <w:rsid w:val="2DBE50C5"/>
    <w:rsid w:val="2DBE75B2"/>
    <w:rsid w:val="2DC35A21"/>
    <w:rsid w:val="2DCF1834"/>
    <w:rsid w:val="2DD27913"/>
    <w:rsid w:val="2DD613CD"/>
    <w:rsid w:val="2DEA30CA"/>
    <w:rsid w:val="2DF31F7F"/>
    <w:rsid w:val="2DF74E76"/>
    <w:rsid w:val="2DF81343"/>
    <w:rsid w:val="2DFEDFFC"/>
    <w:rsid w:val="2DFF6B75"/>
    <w:rsid w:val="2E0C3040"/>
    <w:rsid w:val="2E0C4DEE"/>
    <w:rsid w:val="2E0F261D"/>
    <w:rsid w:val="2E194CBF"/>
    <w:rsid w:val="2E250044"/>
    <w:rsid w:val="2E2547C1"/>
    <w:rsid w:val="2E2C5010"/>
    <w:rsid w:val="2E2E2FB7"/>
    <w:rsid w:val="2E314855"/>
    <w:rsid w:val="2E344345"/>
    <w:rsid w:val="2E361642"/>
    <w:rsid w:val="2E362579"/>
    <w:rsid w:val="2E3D769E"/>
    <w:rsid w:val="2E405253"/>
    <w:rsid w:val="2E47051C"/>
    <w:rsid w:val="2E4722CA"/>
    <w:rsid w:val="2E5073D1"/>
    <w:rsid w:val="2E521E0D"/>
    <w:rsid w:val="2E57641F"/>
    <w:rsid w:val="2E625356"/>
    <w:rsid w:val="2E6B5FB9"/>
    <w:rsid w:val="2E6C29B7"/>
    <w:rsid w:val="2E6D3A00"/>
    <w:rsid w:val="2E7374C5"/>
    <w:rsid w:val="2E7A444E"/>
    <w:rsid w:val="2E7C4040"/>
    <w:rsid w:val="2E7E638B"/>
    <w:rsid w:val="2E840F6E"/>
    <w:rsid w:val="2E8452CD"/>
    <w:rsid w:val="2E84609C"/>
    <w:rsid w:val="2E84707B"/>
    <w:rsid w:val="2E8A57EA"/>
    <w:rsid w:val="2E8B1624"/>
    <w:rsid w:val="2E912128"/>
    <w:rsid w:val="2E913546"/>
    <w:rsid w:val="2E942DF2"/>
    <w:rsid w:val="2EA27501"/>
    <w:rsid w:val="2EA30912"/>
    <w:rsid w:val="2EA414CB"/>
    <w:rsid w:val="2EAB2859"/>
    <w:rsid w:val="2EB07FFF"/>
    <w:rsid w:val="2EB17C28"/>
    <w:rsid w:val="2EB540B0"/>
    <w:rsid w:val="2EBE07DF"/>
    <w:rsid w:val="2EC830D0"/>
    <w:rsid w:val="2EC952CF"/>
    <w:rsid w:val="2ECA07D2"/>
    <w:rsid w:val="2EE144CD"/>
    <w:rsid w:val="2EE31FF3"/>
    <w:rsid w:val="2EE44500"/>
    <w:rsid w:val="2EE61AE3"/>
    <w:rsid w:val="2EE62680"/>
    <w:rsid w:val="2EEF2F90"/>
    <w:rsid w:val="2EF31996"/>
    <w:rsid w:val="2EFF7AC1"/>
    <w:rsid w:val="2F070637"/>
    <w:rsid w:val="2F13562C"/>
    <w:rsid w:val="2F146650"/>
    <w:rsid w:val="2F1C5505"/>
    <w:rsid w:val="2F2820FC"/>
    <w:rsid w:val="2F307202"/>
    <w:rsid w:val="2F326EFC"/>
    <w:rsid w:val="2F39722B"/>
    <w:rsid w:val="2F414F6C"/>
    <w:rsid w:val="2F437197"/>
    <w:rsid w:val="2F4862FA"/>
    <w:rsid w:val="2F503401"/>
    <w:rsid w:val="2F542EF1"/>
    <w:rsid w:val="2F594063"/>
    <w:rsid w:val="2F5C7FF7"/>
    <w:rsid w:val="2F5E78CC"/>
    <w:rsid w:val="2F627A4C"/>
    <w:rsid w:val="2F6354CD"/>
    <w:rsid w:val="2F64514D"/>
    <w:rsid w:val="2F6760D2"/>
    <w:rsid w:val="2F6B3D97"/>
    <w:rsid w:val="2F7431E9"/>
    <w:rsid w:val="2F794705"/>
    <w:rsid w:val="2F79501C"/>
    <w:rsid w:val="2F7D2448"/>
    <w:rsid w:val="2F837332"/>
    <w:rsid w:val="2F94153F"/>
    <w:rsid w:val="2F952FD4"/>
    <w:rsid w:val="2F956EAA"/>
    <w:rsid w:val="2FA555EB"/>
    <w:rsid w:val="2FAA36C3"/>
    <w:rsid w:val="2FC32F68"/>
    <w:rsid w:val="2FC409EA"/>
    <w:rsid w:val="2FC811E9"/>
    <w:rsid w:val="2FCB3C7C"/>
    <w:rsid w:val="2FD0745B"/>
    <w:rsid w:val="2FD23E16"/>
    <w:rsid w:val="2FD24DB8"/>
    <w:rsid w:val="2FDF3613"/>
    <w:rsid w:val="2FE0031A"/>
    <w:rsid w:val="2FE04785"/>
    <w:rsid w:val="2FE51D9B"/>
    <w:rsid w:val="2FEA5603"/>
    <w:rsid w:val="2FEB66AB"/>
    <w:rsid w:val="2FEC4ED7"/>
    <w:rsid w:val="2FF34CA8"/>
    <w:rsid w:val="2FFA4747"/>
    <w:rsid w:val="2FFF0BCF"/>
    <w:rsid w:val="2FFF159D"/>
    <w:rsid w:val="301277B1"/>
    <w:rsid w:val="301663F8"/>
    <w:rsid w:val="30193429"/>
    <w:rsid w:val="301B756B"/>
    <w:rsid w:val="301D0BE2"/>
    <w:rsid w:val="301D32E3"/>
    <w:rsid w:val="30226805"/>
    <w:rsid w:val="3024558B"/>
    <w:rsid w:val="302604DC"/>
    <w:rsid w:val="3029612C"/>
    <w:rsid w:val="30327D25"/>
    <w:rsid w:val="30357A24"/>
    <w:rsid w:val="30474804"/>
    <w:rsid w:val="30486A45"/>
    <w:rsid w:val="30536D05"/>
    <w:rsid w:val="305A62E5"/>
    <w:rsid w:val="305D4027"/>
    <w:rsid w:val="306B2017"/>
    <w:rsid w:val="30711881"/>
    <w:rsid w:val="307153DD"/>
    <w:rsid w:val="3072568A"/>
    <w:rsid w:val="30755662"/>
    <w:rsid w:val="307940FA"/>
    <w:rsid w:val="307B625B"/>
    <w:rsid w:val="307D0225"/>
    <w:rsid w:val="307D1FD3"/>
    <w:rsid w:val="307D2FD7"/>
    <w:rsid w:val="308455A5"/>
    <w:rsid w:val="308A2D31"/>
    <w:rsid w:val="309D2676"/>
    <w:rsid w:val="30A13F14"/>
    <w:rsid w:val="30A14B55"/>
    <w:rsid w:val="30A203D8"/>
    <w:rsid w:val="30AE03DF"/>
    <w:rsid w:val="30C220DC"/>
    <w:rsid w:val="30C709FF"/>
    <w:rsid w:val="30D675AD"/>
    <w:rsid w:val="30D75B88"/>
    <w:rsid w:val="30DD2A72"/>
    <w:rsid w:val="30DE49BA"/>
    <w:rsid w:val="30E42053"/>
    <w:rsid w:val="30E763F8"/>
    <w:rsid w:val="30E82921"/>
    <w:rsid w:val="30ED4FD4"/>
    <w:rsid w:val="30F73365"/>
    <w:rsid w:val="30F85AFE"/>
    <w:rsid w:val="30FD4EC2"/>
    <w:rsid w:val="30FF6E8C"/>
    <w:rsid w:val="3103697D"/>
    <w:rsid w:val="310B3A83"/>
    <w:rsid w:val="310D6FB8"/>
    <w:rsid w:val="31124E12"/>
    <w:rsid w:val="31181CFC"/>
    <w:rsid w:val="31197F4E"/>
    <w:rsid w:val="31232B7B"/>
    <w:rsid w:val="312468F3"/>
    <w:rsid w:val="31317BDC"/>
    <w:rsid w:val="313A50D3"/>
    <w:rsid w:val="313F0ED5"/>
    <w:rsid w:val="31444EC1"/>
    <w:rsid w:val="314B32BF"/>
    <w:rsid w:val="314B3E80"/>
    <w:rsid w:val="314D409C"/>
    <w:rsid w:val="315076E8"/>
    <w:rsid w:val="31533090"/>
    <w:rsid w:val="31615451"/>
    <w:rsid w:val="31624854"/>
    <w:rsid w:val="31692558"/>
    <w:rsid w:val="316C7AA1"/>
    <w:rsid w:val="31794E91"/>
    <w:rsid w:val="31A35A6A"/>
    <w:rsid w:val="31AD0696"/>
    <w:rsid w:val="31B06E17"/>
    <w:rsid w:val="31C0661C"/>
    <w:rsid w:val="31C12394"/>
    <w:rsid w:val="31C64CB7"/>
    <w:rsid w:val="31DB5204"/>
    <w:rsid w:val="31EA18EB"/>
    <w:rsid w:val="31FF4C77"/>
    <w:rsid w:val="32002EBC"/>
    <w:rsid w:val="32067C9F"/>
    <w:rsid w:val="3207249C"/>
    <w:rsid w:val="320A6B04"/>
    <w:rsid w:val="320E382B"/>
    <w:rsid w:val="320E65BA"/>
    <w:rsid w:val="32136BCC"/>
    <w:rsid w:val="3217559C"/>
    <w:rsid w:val="322272D6"/>
    <w:rsid w:val="32364B30"/>
    <w:rsid w:val="323B26F8"/>
    <w:rsid w:val="323F2762"/>
    <w:rsid w:val="32491A0D"/>
    <w:rsid w:val="324D5E95"/>
    <w:rsid w:val="324E1E79"/>
    <w:rsid w:val="32513A83"/>
    <w:rsid w:val="32562ADC"/>
    <w:rsid w:val="32566F80"/>
    <w:rsid w:val="325B7E6C"/>
    <w:rsid w:val="325F5E35"/>
    <w:rsid w:val="32645ABA"/>
    <w:rsid w:val="3273368E"/>
    <w:rsid w:val="327B56DF"/>
    <w:rsid w:val="327B69E7"/>
    <w:rsid w:val="327F0285"/>
    <w:rsid w:val="32874D75"/>
    <w:rsid w:val="32891103"/>
    <w:rsid w:val="328A6951"/>
    <w:rsid w:val="328F68FE"/>
    <w:rsid w:val="32917FB8"/>
    <w:rsid w:val="32930B88"/>
    <w:rsid w:val="32941583"/>
    <w:rsid w:val="32987598"/>
    <w:rsid w:val="329E499A"/>
    <w:rsid w:val="329F60D6"/>
    <w:rsid w:val="32A55811"/>
    <w:rsid w:val="32A714A7"/>
    <w:rsid w:val="32AC1A0B"/>
    <w:rsid w:val="32B83797"/>
    <w:rsid w:val="32C739DA"/>
    <w:rsid w:val="32CE0B70"/>
    <w:rsid w:val="32D14858"/>
    <w:rsid w:val="32D7E4B1"/>
    <w:rsid w:val="32D95A79"/>
    <w:rsid w:val="32DC67BF"/>
    <w:rsid w:val="32E93950"/>
    <w:rsid w:val="32EE71B8"/>
    <w:rsid w:val="32F00F21"/>
    <w:rsid w:val="32F62E2B"/>
    <w:rsid w:val="32FD564D"/>
    <w:rsid w:val="330630C5"/>
    <w:rsid w:val="330C5891"/>
    <w:rsid w:val="33196863"/>
    <w:rsid w:val="331C3D26"/>
    <w:rsid w:val="332848FF"/>
    <w:rsid w:val="332D0D86"/>
    <w:rsid w:val="33332C90"/>
    <w:rsid w:val="33365E13"/>
    <w:rsid w:val="333A41AC"/>
    <w:rsid w:val="33417A27"/>
    <w:rsid w:val="334376A7"/>
    <w:rsid w:val="33484B1B"/>
    <w:rsid w:val="33492641"/>
    <w:rsid w:val="3357327E"/>
    <w:rsid w:val="335E1555"/>
    <w:rsid w:val="33604A58"/>
    <w:rsid w:val="33616C57"/>
    <w:rsid w:val="33675B0D"/>
    <w:rsid w:val="337B4EF0"/>
    <w:rsid w:val="33851415"/>
    <w:rsid w:val="3392652C"/>
    <w:rsid w:val="33983602"/>
    <w:rsid w:val="339A3939"/>
    <w:rsid w:val="339E0BDF"/>
    <w:rsid w:val="33B71CA0"/>
    <w:rsid w:val="33C30645"/>
    <w:rsid w:val="33C40DF9"/>
    <w:rsid w:val="33C61EE3"/>
    <w:rsid w:val="33C85C5B"/>
    <w:rsid w:val="33D83A69"/>
    <w:rsid w:val="33DE0FDB"/>
    <w:rsid w:val="33DE722D"/>
    <w:rsid w:val="33E16D1D"/>
    <w:rsid w:val="33F00D0E"/>
    <w:rsid w:val="33F151B2"/>
    <w:rsid w:val="33F153DA"/>
    <w:rsid w:val="33F61249"/>
    <w:rsid w:val="33FBA573"/>
    <w:rsid w:val="33FC7260"/>
    <w:rsid w:val="34006B60"/>
    <w:rsid w:val="34015A6A"/>
    <w:rsid w:val="340764EB"/>
    <w:rsid w:val="340C4B71"/>
    <w:rsid w:val="341113B0"/>
    <w:rsid w:val="34140495"/>
    <w:rsid w:val="34184207"/>
    <w:rsid w:val="341D7D55"/>
    <w:rsid w:val="34237336"/>
    <w:rsid w:val="34242218"/>
    <w:rsid w:val="34313AAC"/>
    <w:rsid w:val="34336FAF"/>
    <w:rsid w:val="34357F34"/>
    <w:rsid w:val="34394463"/>
    <w:rsid w:val="344109CC"/>
    <w:rsid w:val="34433534"/>
    <w:rsid w:val="344B0B14"/>
    <w:rsid w:val="34503A45"/>
    <w:rsid w:val="345117AD"/>
    <w:rsid w:val="3451733C"/>
    <w:rsid w:val="345B0173"/>
    <w:rsid w:val="345B087E"/>
    <w:rsid w:val="345D2848"/>
    <w:rsid w:val="345D3677"/>
    <w:rsid w:val="346256C0"/>
    <w:rsid w:val="346534AA"/>
    <w:rsid w:val="3474193F"/>
    <w:rsid w:val="347545A1"/>
    <w:rsid w:val="3477275B"/>
    <w:rsid w:val="347A51A5"/>
    <w:rsid w:val="348114DF"/>
    <w:rsid w:val="348E47AF"/>
    <w:rsid w:val="349415D2"/>
    <w:rsid w:val="34941E16"/>
    <w:rsid w:val="3496093B"/>
    <w:rsid w:val="34AEA230"/>
    <w:rsid w:val="34B34216"/>
    <w:rsid w:val="34B87A7E"/>
    <w:rsid w:val="34BE5460"/>
    <w:rsid w:val="34BF9C34"/>
    <w:rsid w:val="34C419B9"/>
    <w:rsid w:val="34C74165"/>
    <w:rsid w:val="34D039B6"/>
    <w:rsid w:val="34D545BA"/>
    <w:rsid w:val="34DA5C46"/>
    <w:rsid w:val="34DB376C"/>
    <w:rsid w:val="34DF14AF"/>
    <w:rsid w:val="34E5558C"/>
    <w:rsid w:val="34EA455F"/>
    <w:rsid w:val="34F77FF2"/>
    <w:rsid w:val="34F860CC"/>
    <w:rsid w:val="34F928F1"/>
    <w:rsid w:val="34F934F5"/>
    <w:rsid w:val="34FC47AF"/>
    <w:rsid w:val="350C7DCA"/>
    <w:rsid w:val="350D7F97"/>
    <w:rsid w:val="35135904"/>
    <w:rsid w:val="35163581"/>
    <w:rsid w:val="351B5A6B"/>
    <w:rsid w:val="351C27B0"/>
    <w:rsid w:val="351F3735"/>
    <w:rsid w:val="351F5D4F"/>
    <w:rsid w:val="35246EC1"/>
    <w:rsid w:val="352B0250"/>
    <w:rsid w:val="35314135"/>
    <w:rsid w:val="35341E00"/>
    <w:rsid w:val="35357321"/>
    <w:rsid w:val="3537465F"/>
    <w:rsid w:val="35374E47"/>
    <w:rsid w:val="353C420B"/>
    <w:rsid w:val="35414F6E"/>
    <w:rsid w:val="354C01C6"/>
    <w:rsid w:val="35565E0D"/>
    <w:rsid w:val="3559381E"/>
    <w:rsid w:val="355B40AE"/>
    <w:rsid w:val="3569702C"/>
    <w:rsid w:val="356B4AF0"/>
    <w:rsid w:val="35747D20"/>
    <w:rsid w:val="357850C8"/>
    <w:rsid w:val="357D65D2"/>
    <w:rsid w:val="358C62E7"/>
    <w:rsid w:val="35973B37"/>
    <w:rsid w:val="35B74BAD"/>
    <w:rsid w:val="35BA13B5"/>
    <w:rsid w:val="35C0308E"/>
    <w:rsid w:val="35C273A3"/>
    <w:rsid w:val="35C459EF"/>
    <w:rsid w:val="35CA5DCC"/>
    <w:rsid w:val="35D46B3A"/>
    <w:rsid w:val="35D655BE"/>
    <w:rsid w:val="35E7324A"/>
    <w:rsid w:val="35EC6F94"/>
    <w:rsid w:val="35F26FC0"/>
    <w:rsid w:val="35F9471D"/>
    <w:rsid w:val="35FC56A1"/>
    <w:rsid w:val="360219A7"/>
    <w:rsid w:val="36032EB0"/>
    <w:rsid w:val="36080591"/>
    <w:rsid w:val="3608233F"/>
    <w:rsid w:val="360B0081"/>
    <w:rsid w:val="36170625"/>
    <w:rsid w:val="36222223"/>
    <w:rsid w:val="36227D2F"/>
    <w:rsid w:val="362353CB"/>
    <w:rsid w:val="3624775F"/>
    <w:rsid w:val="362664E5"/>
    <w:rsid w:val="362A70EA"/>
    <w:rsid w:val="362F1FC2"/>
    <w:rsid w:val="363037C3"/>
    <w:rsid w:val="36341386"/>
    <w:rsid w:val="36356EAC"/>
    <w:rsid w:val="36362EFD"/>
    <w:rsid w:val="363B44C3"/>
    <w:rsid w:val="363D008E"/>
    <w:rsid w:val="363E2205"/>
    <w:rsid w:val="36414B11"/>
    <w:rsid w:val="364F7F6E"/>
    <w:rsid w:val="365732C7"/>
    <w:rsid w:val="365B0F3E"/>
    <w:rsid w:val="365B6913"/>
    <w:rsid w:val="36681030"/>
    <w:rsid w:val="366C33D7"/>
    <w:rsid w:val="366F435B"/>
    <w:rsid w:val="367791F0"/>
    <w:rsid w:val="36914A2B"/>
    <w:rsid w:val="36940F52"/>
    <w:rsid w:val="36A062A6"/>
    <w:rsid w:val="36A06A1C"/>
    <w:rsid w:val="36A43B1D"/>
    <w:rsid w:val="36A857BA"/>
    <w:rsid w:val="36B81FB7"/>
    <w:rsid w:val="36BF3D0E"/>
    <w:rsid w:val="36C066E4"/>
    <w:rsid w:val="36C143AD"/>
    <w:rsid w:val="36C21BE7"/>
    <w:rsid w:val="36C24BE4"/>
    <w:rsid w:val="36C26992"/>
    <w:rsid w:val="36CA11F2"/>
    <w:rsid w:val="36D030FB"/>
    <w:rsid w:val="36D13079"/>
    <w:rsid w:val="36D330C6"/>
    <w:rsid w:val="36D9128A"/>
    <w:rsid w:val="36DD37CC"/>
    <w:rsid w:val="36E0506A"/>
    <w:rsid w:val="36E94025"/>
    <w:rsid w:val="36EB4FAA"/>
    <w:rsid w:val="36EE3C2B"/>
    <w:rsid w:val="36F6333B"/>
    <w:rsid w:val="36F6663C"/>
    <w:rsid w:val="36F77144"/>
    <w:rsid w:val="36F90B2F"/>
    <w:rsid w:val="36FB00F6"/>
    <w:rsid w:val="36FF03C7"/>
    <w:rsid w:val="36FF3742"/>
    <w:rsid w:val="36FF6A9B"/>
    <w:rsid w:val="36FF7BE6"/>
    <w:rsid w:val="370054AD"/>
    <w:rsid w:val="3701395E"/>
    <w:rsid w:val="37021484"/>
    <w:rsid w:val="37152F66"/>
    <w:rsid w:val="371601C3"/>
    <w:rsid w:val="37180CA8"/>
    <w:rsid w:val="371D6438"/>
    <w:rsid w:val="371F4BBF"/>
    <w:rsid w:val="372B09DB"/>
    <w:rsid w:val="372F1B4E"/>
    <w:rsid w:val="37306998"/>
    <w:rsid w:val="37384EA6"/>
    <w:rsid w:val="373F65F1"/>
    <w:rsid w:val="3747333B"/>
    <w:rsid w:val="374923A6"/>
    <w:rsid w:val="37537F32"/>
    <w:rsid w:val="37599A0C"/>
    <w:rsid w:val="3764396F"/>
    <w:rsid w:val="37645C9B"/>
    <w:rsid w:val="37676AF2"/>
    <w:rsid w:val="376C4B50"/>
    <w:rsid w:val="376D2DA2"/>
    <w:rsid w:val="376D6450"/>
    <w:rsid w:val="376F3EFE"/>
    <w:rsid w:val="37701980"/>
    <w:rsid w:val="37743C09"/>
    <w:rsid w:val="3779679F"/>
    <w:rsid w:val="37842271"/>
    <w:rsid w:val="37933BAB"/>
    <w:rsid w:val="37983073"/>
    <w:rsid w:val="379E6032"/>
    <w:rsid w:val="379F6CD3"/>
    <w:rsid w:val="379FD9AA"/>
    <w:rsid w:val="37A367C3"/>
    <w:rsid w:val="37A442EA"/>
    <w:rsid w:val="37A96FC5"/>
    <w:rsid w:val="37AC3D63"/>
    <w:rsid w:val="37AE5990"/>
    <w:rsid w:val="37B00EE0"/>
    <w:rsid w:val="37BD07A9"/>
    <w:rsid w:val="37C42558"/>
    <w:rsid w:val="37C64260"/>
    <w:rsid w:val="37DA31EB"/>
    <w:rsid w:val="37DC1CD5"/>
    <w:rsid w:val="37E31CBE"/>
    <w:rsid w:val="37E82428"/>
    <w:rsid w:val="37EA2644"/>
    <w:rsid w:val="37F00FD4"/>
    <w:rsid w:val="37F3036D"/>
    <w:rsid w:val="37F5325E"/>
    <w:rsid w:val="38022573"/>
    <w:rsid w:val="380F20AB"/>
    <w:rsid w:val="38156F95"/>
    <w:rsid w:val="381B27FE"/>
    <w:rsid w:val="381F3C83"/>
    <w:rsid w:val="3821593A"/>
    <w:rsid w:val="382C33B7"/>
    <w:rsid w:val="38390ED6"/>
    <w:rsid w:val="384A4E91"/>
    <w:rsid w:val="384E7BEB"/>
    <w:rsid w:val="38591578"/>
    <w:rsid w:val="385A2C02"/>
    <w:rsid w:val="38657F1D"/>
    <w:rsid w:val="3869321C"/>
    <w:rsid w:val="38710670"/>
    <w:rsid w:val="3872263A"/>
    <w:rsid w:val="38726196"/>
    <w:rsid w:val="38741F0E"/>
    <w:rsid w:val="38765C86"/>
    <w:rsid w:val="387D663A"/>
    <w:rsid w:val="388727CC"/>
    <w:rsid w:val="388B11D3"/>
    <w:rsid w:val="388F6D48"/>
    <w:rsid w:val="38960D90"/>
    <w:rsid w:val="38966328"/>
    <w:rsid w:val="38B13611"/>
    <w:rsid w:val="38B42746"/>
    <w:rsid w:val="38B60778"/>
    <w:rsid w:val="38B86FFA"/>
    <w:rsid w:val="38C509BB"/>
    <w:rsid w:val="38CA31B0"/>
    <w:rsid w:val="38CF0F38"/>
    <w:rsid w:val="38D75A4F"/>
    <w:rsid w:val="38D949DC"/>
    <w:rsid w:val="38DD3F57"/>
    <w:rsid w:val="38DD7AB3"/>
    <w:rsid w:val="38E53686"/>
    <w:rsid w:val="38EA5B3F"/>
    <w:rsid w:val="38ED6BBF"/>
    <w:rsid w:val="38F31085"/>
    <w:rsid w:val="38F378FD"/>
    <w:rsid w:val="38F46CB5"/>
    <w:rsid w:val="38F911DD"/>
    <w:rsid w:val="38FB2132"/>
    <w:rsid w:val="38FD63A7"/>
    <w:rsid w:val="39072D82"/>
    <w:rsid w:val="391A2AB5"/>
    <w:rsid w:val="391C4D28"/>
    <w:rsid w:val="39253208"/>
    <w:rsid w:val="392635CF"/>
    <w:rsid w:val="39284554"/>
    <w:rsid w:val="39297DD7"/>
    <w:rsid w:val="392A081F"/>
    <w:rsid w:val="392F3772"/>
    <w:rsid w:val="393B7CF1"/>
    <w:rsid w:val="393C0FF6"/>
    <w:rsid w:val="393F076E"/>
    <w:rsid w:val="3941767C"/>
    <w:rsid w:val="39510569"/>
    <w:rsid w:val="3952319A"/>
    <w:rsid w:val="39555F8E"/>
    <w:rsid w:val="395A27A5"/>
    <w:rsid w:val="39665CFB"/>
    <w:rsid w:val="396A04DF"/>
    <w:rsid w:val="396C0E37"/>
    <w:rsid w:val="39704948"/>
    <w:rsid w:val="398D3FDB"/>
    <w:rsid w:val="398E1CFA"/>
    <w:rsid w:val="398F13B6"/>
    <w:rsid w:val="39900A80"/>
    <w:rsid w:val="399B34CA"/>
    <w:rsid w:val="399D4513"/>
    <w:rsid w:val="399E1F94"/>
    <w:rsid w:val="39A17917"/>
    <w:rsid w:val="39A673A1"/>
    <w:rsid w:val="39A86127"/>
    <w:rsid w:val="39BD0B31"/>
    <w:rsid w:val="39C037CE"/>
    <w:rsid w:val="39C62C3D"/>
    <w:rsid w:val="39C73159"/>
    <w:rsid w:val="39C9085A"/>
    <w:rsid w:val="39C940DD"/>
    <w:rsid w:val="39D01131"/>
    <w:rsid w:val="39D65971"/>
    <w:rsid w:val="39D720A1"/>
    <w:rsid w:val="39D92970"/>
    <w:rsid w:val="39DA3296"/>
    <w:rsid w:val="39DC7D6B"/>
    <w:rsid w:val="39DF07FF"/>
    <w:rsid w:val="39E34C87"/>
    <w:rsid w:val="39E66E3B"/>
    <w:rsid w:val="39E75D70"/>
    <w:rsid w:val="39EB6200"/>
    <w:rsid w:val="39F44F22"/>
    <w:rsid w:val="39F96C51"/>
    <w:rsid w:val="39FC1D20"/>
    <w:rsid w:val="39FD8B63"/>
    <w:rsid w:val="3A0045B7"/>
    <w:rsid w:val="3A0D6176"/>
    <w:rsid w:val="3A192D6D"/>
    <w:rsid w:val="3A2F78EF"/>
    <w:rsid w:val="3A305703"/>
    <w:rsid w:val="3A3B1097"/>
    <w:rsid w:val="3A3F02FA"/>
    <w:rsid w:val="3A3F7562"/>
    <w:rsid w:val="3A4849AC"/>
    <w:rsid w:val="3A50783A"/>
    <w:rsid w:val="3A546240"/>
    <w:rsid w:val="3A606BEE"/>
    <w:rsid w:val="3A630A59"/>
    <w:rsid w:val="3A6464DA"/>
    <w:rsid w:val="3A6A7A6C"/>
    <w:rsid w:val="3A6D130B"/>
    <w:rsid w:val="3A816D0A"/>
    <w:rsid w:val="3A8A671A"/>
    <w:rsid w:val="3A960861"/>
    <w:rsid w:val="3A9643BE"/>
    <w:rsid w:val="3AA30888"/>
    <w:rsid w:val="3AA4042D"/>
    <w:rsid w:val="3AB94550"/>
    <w:rsid w:val="3ABB2076"/>
    <w:rsid w:val="3AC23405"/>
    <w:rsid w:val="3ACC6031"/>
    <w:rsid w:val="3ACC7DDF"/>
    <w:rsid w:val="3AD969A0"/>
    <w:rsid w:val="3AE113B1"/>
    <w:rsid w:val="3AE73230"/>
    <w:rsid w:val="3B027CA5"/>
    <w:rsid w:val="3B0E664A"/>
    <w:rsid w:val="3B0F4170"/>
    <w:rsid w:val="3B1254FB"/>
    <w:rsid w:val="3B163750"/>
    <w:rsid w:val="3B1E76C7"/>
    <w:rsid w:val="3B2319C9"/>
    <w:rsid w:val="3B246918"/>
    <w:rsid w:val="3B2714BA"/>
    <w:rsid w:val="3B292DA0"/>
    <w:rsid w:val="3B31058A"/>
    <w:rsid w:val="3B3F16C0"/>
    <w:rsid w:val="3B3F4A55"/>
    <w:rsid w:val="3B414F5D"/>
    <w:rsid w:val="3B4160B1"/>
    <w:rsid w:val="3B556027"/>
    <w:rsid w:val="3B5F4174"/>
    <w:rsid w:val="3B651900"/>
    <w:rsid w:val="3B691AD2"/>
    <w:rsid w:val="3B692505"/>
    <w:rsid w:val="3B716BD9"/>
    <w:rsid w:val="3B783AC3"/>
    <w:rsid w:val="3B7F4E52"/>
    <w:rsid w:val="3B854432"/>
    <w:rsid w:val="3B89083B"/>
    <w:rsid w:val="3B8B7644"/>
    <w:rsid w:val="3B8D6AEC"/>
    <w:rsid w:val="3B8F4148"/>
    <w:rsid w:val="3B954675"/>
    <w:rsid w:val="3B980E56"/>
    <w:rsid w:val="3B9B3B03"/>
    <w:rsid w:val="3B9C7128"/>
    <w:rsid w:val="3B9D177C"/>
    <w:rsid w:val="3BB13F7E"/>
    <w:rsid w:val="3BBD5812"/>
    <w:rsid w:val="3BBF16F2"/>
    <w:rsid w:val="3BC44F5A"/>
    <w:rsid w:val="3BC5739B"/>
    <w:rsid w:val="3BCB12A4"/>
    <w:rsid w:val="3BD41BB4"/>
    <w:rsid w:val="3BDA477E"/>
    <w:rsid w:val="3BDA7A57"/>
    <w:rsid w:val="3BDD7DCA"/>
    <w:rsid w:val="3BDF1D94"/>
    <w:rsid w:val="3BE22435"/>
    <w:rsid w:val="3BF13876"/>
    <w:rsid w:val="3BF27A61"/>
    <w:rsid w:val="3BF7967A"/>
    <w:rsid w:val="3BFA2ADD"/>
    <w:rsid w:val="3BFC2946"/>
    <w:rsid w:val="3BFE2889"/>
    <w:rsid w:val="3BFFC69F"/>
    <w:rsid w:val="3C086B8B"/>
    <w:rsid w:val="3C1852A6"/>
    <w:rsid w:val="3C2974B3"/>
    <w:rsid w:val="3C2D2B00"/>
    <w:rsid w:val="3C2D5E53"/>
    <w:rsid w:val="3C320116"/>
    <w:rsid w:val="3C3245BA"/>
    <w:rsid w:val="3C39515C"/>
    <w:rsid w:val="3C3A5833"/>
    <w:rsid w:val="3C4147FD"/>
    <w:rsid w:val="3C475F8B"/>
    <w:rsid w:val="3C4B742A"/>
    <w:rsid w:val="3C575ACA"/>
    <w:rsid w:val="3C577B7C"/>
    <w:rsid w:val="3C5C1637"/>
    <w:rsid w:val="3C5F6A31"/>
    <w:rsid w:val="3C6472A5"/>
    <w:rsid w:val="3C6978B0"/>
    <w:rsid w:val="3C6B6C2F"/>
    <w:rsid w:val="3C6C1F0C"/>
    <w:rsid w:val="3C7626F9"/>
    <w:rsid w:val="3C770338"/>
    <w:rsid w:val="3C790143"/>
    <w:rsid w:val="3C8446EA"/>
    <w:rsid w:val="3C862210"/>
    <w:rsid w:val="3C8B38E1"/>
    <w:rsid w:val="3C8B5A78"/>
    <w:rsid w:val="3C8F4CDD"/>
    <w:rsid w:val="3C941F0E"/>
    <w:rsid w:val="3C9E57AB"/>
    <w:rsid w:val="3C9E707E"/>
    <w:rsid w:val="3CA134EE"/>
    <w:rsid w:val="3CB72D11"/>
    <w:rsid w:val="3CBA38B2"/>
    <w:rsid w:val="3CBD71B8"/>
    <w:rsid w:val="3CBE19AA"/>
    <w:rsid w:val="3CC64D02"/>
    <w:rsid w:val="3CD411CD"/>
    <w:rsid w:val="3CDD0F98"/>
    <w:rsid w:val="3CE422AF"/>
    <w:rsid w:val="3CE61A49"/>
    <w:rsid w:val="3CEA16FC"/>
    <w:rsid w:val="3CEF24AB"/>
    <w:rsid w:val="3CF67395"/>
    <w:rsid w:val="3CFD24BF"/>
    <w:rsid w:val="3CFD4BC8"/>
    <w:rsid w:val="3D037D04"/>
    <w:rsid w:val="3D0C0967"/>
    <w:rsid w:val="3D0D2931"/>
    <w:rsid w:val="3D1D5019"/>
    <w:rsid w:val="3D286FE2"/>
    <w:rsid w:val="3D2A703F"/>
    <w:rsid w:val="3D2F21F1"/>
    <w:rsid w:val="3D3D14A5"/>
    <w:rsid w:val="3D477BF1"/>
    <w:rsid w:val="3D485319"/>
    <w:rsid w:val="3D4F4CF8"/>
    <w:rsid w:val="3D4F6312"/>
    <w:rsid w:val="3D566086"/>
    <w:rsid w:val="3D5B369C"/>
    <w:rsid w:val="3D6C09D0"/>
    <w:rsid w:val="3D6C3AFB"/>
    <w:rsid w:val="3D737524"/>
    <w:rsid w:val="3D7378FA"/>
    <w:rsid w:val="3D840617"/>
    <w:rsid w:val="3D840E45"/>
    <w:rsid w:val="3D883B84"/>
    <w:rsid w:val="3D957616"/>
    <w:rsid w:val="3D98059B"/>
    <w:rsid w:val="3D98669F"/>
    <w:rsid w:val="3D9F17DB"/>
    <w:rsid w:val="3DA51E2F"/>
    <w:rsid w:val="3DA622AE"/>
    <w:rsid w:val="3DAF2263"/>
    <w:rsid w:val="3DB02952"/>
    <w:rsid w:val="3DB633CE"/>
    <w:rsid w:val="3DB86D41"/>
    <w:rsid w:val="3DC014B6"/>
    <w:rsid w:val="3DC425D7"/>
    <w:rsid w:val="3DC70D32"/>
    <w:rsid w:val="3DCB0822"/>
    <w:rsid w:val="3DCE20C0"/>
    <w:rsid w:val="3DCE51F2"/>
    <w:rsid w:val="3DDC2A2F"/>
    <w:rsid w:val="3DEB4A20"/>
    <w:rsid w:val="3DFF04CC"/>
    <w:rsid w:val="3DFF4F62"/>
    <w:rsid w:val="3E0478E2"/>
    <w:rsid w:val="3E06185A"/>
    <w:rsid w:val="3E0A75D5"/>
    <w:rsid w:val="3E15478E"/>
    <w:rsid w:val="3E1C107E"/>
    <w:rsid w:val="3E1D6BA4"/>
    <w:rsid w:val="3E263CAA"/>
    <w:rsid w:val="3E2D6A23"/>
    <w:rsid w:val="3E332998"/>
    <w:rsid w:val="3E457E51"/>
    <w:rsid w:val="3E4A3B11"/>
    <w:rsid w:val="3E4E3201"/>
    <w:rsid w:val="3E6212E9"/>
    <w:rsid w:val="3E691DE9"/>
    <w:rsid w:val="3E6B5444"/>
    <w:rsid w:val="3E75078E"/>
    <w:rsid w:val="3E7A698F"/>
    <w:rsid w:val="3E7F0656"/>
    <w:rsid w:val="3E8B0E28"/>
    <w:rsid w:val="3E8F69F4"/>
    <w:rsid w:val="3E9052B0"/>
    <w:rsid w:val="3E950E30"/>
    <w:rsid w:val="3E9C72F7"/>
    <w:rsid w:val="3EA13331"/>
    <w:rsid w:val="3EA346E6"/>
    <w:rsid w:val="3EA62CD7"/>
    <w:rsid w:val="3EA96606"/>
    <w:rsid w:val="3EB23790"/>
    <w:rsid w:val="3EB3456B"/>
    <w:rsid w:val="3EB47508"/>
    <w:rsid w:val="3EB92D70"/>
    <w:rsid w:val="3EBC460F"/>
    <w:rsid w:val="3EC07104"/>
    <w:rsid w:val="3EC47D75"/>
    <w:rsid w:val="3EC534C3"/>
    <w:rsid w:val="3ECB7706"/>
    <w:rsid w:val="3ECC5115"/>
    <w:rsid w:val="3ED11935"/>
    <w:rsid w:val="3EDE27D7"/>
    <w:rsid w:val="3EDE4585"/>
    <w:rsid w:val="3EE15E23"/>
    <w:rsid w:val="3EE250BA"/>
    <w:rsid w:val="3EE32B3C"/>
    <w:rsid w:val="3EE52AB3"/>
    <w:rsid w:val="3EE71542"/>
    <w:rsid w:val="3EF12C61"/>
    <w:rsid w:val="3EFA4543"/>
    <w:rsid w:val="3EFE6044"/>
    <w:rsid w:val="3EFF6BE9"/>
    <w:rsid w:val="3F0142EA"/>
    <w:rsid w:val="3F026891"/>
    <w:rsid w:val="3F0355EF"/>
    <w:rsid w:val="3F0664ED"/>
    <w:rsid w:val="3F081602"/>
    <w:rsid w:val="3F0C0DBA"/>
    <w:rsid w:val="3F0D24C1"/>
    <w:rsid w:val="3F112569"/>
    <w:rsid w:val="3F241AD7"/>
    <w:rsid w:val="3F2435A5"/>
    <w:rsid w:val="3F2C09B1"/>
    <w:rsid w:val="3F2D6433"/>
    <w:rsid w:val="3F3146B5"/>
    <w:rsid w:val="3F3F7C11"/>
    <w:rsid w:val="3F4B1266"/>
    <w:rsid w:val="3F4E170B"/>
    <w:rsid w:val="3F5617F6"/>
    <w:rsid w:val="3F595FFD"/>
    <w:rsid w:val="3F5B7324"/>
    <w:rsid w:val="3F602105"/>
    <w:rsid w:val="3F634A8A"/>
    <w:rsid w:val="3F661A90"/>
    <w:rsid w:val="3F746C97"/>
    <w:rsid w:val="3F753F51"/>
    <w:rsid w:val="3F76496D"/>
    <w:rsid w:val="3F7722E4"/>
    <w:rsid w:val="3F7E18C4"/>
    <w:rsid w:val="3F7EA108"/>
    <w:rsid w:val="3F7F2527"/>
    <w:rsid w:val="3F8C2233"/>
    <w:rsid w:val="3F8E1B07"/>
    <w:rsid w:val="3F980BD8"/>
    <w:rsid w:val="3F9B4224"/>
    <w:rsid w:val="3F9E326F"/>
    <w:rsid w:val="3F9F3F9D"/>
    <w:rsid w:val="3FA70E1B"/>
    <w:rsid w:val="3FAA4B03"/>
    <w:rsid w:val="3FAB2D08"/>
    <w:rsid w:val="3FAC6431"/>
    <w:rsid w:val="3FAE21A9"/>
    <w:rsid w:val="3FB10C0A"/>
    <w:rsid w:val="3FB5178A"/>
    <w:rsid w:val="3FB70595"/>
    <w:rsid w:val="3FB9189A"/>
    <w:rsid w:val="3FB926FD"/>
    <w:rsid w:val="3FBA6DA0"/>
    <w:rsid w:val="3FBA731C"/>
    <w:rsid w:val="3FC03423"/>
    <w:rsid w:val="3FC1012F"/>
    <w:rsid w:val="3FC13358"/>
    <w:rsid w:val="3FC419CD"/>
    <w:rsid w:val="3FC6532D"/>
    <w:rsid w:val="3FCD2817"/>
    <w:rsid w:val="3FCFB4BA"/>
    <w:rsid w:val="3FD1113F"/>
    <w:rsid w:val="3FD16950"/>
    <w:rsid w:val="3FDA799C"/>
    <w:rsid w:val="3FE47F8D"/>
    <w:rsid w:val="3FE59B75"/>
    <w:rsid w:val="3FE931E1"/>
    <w:rsid w:val="3FEB51AC"/>
    <w:rsid w:val="3FED6871"/>
    <w:rsid w:val="3FEE4885"/>
    <w:rsid w:val="3FF37BBC"/>
    <w:rsid w:val="3FF573DE"/>
    <w:rsid w:val="3FF760EB"/>
    <w:rsid w:val="3FF7731F"/>
    <w:rsid w:val="3FFB2F15"/>
    <w:rsid w:val="3FFB4B8C"/>
    <w:rsid w:val="3FFCA68C"/>
    <w:rsid w:val="3FFFFDBB"/>
    <w:rsid w:val="40022383"/>
    <w:rsid w:val="40063D93"/>
    <w:rsid w:val="4009291E"/>
    <w:rsid w:val="40093884"/>
    <w:rsid w:val="400D1324"/>
    <w:rsid w:val="400E0926"/>
    <w:rsid w:val="400E4827"/>
    <w:rsid w:val="400F22A9"/>
    <w:rsid w:val="40104C12"/>
    <w:rsid w:val="401A339B"/>
    <w:rsid w:val="401C5365"/>
    <w:rsid w:val="4026444D"/>
    <w:rsid w:val="402A5051"/>
    <w:rsid w:val="402F14D9"/>
    <w:rsid w:val="40361D15"/>
    <w:rsid w:val="403768E5"/>
    <w:rsid w:val="403D52DB"/>
    <w:rsid w:val="40416B7A"/>
    <w:rsid w:val="40437D31"/>
    <w:rsid w:val="40464190"/>
    <w:rsid w:val="40490124"/>
    <w:rsid w:val="404B4760"/>
    <w:rsid w:val="405368AD"/>
    <w:rsid w:val="405C1C05"/>
    <w:rsid w:val="405E2028"/>
    <w:rsid w:val="4065146E"/>
    <w:rsid w:val="406541BE"/>
    <w:rsid w:val="40692574"/>
    <w:rsid w:val="40757A4F"/>
    <w:rsid w:val="40784565"/>
    <w:rsid w:val="407A02DD"/>
    <w:rsid w:val="407E4ADB"/>
    <w:rsid w:val="40834CE1"/>
    <w:rsid w:val="408D1DBF"/>
    <w:rsid w:val="40946C7F"/>
    <w:rsid w:val="409842FD"/>
    <w:rsid w:val="4099698A"/>
    <w:rsid w:val="409B6AB4"/>
    <w:rsid w:val="409D5D7A"/>
    <w:rsid w:val="409F7D44"/>
    <w:rsid w:val="40A236A9"/>
    <w:rsid w:val="40A538A2"/>
    <w:rsid w:val="40AB7342"/>
    <w:rsid w:val="40BC5C45"/>
    <w:rsid w:val="40BE466E"/>
    <w:rsid w:val="40BE641C"/>
    <w:rsid w:val="40C50F41"/>
    <w:rsid w:val="40CA3013"/>
    <w:rsid w:val="40D21EC7"/>
    <w:rsid w:val="40E32281"/>
    <w:rsid w:val="40E35E83"/>
    <w:rsid w:val="40EC5FBF"/>
    <w:rsid w:val="40EF2A79"/>
    <w:rsid w:val="40F956A6"/>
    <w:rsid w:val="410150B4"/>
    <w:rsid w:val="41032081"/>
    <w:rsid w:val="411249BA"/>
    <w:rsid w:val="41137DFA"/>
    <w:rsid w:val="41157505"/>
    <w:rsid w:val="411C75E7"/>
    <w:rsid w:val="411F4664"/>
    <w:rsid w:val="4123306B"/>
    <w:rsid w:val="41282D76"/>
    <w:rsid w:val="412A5860"/>
    <w:rsid w:val="412E13D5"/>
    <w:rsid w:val="41367B0D"/>
    <w:rsid w:val="4138778D"/>
    <w:rsid w:val="414032D5"/>
    <w:rsid w:val="41406E31"/>
    <w:rsid w:val="414A67AD"/>
    <w:rsid w:val="415648A7"/>
    <w:rsid w:val="41635215"/>
    <w:rsid w:val="41651556"/>
    <w:rsid w:val="417359C2"/>
    <w:rsid w:val="41787E9D"/>
    <w:rsid w:val="417B6F7C"/>
    <w:rsid w:val="417D2679"/>
    <w:rsid w:val="417F5983"/>
    <w:rsid w:val="41850CE8"/>
    <w:rsid w:val="41870D93"/>
    <w:rsid w:val="418C651A"/>
    <w:rsid w:val="419D0727"/>
    <w:rsid w:val="41A074D3"/>
    <w:rsid w:val="41A41AB6"/>
    <w:rsid w:val="41A67DC1"/>
    <w:rsid w:val="41A94DA6"/>
    <w:rsid w:val="41AE0A50"/>
    <w:rsid w:val="41B45A71"/>
    <w:rsid w:val="41B86DE1"/>
    <w:rsid w:val="41BB6E00"/>
    <w:rsid w:val="41C07F72"/>
    <w:rsid w:val="41D02A92"/>
    <w:rsid w:val="41DB44AF"/>
    <w:rsid w:val="41DD6D76"/>
    <w:rsid w:val="41E9003A"/>
    <w:rsid w:val="41EA5032"/>
    <w:rsid w:val="41EE3A38"/>
    <w:rsid w:val="41F145CF"/>
    <w:rsid w:val="41FB36A0"/>
    <w:rsid w:val="42025F5C"/>
    <w:rsid w:val="420970D6"/>
    <w:rsid w:val="42117470"/>
    <w:rsid w:val="421264C2"/>
    <w:rsid w:val="42164036"/>
    <w:rsid w:val="42187DAE"/>
    <w:rsid w:val="421A7D7F"/>
    <w:rsid w:val="421D7172"/>
    <w:rsid w:val="421E2009"/>
    <w:rsid w:val="42251994"/>
    <w:rsid w:val="42334BE8"/>
    <w:rsid w:val="423746D8"/>
    <w:rsid w:val="42411196"/>
    <w:rsid w:val="42430FDF"/>
    <w:rsid w:val="42446DF5"/>
    <w:rsid w:val="4246491B"/>
    <w:rsid w:val="42470693"/>
    <w:rsid w:val="424B3DD2"/>
    <w:rsid w:val="424C5CAA"/>
    <w:rsid w:val="42507548"/>
    <w:rsid w:val="42534C0B"/>
    <w:rsid w:val="425424E3"/>
    <w:rsid w:val="425F25BC"/>
    <w:rsid w:val="42772697"/>
    <w:rsid w:val="427B20EB"/>
    <w:rsid w:val="427F607F"/>
    <w:rsid w:val="4285742F"/>
    <w:rsid w:val="42890ABC"/>
    <w:rsid w:val="42952A23"/>
    <w:rsid w:val="42957651"/>
    <w:rsid w:val="42980EEF"/>
    <w:rsid w:val="42A41642"/>
    <w:rsid w:val="42AE0712"/>
    <w:rsid w:val="42AE426E"/>
    <w:rsid w:val="42B31885"/>
    <w:rsid w:val="42BC2E2F"/>
    <w:rsid w:val="42BC318C"/>
    <w:rsid w:val="42BE088D"/>
    <w:rsid w:val="42C4601A"/>
    <w:rsid w:val="42D075D2"/>
    <w:rsid w:val="42D27F5D"/>
    <w:rsid w:val="42DB1202"/>
    <w:rsid w:val="42E5501C"/>
    <w:rsid w:val="42E934F8"/>
    <w:rsid w:val="42EF3F47"/>
    <w:rsid w:val="42F24F43"/>
    <w:rsid w:val="42F44377"/>
    <w:rsid w:val="42FF2D1C"/>
    <w:rsid w:val="43065E58"/>
    <w:rsid w:val="430976F7"/>
    <w:rsid w:val="431A7B56"/>
    <w:rsid w:val="432D21C6"/>
    <w:rsid w:val="43302ED5"/>
    <w:rsid w:val="43326C4D"/>
    <w:rsid w:val="433F0E43"/>
    <w:rsid w:val="433F5BE0"/>
    <w:rsid w:val="43484F6E"/>
    <w:rsid w:val="434A3CF5"/>
    <w:rsid w:val="434D6E78"/>
    <w:rsid w:val="43554284"/>
    <w:rsid w:val="43605E98"/>
    <w:rsid w:val="4361391A"/>
    <w:rsid w:val="436212F6"/>
    <w:rsid w:val="43650DD1"/>
    <w:rsid w:val="43672D9B"/>
    <w:rsid w:val="436A4639"/>
    <w:rsid w:val="436C6603"/>
    <w:rsid w:val="436F1C50"/>
    <w:rsid w:val="43814AFD"/>
    <w:rsid w:val="438276D2"/>
    <w:rsid w:val="43862855"/>
    <w:rsid w:val="438A6CDC"/>
    <w:rsid w:val="438B1D22"/>
    <w:rsid w:val="438C0A54"/>
    <w:rsid w:val="438D657A"/>
    <w:rsid w:val="43A062AD"/>
    <w:rsid w:val="43A23152"/>
    <w:rsid w:val="43A538C3"/>
    <w:rsid w:val="43AA2C88"/>
    <w:rsid w:val="43AC0516"/>
    <w:rsid w:val="43B41D58"/>
    <w:rsid w:val="43B458B4"/>
    <w:rsid w:val="43B60E25"/>
    <w:rsid w:val="43B6162D"/>
    <w:rsid w:val="43BE15D6"/>
    <w:rsid w:val="43CD6487"/>
    <w:rsid w:val="43D146B8"/>
    <w:rsid w:val="43D55E57"/>
    <w:rsid w:val="43DC49E4"/>
    <w:rsid w:val="43EC32A0"/>
    <w:rsid w:val="43F5418D"/>
    <w:rsid w:val="43F5638C"/>
    <w:rsid w:val="43F839F3"/>
    <w:rsid w:val="43FE4D82"/>
    <w:rsid w:val="44024872"/>
    <w:rsid w:val="440700DA"/>
    <w:rsid w:val="440C3DB3"/>
    <w:rsid w:val="440E1469"/>
    <w:rsid w:val="441A52C7"/>
    <w:rsid w:val="442A5561"/>
    <w:rsid w:val="442C0C88"/>
    <w:rsid w:val="44307631"/>
    <w:rsid w:val="443239D6"/>
    <w:rsid w:val="443261F1"/>
    <w:rsid w:val="4439400C"/>
    <w:rsid w:val="443C4228"/>
    <w:rsid w:val="44501024"/>
    <w:rsid w:val="445D7CFA"/>
    <w:rsid w:val="44692B43"/>
    <w:rsid w:val="446C184E"/>
    <w:rsid w:val="44747449"/>
    <w:rsid w:val="447B63D2"/>
    <w:rsid w:val="44901E7E"/>
    <w:rsid w:val="44937BC0"/>
    <w:rsid w:val="449851D6"/>
    <w:rsid w:val="449A1098"/>
    <w:rsid w:val="44A2690B"/>
    <w:rsid w:val="44A6072E"/>
    <w:rsid w:val="44A92DA6"/>
    <w:rsid w:val="44A973E3"/>
    <w:rsid w:val="44B55DB2"/>
    <w:rsid w:val="44BF6C07"/>
    <w:rsid w:val="44C06D59"/>
    <w:rsid w:val="44C84166"/>
    <w:rsid w:val="44D82202"/>
    <w:rsid w:val="44D91E82"/>
    <w:rsid w:val="44DC1567"/>
    <w:rsid w:val="44E24D0F"/>
    <w:rsid w:val="44E26451"/>
    <w:rsid w:val="44E73A68"/>
    <w:rsid w:val="44EB7B9D"/>
    <w:rsid w:val="44ED6924"/>
    <w:rsid w:val="44F55F2E"/>
    <w:rsid w:val="44FA7920"/>
    <w:rsid w:val="45014B29"/>
    <w:rsid w:val="450D30D4"/>
    <w:rsid w:val="450E7246"/>
    <w:rsid w:val="450F36EA"/>
    <w:rsid w:val="4519207C"/>
    <w:rsid w:val="451C590A"/>
    <w:rsid w:val="451E0411"/>
    <w:rsid w:val="451F4B74"/>
    <w:rsid w:val="452A0524"/>
    <w:rsid w:val="452C1C8C"/>
    <w:rsid w:val="452F5B3A"/>
    <w:rsid w:val="45303661"/>
    <w:rsid w:val="453372D1"/>
    <w:rsid w:val="45360DE1"/>
    <w:rsid w:val="453A31A0"/>
    <w:rsid w:val="4542602E"/>
    <w:rsid w:val="454702B7"/>
    <w:rsid w:val="454A2974"/>
    <w:rsid w:val="4557299B"/>
    <w:rsid w:val="455E01CE"/>
    <w:rsid w:val="45620AE1"/>
    <w:rsid w:val="456357E4"/>
    <w:rsid w:val="45682DFA"/>
    <w:rsid w:val="45726DF1"/>
    <w:rsid w:val="457F1EF2"/>
    <w:rsid w:val="458A4B1F"/>
    <w:rsid w:val="459019B0"/>
    <w:rsid w:val="45917432"/>
    <w:rsid w:val="45953543"/>
    <w:rsid w:val="45975C56"/>
    <w:rsid w:val="459A638D"/>
    <w:rsid w:val="45A176CC"/>
    <w:rsid w:val="45A73923"/>
    <w:rsid w:val="45AA51C1"/>
    <w:rsid w:val="45AD2F03"/>
    <w:rsid w:val="45B147A1"/>
    <w:rsid w:val="45B3662D"/>
    <w:rsid w:val="45B5636D"/>
    <w:rsid w:val="45B914F0"/>
    <w:rsid w:val="45BB117C"/>
    <w:rsid w:val="45D24718"/>
    <w:rsid w:val="45D64208"/>
    <w:rsid w:val="45DC07AB"/>
    <w:rsid w:val="45E00BE3"/>
    <w:rsid w:val="45E2495B"/>
    <w:rsid w:val="45EE1552"/>
    <w:rsid w:val="45F33C53"/>
    <w:rsid w:val="45F4468E"/>
    <w:rsid w:val="45FC4BF9"/>
    <w:rsid w:val="45FE0E9C"/>
    <w:rsid w:val="4604196F"/>
    <w:rsid w:val="460A72F0"/>
    <w:rsid w:val="460C5E7C"/>
    <w:rsid w:val="46105782"/>
    <w:rsid w:val="46113492"/>
    <w:rsid w:val="46132D66"/>
    <w:rsid w:val="461F5228"/>
    <w:rsid w:val="461F7F9A"/>
    <w:rsid w:val="46205A1C"/>
    <w:rsid w:val="462A0F49"/>
    <w:rsid w:val="462F1B6A"/>
    <w:rsid w:val="46301EB1"/>
    <w:rsid w:val="46367777"/>
    <w:rsid w:val="464078D3"/>
    <w:rsid w:val="464801B8"/>
    <w:rsid w:val="465D1FFE"/>
    <w:rsid w:val="466801ED"/>
    <w:rsid w:val="467158F2"/>
    <w:rsid w:val="46737A92"/>
    <w:rsid w:val="4674545C"/>
    <w:rsid w:val="46780629"/>
    <w:rsid w:val="46783EAC"/>
    <w:rsid w:val="467852BF"/>
    <w:rsid w:val="467A2DE5"/>
    <w:rsid w:val="468034B7"/>
    <w:rsid w:val="468247BC"/>
    <w:rsid w:val="468A6DA0"/>
    <w:rsid w:val="468E6891"/>
    <w:rsid w:val="46971BE9"/>
    <w:rsid w:val="46A55C75"/>
    <w:rsid w:val="46A61E2C"/>
    <w:rsid w:val="46B3080E"/>
    <w:rsid w:val="46B8573B"/>
    <w:rsid w:val="46C41FCD"/>
    <w:rsid w:val="46C95B1B"/>
    <w:rsid w:val="46CE6E39"/>
    <w:rsid w:val="46DB614F"/>
    <w:rsid w:val="46E63189"/>
    <w:rsid w:val="46E82445"/>
    <w:rsid w:val="46EE732F"/>
    <w:rsid w:val="46F102F3"/>
    <w:rsid w:val="46F459F4"/>
    <w:rsid w:val="46F87C7E"/>
    <w:rsid w:val="46FC6684"/>
    <w:rsid w:val="470923BB"/>
    <w:rsid w:val="470B3360"/>
    <w:rsid w:val="4715552F"/>
    <w:rsid w:val="471825FE"/>
    <w:rsid w:val="471C3E9C"/>
    <w:rsid w:val="471C7CE4"/>
    <w:rsid w:val="47305B9A"/>
    <w:rsid w:val="47376F28"/>
    <w:rsid w:val="47387782"/>
    <w:rsid w:val="473E2065"/>
    <w:rsid w:val="47453D98"/>
    <w:rsid w:val="474653BD"/>
    <w:rsid w:val="474F144D"/>
    <w:rsid w:val="47521367"/>
    <w:rsid w:val="47546D12"/>
    <w:rsid w:val="47577675"/>
    <w:rsid w:val="475909CE"/>
    <w:rsid w:val="47602B25"/>
    <w:rsid w:val="476786E9"/>
    <w:rsid w:val="476870E2"/>
    <w:rsid w:val="476B6BD2"/>
    <w:rsid w:val="4770243A"/>
    <w:rsid w:val="477A6F52"/>
    <w:rsid w:val="47827BE2"/>
    <w:rsid w:val="47833F1C"/>
    <w:rsid w:val="478D4D9A"/>
    <w:rsid w:val="479003E6"/>
    <w:rsid w:val="4791488A"/>
    <w:rsid w:val="47916B77"/>
    <w:rsid w:val="4799729B"/>
    <w:rsid w:val="479A3013"/>
    <w:rsid w:val="479C078C"/>
    <w:rsid w:val="479DBD1F"/>
    <w:rsid w:val="479E0D55"/>
    <w:rsid w:val="479E3C8F"/>
    <w:rsid w:val="47AD2C24"/>
    <w:rsid w:val="47AD64A7"/>
    <w:rsid w:val="47B75973"/>
    <w:rsid w:val="47BB57BD"/>
    <w:rsid w:val="47C22C96"/>
    <w:rsid w:val="47C46FA4"/>
    <w:rsid w:val="47C6205A"/>
    <w:rsid w:val="47CB7671"/>
    <w:rsid w:val="47D814BE"/>
    <w:rsid w:val="47DC187E"/>
    <w:rsid w:val="47DE7B5D"/>
    <w:rsid w:val="47DF52C2"/>
    <w:rsid w:val="47E66258"/>
    <w:rsid w:val="47E726FC"/>
    <w:rsid w:val="47EE3067"/>
    <w:rsid w:val="47F40E1A"/>
    <w:rsid w:val="47F86962"/>
    <w:rsid w:val="47FE17F4"/>
    <w:rsid w:val="480F7446"/>
    <w:rsid w:val="48112949"/>
    <w:rsid w:val="481132D5"/>
    <w:rsid w:val="48185B57"/>
    <w:rsid w:val="481935D8"/>
    <w:rsid w:val="482254E2"/>
    <w:rsid w:val="482D56C4"/>
    <w:rsid w:val="483B158F"/>
    <w:rsid w:val="484A762B"/>
    <w:rsid w:val="48515DC8"/>
    <w:rsid w:val="48516FB5"/>
    <w:rsid w:val="48537D92"/>
    <w:rsid w:val="48594C7C"/>
    <w:rsid w:val="48715FBB"/>
    <w:rsid w:val="488C32A4"/>
    <w:rsid w:val="488E3597"/>
    <w:rsid w:val="48945463"/>
    <w:rsid w:val="489932CB"/>
    <w:rsid w:val="48994F34"/>
    <w:rsid w:val="489D5DB0"/>
    <w:rsid w:val="48A203D1"/>
    <w:rsid w:val="48A30D75"/>
    <w:rsid w:val="48C22822"/>
    <w:rsid w:val="48C4659A"/>
    <w:rsid w:val="48C514F3"/>
    <w:rsid w:val="48C60564"/>
    <w:rsid w:val="48C742DC"/>
    <w:rsid w:val="48C84676"/>
    <w:rsid w:val="48D367DD"/>
    <w:rsid w:val="48D6451F"/>
    <w:rsid w:val="48DA11AE"/>
    <w:rsid w:val="48E924A4"/>
    <w:rsid w:val="48EB6CD4"/>
    <w:rsid w:val="48F31612"/>
    <w:rsid w:val="48F331AB"/>
    <w:rsid w:val="48F350D1"/>
    <w:rsid w:val="48F74BC1"/>
    <w:rsid w:val="48FA1700"/>
    <w:rsid w:val="48FC21D7"/>
    <w:rsid w:val="48FD7FF1"/>
    <w:rsid w:val="48FF5824"/>
    <w:rsid w:val="490746D8"/>
    <w:rsid w:val="49131272"/>
    <w:rsid w:val="4913307D"/>
    <w:rsid w:val="491D5404"/>
    <w:rsid w:val="49202B06"/>
    <w:rsid w:val="49296EDF"/>
    <w:rsid w:val="492C413F"/>
    <w:rsid w:val="49333D25"/>
    <w:rsid w:val="49375FAE"/>
    <w:rsid w:val="4942433F"/>
    <w:rsid w:val="49447842"/>
    <w:rsid w:val="49492F43"/>
    <w:rsid w:val="494B7CEF"/>
    <w:rsid w:val="495913D8"/>
    <w:rsid w:val="49816239"/>
    <w:rsid w:val="49896CB2"/>
    <w:rsid w:val="498D72D3"/>
    <w:rsid w:val="498E313A"/>
    <w:rsid w:val="498F4DFA"/>
    <w:rsid w:val="499441BE"/>
    <w:rsid w:val="499B42CB"/>
    <w:rsid w:val="499B5CD3"/>
    <w:rsid w:val="499D5628"/>
    <w:rsid w:val="49A17BDC"/>
    <w:rsid w:val="49B123F5"/>
    <w:rsid w:val="49BA5AB6"/>
    <w:rsid w:val="49BE56DF"/>
    <w:rsid w:val="49CA7BE0"/>
    <w:rsid w:val="49CB1BAA"/>
    <w:rsid w:val="49D7054F"/>
    <w:rsid w:val="49D71E0D"/>
    <w:rsid w:val="49DC5B65"/>
    <w:rsid w:val="49E113CD"/>
    <w:rsid w:val="49E14F29"/>
    <w:rsid w:val="49EC2B6F"/>
    <w:rsid w:val="49EC47D8"/>
    <w:rsid w:val="49F036DF"/>
    <w:rsid w:val="49F53DE3"/>
    <w:rsid w:val="49F71C24"/>
    <w:rsid w:val="49FB156F"/>
    <w:rsid w:val="4A007AA5"/>
    <w:rsid w:val="4A093DAC"/>
    <w:rsid w:val="4A0E6F0B"/>
    <w:rsid w:val="4A1452FF"/>
    <w:rsid w:val="4A18529C"/>
    <w:rsid w:val="4A193364"/>
    <w:rsid w:val="4A2117CA"/>
    <w:rsid w:val="4A222C04"/>
    <w:rsid w:val="4A242D2C"/>
    <w:rsid w:val="4A273284"/>
    <w:rsid w:val="4A295537"/>
    <w:rsid w:val="4A2C089A"/>
    <w:rsid w:val="4A2C23FD"/>
    <w:rsid w:val="4A2F4251"/>
    <w:rsid w:val="4A3143E9"/>
    <w:rsid w:val="4A3F72C9"/>
    <w:rsid w:val="4A49371A"/>
    <w:rsid w:val="4A4A21C1"/>
    <w:rsid w:val="4A4B5F65"/>
    <w:rsid w:val="4A4C0075"/>
    <w:rsid w:val="4A4C2273"/>
    <w:rsid w:val="4A5144FD"/>
    <w:rsid w:val="4A547DF1"/>
    <w:rsid w:val="4A5967BE"/>
    <w:rsid w:val="4A5B700A"/>
    <w:rsid w:val="4A626995"/>
    <w:rsid w:val="4A65319D"/>
    <w:rsid w:val="4A653DAC"/>
    <w:rsid w:val="4A662E1D"/>
    <w:rsid w:val="4A69564B"/>
    <w:rsid w:val="4A7459B6"/>
    <w:rsid w:val="4A8133AC"/>
    <w:rsid w:val="4A876BD5"/>
    <w:rsid w:val="4A9F72BE"/>
    <w:rsid w:val="4AA25380"/>
    <w:rsid w:val="4AAD027F"/>
    <w:rsid w:val="4AAF2318"/>
    <w:rsid w:val="4AB11F98"/>
    <w:rsid w:val="4AB2329C"/>
    <w:rsid w:val="4AB30D1E"/>
    <w:rsid w:val="4AB5641F"/>
    <w:rsid w:val="4ABE12AD"/>
    <w:rsid w:val="4AC40AD3"/>
    <w:rsid w:val="4ACA27B2"/>
    <w:rsid w:val="4AD856DA"/>
    <w:rsid w:val="4AE271AB"/>
    <w:rsid w:val="4AFD7739"/>
    <w:rsid w:val="4B151CBC"/>
    <w:rsid w:val="4B15553F"/>
    <w:rsid w:val="4B1A4FF3"/>
    <w:rsid w:val="4B2E23F0"/>
    <w:rsid w:val="4B2E570F"/>
    <w:rsid w:val="4B3043BA"/>
    <w:rsid w:val="4B335C59"/>
    <w:rsid w:val="4B3C4518"/>
    <w:rsid w:val="4B447E66"/>
    <w:rsid w:val="4B45028D"/>
    <w:rsid w:val="4B46598C"/>
    <w:rsid w:val="4B4D5699"/>
    <w:rsid w:val="4B517E8D"/>
    <w:rsid w:val="4B5A31E5"/>
    <w:rsid w:val="4B5BEE36"/>
    <w:rsid w:val="4B5F55B3"/>
    <w:rsid w:val="4B62209A"/>
    <w:rsid w:val="4B6F10D1"/>
    <w:rsid w:val="4B8357E4"/>
    <w:rsid w:val="4B891F50"/>
    <w:rsid w:val="4B8B02A3"/>
    <w:rsid w:val="4B8D228F"/>
    <w:rsid w:val="4B92038C"/>
    <w:rsid w:val="4B9D671D"/>
    <w:rsid w:val="4BA33C6C"/>
    <w:rsid w:val="4BAF6637"/>
    <w:rsid w:val="4BB11B3A"/>
    <w:rsid w:val="4BB26B7D"/>
    <w:rsid w:val="4BBF74EC"/>
    <w:rsid w:val="4BC30D8B"/>
    <w:rsid w:val="4BC42D59"/>
    <w:rsid w:val="4BC62629"/>
    <w:rsid w:val="4BC9027E"/>
    <w:rsid w:val="4BCA75DC"/>
    <w:rsid w:val="4BD400C4"/>
    <w:rsid w:val="4BE1398E"/>
    <w:rsid w:val="4BE156B5"/>
    <w:rsid w:val="4BE72014"/>
    <w:rsid w:val="4BED4059"/>
    <w:rsid w:val="4BEE4308"/>
    <w:rsid w:val="4BF5394C"/>
    <w:rsid w:val="4BF821AF"/>
    <w:rsid w:val="4BFA0524"/>
    <w:rsid w:val="4BFB6776"/>
    <w:rsid w:val="4BFE1DC3"/>
    <w:rsid w:val="4C074703"/>
    <w:rsid w:val="4C0D2006"/>
    <w:rsid w:val="4C121D12"/>
    <w:rsid w:val="4C3452BF"/>
    <w:rsid w:val="4C380B1A"/>
    <w:rsid w:val="4C6251E1"/>
    <w:rsid w:val="4C657AFB"/>
    <w:rsid w:val="4C6A0691"/>
    <w:rsid w:val="4C7279FA"/>
    <w:rsid w:val="4C7E1178"/>
    <w:rsid w:val="4C827C94"/>
    <w:rsid w:val="4C871DB8"/>
    <w:rsid w:val="4C8A7AFA"/>
    <w:rsid w:val="4CAA1F4A"/>
    <w:rsid w:val="4CAC0AD9"/>
    <w:rsid w:val="4CB052E1"/>
    <w:rsid w:val="4CC55583"/>
    <w:rsid w:val="4CCF596A"/>
    <w:rsid w:val="4CD11285"/>
    <w:rsid w:val="4CD928A1"/>
    <w:rsid w:val="4CDC1628"/>
    <w:rsid w:val="4CE865CF"/>
    <w:rsid w:val="4CF04B5C"/>
    <w:rsid w:val="4CF22C41"/>
    <w:rsid w:val="4CFE69B1"/>
    <w:rsid w:val="4D090A1F"/>
    <w:rsid w:val="4D0C06BA"/>
    <w:rsid w:val="4D1107FD"/>
    <w:rsid w:val="4D15661C"/>
    <w:rsid w:val="4D160508"/>
    <w:rsid w:val="4D267823"/>
    <w:rsid w:val="4D2A7D91"/>
    <w:rsid w:val="4D2B4FE7"/>
    <w:rsid w:val="4D2E492A"/>
    <w:rsid w:val="4D313179"/>
    <w:rsid w:val="4D331F40"/>
    <w:rsid w:val="4D341EAC"/>
    <w:rsid w:val="4D34553A"/>
    <w:rsid w:val="4D3651B9"/>
    <w:rsid w:val="4D39613E"/>
    <w:rsid w:val="4D396183"/>
    <w:rsid w:val="4D3C534E"/>
    <w:rsid w:val="4D3D2DBF"/>
    <w:rsid w:val="4D4322D1"/>
    <w:rsid w:val="4D536CE8"/>
    <w:rsid w:val="4D537EEC"/>
    <w:rsid w:val="4D601964"/>
    <w:rsid w:val="4D636B45"/>
    <w:rsid w:val="4D673998"/>
    <w:rsid w:val="4D6756A5"/>
    <w:rsid w:val="4D677E3B"/>
    <w:rsid w:val="4D6B4150"/>
    <w:rsid w:val="4D6C5694"/>
    <w:rsid w:val="4D6D5452"/>
    <w:rsid w:val="4D720544"/>
    <w:rsid w:val="4D720CBA"/>
    <w:rsid w:val="4D732CDE"/>
    <w:rsid w:val="4D743C0B"/>
    <w:rsid w:val="4D7550D0"/>
    <w:rsid w:val="4D7F33D7"/>
    <w:rsid w:val="4D88228C"/>
    <w:rsid w:val="4D8B3B2A"/>
    <w:rsid w:val="4D99525E"/>
    <w:rsid w:val="4D9A5B1B"/>
    <w:rsid w:val="4D9C5D37"/>
    <w:rsid w:val="4DAB1AD6"/>
    <w:rsid w:val="4DAE20A0"/>
    <w:rsid w:val="4DBA286F"/>
    <w:rsid w:val="4DBD720E"/>
    <w:rsid w:val="4DC0511E"/>
    <w:rsid w:val="4DCC4C78"/>
    <w:rsid w:val="4DD43DBE"/>
    <w:rsid w:val="4DD45334"/>
    <w:rsid w:val="4DD454D1"/>
    <w:rsid w:val="4DD72791"/>
    <w:rsid w:val="4DE14097"/>
    <w:rsid w:val="4DE230D4"/>
    <w:rsid w:val="4DE41E5A"/>
    <w:rsid w:val="4DE65204"/>
    <w:rsid w:val="4DE66FB2"/>
    <w:rsid w:val="4DE74FDD"/>
    <w:rsid w:val="4DEE027A"/>
    <w:rsid w:val="4DF46871"/>
    <w:rsid w:val="4DF66DDC"/>
    <w:rsid w:val="4DF94F37"/>
    <w:rsid w:val="4DFA480C"/>
    <w:rsid w:val="4DFF0074"/>
    <w:rsid w:val="4E0062C6"/>
    <w:rsid w:val="4E0631B0"/>
    <w:rsid w:val="4E0F0720"/>
    <w:rsid w:val="4E19322E"/>
    <w:rsid w:val="4E1F0BAF"/>
    <w:rsid w:val="4E200716"/>
    <w:rsid w:val="4E261AA5"/>
    <w:rsid w:val="4E2875CB"/>
    <w:rsid w:val="4E355844"/>
    <w:rsid w:val="4E375A60"/>
    <w:rsid w:val="4E3A10AC"/>
    <w:rsid w:val="4E3A2A49"/>
    <w:rsid w:val="4E41068C"/>
    <w:rsid w:val="4E41243B"/>
    <w:rsid w:val="4E4C150B"/>
    <w:rsid w:val="4E4E741F"/>
    <w:rsid w:val="4E516B22"/>
    <w:rsid w:val="4E545991"/>
    <w:rsid w:val="4E550E94"/>
    <w:rsid w:val="4E557C94"/>
    <w:rsid w:val="4E571CB8"/>
    <w:rsid w:val="4E5D62A1"/>
    <w:rsid w:val="4E6D3230"/>
    <w:rsid w:val="4E703C3C"/>
    <w:rsid w:val="4E742810"/>
    <w:rsid w:val="4E760ECF"/>
    <w:rsid w:val="4E775E5C"/>
    <w:rsid w:val="4E875D21"/>
    <w:rsid w:val="4E914171"/>
    <w:rsid w:val="4E930FA3"/>
    <w:rsid w:val="4E9B5FEF"/>
    <w:rsid w:val="4EA4317A"/>
    <w:rsid w:val="4EAD187E"/>
    <w:rsid w:val="4EAF1A9A"/>
    <w:rsid w:val="4EB359AB"/>
    <w:rsid w:val="4EB4342C"/>
    <w:rsid w:val="4EB50EAE"/>
    <w:rsid w:val="4EB86669"/>
    <w:rsid w:val="4EC2357B"/>
    <w:rsid w:val="4EC314C8"/>
    <w:rsid w:val="4ED04F5B"/>
    <w:rsid w:val="4ED4639E"/>
    <w:rsid w:val="4ED626E7"/>
    <w:rsid w:val="4EE72FE2"/>
    <w:rsid w:val="4EE74D90"/>
    <w:rsid w:val="4EEE25C2"/>
    <w:rsid w:val="4EF43951"/>
    <w:rsid w:val="4EF46414"/>
    <w:rsid w:val="4EF61477"/>
    <w:rsid w:val="4EF93CB2"/>
    <w:rsid w:val="4EF94FE3"/>
    <w:rsid w:val="4F0E67C1"/>
    <w:rsid w:val="4F1162B1"/>
    <w:rsid w:val="4F1418FD"/>
    <w:rsid w:val="4F1F055D"/>
    <w:rsid w:val="4F2676B5"/>
    <w:rsid w:val="4F2733FA"/>
    <w:rsid w:val="4F2B090E"/>
    <w:rsid w:val="4F4E12B3"/>
    <w:rsid w:val="4F50255A"/>
    <w:rsid w:val="4F5148FF"/>
    <w:rsid w:val="4F7505EE"/>
    <w:rsid w:val="4F7A20A8"/>
    <w:rsid w:val="4F7D56F4"/>
    <w:rsid w:val="4F7F767D"/>
    <w:rsid w:val="4F896EFF"/>
    <w:rsid w:val="4F943D9F"/>
    <w:rsid w:val="4F9CB445"/>
    <w:rsid w:val="4FB01626"/>
    <w:rsid w:val="4FB0334F"/>
    <w:rsid w:val="4FB15401"/>
    <w:rsid w:val="4FB21355"/>
    <w:rsid w:val="4FB82BD0"/>
    <w:rsid w:val="4FB96743"/>
    <w:rsid w:val="4FC04443"/>
    <w:rsid w:val="4FC41575"/>
    <w:rsid w:val="4FCAC7A0"/>
    <w:rsid w:val="4FCD667C"/>
    <w:rsid w:val="4FD05B13"/>
    <w:rsid w:val="4FD12E75"/>
    <w:rsid w:val="4FDB6712"/>
    <w:rsid w:val="4FDE675A"/>
    <w:rsid w:val="4FE614EB"/>
    <w:rsid w:val="4FEC580F"/>
    <w:rsid w:val="4FEF31B4"/>
    <w:rsid w:val="4FF05FF2"/>
    <w:rsid w:val="4FF84FBB"/>
    <w:rsid w:val="4FFC0D0F"/>
    <w:rsid w:val="4FFE62DF"/>
    <w:rsid w:val="4FFF663D"/>
    <w:rsid w:val="50081462"/>
    <w:rsid w:val="501156E2"/>
    <w:rsid w:val="5012466D"/>
    <w:rsid w:val="501C315F"/>
    <w:rsid w:val="501D717B"/>
    <w:rsid w:val="50281B04"/>
    <w:rsid w:val="50342624"/>
    <w:rsid w:val="504306EC"/>
    <w:rsid w:val="505674EE"/>
    <w:rsid w:val="505C7A00"/>
    <w:rsid w:val="505C7F65"/>
    <w:rsid w:val="505E3468"/>
    <w:rsid w:val="50610B72"/>
    <w:rsid w:val="506D39BB"/>
    <w:rsid w:val="50714687"/>
    <w:rsid w:val="50715259"/>
    <w:rsid w:val="5074510C"/>
    <w:rsid w:val="50795316"/>
    <w:rsid w:val="507A7515"/>
    <w:rsid w:val="507B7E86"/>
    <w:rsid w:val="50923421"/>
    <w:rsid w:val="509D67D0"/>
    <w:rsid w:val="509D7168"/>
    <w:rsid w:val="50A8054F"/>
    <w:rsid w:val="50B22EF2"/>
    <w:rsid w:val="50B40B13"/>
    <w:rsid w:val="50B62C6F"/>
    <w:rsid w:val="50C067B2"/>
    <w:rsid w:val="50D21228"/>
    <w:rsid w:val="50D41344"/>
    <w:rsid w:val="50D94BAC"/>
    <w:rsid w:val="50DE21C3"/>
    <w:rsid w:val="50EB0ACD"/>
    <w:rsid w:val="50ED7D32"/>
    <w:rsid w:val="50F413DD"/>
    <w:rsid w:val="50F54865"/>
    <w:rsid w:val="50F934A0"/>
    <w:rsid w:val="50FD06D6"/>
    <w:rsid w:val="51033699"/>
    <w:rsid w:val="51051E45"/>
    <w:rsid w:val="51072BF7"/>
    <w:rsid w:val="510E7D88"/>
    <w:rsid w:val="5116195C"/>
    <w:rsid w:val="511A67A2"/>
    <w:rsid w:val="511D6814"/>
    <w:rsid w:val="511E6A63"/>
    <w:rsid w:val="51204589"/>
    <w:rsid w:val="512322CB"/>
    <w:rsid w:val="51237AAF"/>
    <w:rsid w:val="51363DAD"/>
    <w:rsid w:val="51365736"/>
    <w:rsid w:val="513D08D8"/>
    <w:rsid w:val="513E26CB"/>
    <w:rsid w:val="514B3CFC"/>
    <w:rsid w:val="514E10F6"/>
    <w:rsid w:val="51581F75"/>
    <w:rsid w:val="515C14C3"/>
    <w:rsid w:val="51651C94"/>
    <w:rsid w:val="516A1CA8"/>
    <w:rsid w:val="516B0122"/>
    <w:rsid w:val="517123ED"/>
    <w:rsid w:val="51735001"/>
    <w:rsid w:val="51764AF1"/>
    <w:rsid w:val="51785239"/>
    <w:rsid w:val="51825244"/>
    <w:rsid w:val="518C60C3"/>
    <w:rsid w:val="519277D2"/>
    <w:rsid w:val="519C08F1"/>
    <w:rsid w:val="519F5DF6"/>
    <w:rsid w:val="51A32658"/>
    <w:rsid w:val="51AB6549"/>
    <w:rsid w:val="51AF590D"/>
    <w:rsid w:val="51AF7912"/>
    <w:rsid w:val="51B40BB6"/>
    <w:rsid w:val="51B74F20"/>
    <w:rsid w:val="51BA6943"/>
    <w:rsid w:val="51C01DAA"/>
    <w:rsid w:val="51C20B31"/>
    <w:rsid w:val="51C27D36"/>
    <w:rsid w:val="51C66CCF"/>
    <w:rsid w:val="51CB2747"/>
    <w:rsid w:val="51CE0489"/>
    <w:rsid w:val="51D442CE"/>
    <w:rsid w:val="51D51CAE"/>
    <w:rsid w:val="51D5415B"/>
    <w:rsid w:val="51D67DB1"/>
    <w:rsid w:val="51E27A91"/>
    <w:rsid w:val="51E731C5"/>
    <w:rsid w:val="51E73E42"/>
    <w:rsid w:val="51F83758"/>
    <w:rsid w:val="52067C23"/>
    <w:rsid w:val="521A1920"/>
    <w:rsid w:val="5223404D"/>
    <w:rsid w:val="52302EF2"/>
    <w:rsid w:val="52344790"/>
    <w:rsid w:val="523522B6"/>
    <w:rsid w:val="523A09B3"/>
    <w:rsid w:val="52461B27"/>
    <w:rsid w:val="524A3FB4"/>
    <w:rsid w:val="52546BE0"/>
    <w:rsid w:val="5258273E"/>
    <w:rsid w:val="5265033A"/>
    <w:rsid w:val="526770C0"/>
    <w:rsid w:val="5268528B"/>
    <w:rsid w:val="527079D0"/>
    <w:rsid w:val="5277735B"/>
    <w:rsid w:val="527903F5"/>
    <w:rsid w:val="527C1C93"/>
    <w:rsid w:val="527D59E1"/>
    <w:rsid w:val="5282529F"/>
    <w:rsid w:val="528775F5"/>
    <w:rsid w:val="5290573F"/>
    <w:rsid w:val="529B0B2F"/>
    <w:rsid w:val="52A41123"/>
    <w:rsid w:val="52AB2578"/>
    <w:rsid w:val="52B129B7"/>
    <w:rsid w:val="52BE405A"/>
    <w:rsid w:val="52C33D66"/>
    <w:rsid w:val="52C5188C"/>
    <w:rsid w:val="52C91423"/>
    <w:rsid w:val="52D67374"/>
    <w:rsid w:val="52DB2E5E"/>
    <w:rsid w:val="52E26A0A"/>
    <w:rsid w:val="52E837CD"/>
    <w:rsid w:val="52E93F07"/>
    <w:rsid w:val="52EB5004"/>
    <w:rsid w:val="52EC506B"/>
    <w:rsid w:val="52EC7319"/>
    <w:rsid w:val="52EF7E07"/>
    <w:rsid w:val="52F42171"/>
    <w:rsid w:val="52F67C97"/>
    <w:rsid w:val="52FA40B1"/>
    <w:rsid w:val="52FD37D9"/>
    <w:rsid w:val="53004E49"/>
    <w:rsid w:val="53034162"/>
    <w:rsid w:val="530A434B"/>
    <w:rsid w:val="53114AD1"/>
    <w:rsid w:val="53135C27"/>
    <w:rsid w:val="53171462"/>
    <w:rsid w:val="531E556A"/>
    <w:rsid w:val="532153A1"/>
    <w:rsid w:val="53252976"/>
    <w:rsid w:val="532716FD"/>
    <w:rsid w:val="532F31A9"/>
    <w:rsid w:val="532F3286"/>
    <w:rsid w:val="53363B55"/>
    <w:rsid w:val="5338205E"/>
    <w:rsid w:val="533C1422"/>
    <w:rsid w:val="533F163E"/>
    <w:rsid w:val="534741B0"/>
    <w:rsid w:val="534A5134"/>
    <w:rsid w:val="534A7FE3"/>
    <w:rsid w:val="534E16A9"/>
    <w:rsid w:val="53583FF3"/>
    <w:rsid w:val="535B2E50"/>
    <w:rsid w:val="53654E1D"/>
    <w:rsid w:val="538A011C"/>
    <w:rsid w:val="538C7AE3"/>
    <w:rsid w:val="539677B2"/>
    <w:rsid w:val="53A75FF1"/>
    <w:rsid w:val="53A81DB0"/>
    <w:rsid w:val="53B84F4D"/>
    <w:rsid w:val="53BA0CC5"/>
    <w:rsid w:val="53BA3826"/>
    <w:rsid w:val="53C102A5"/>
    <w:rsid w:val="53CC5EA8"/>
    <w:rsid w:val="53D41815"/>
    <w:rsid w:val="53D77AC9"/>
    <w:rsid w:val="53E126F6"/>
    <w:rsid w:val="53E36ED5"/>
    <w:rsid w:val="54063F0A"/>
    <w:rsid w:val="54077C82"/>
    <w:rsid w:val="54123B09"/>
    <w:rsid w:val="54146C3E"/>
    <w:rsid w:val="541D1728"/>
    <w:rsid w:val="542B571F"/>
    <w:rsid w:val="542E0F22"/>
    <w:rsid w:val="5430412D"/>
    <w:rsid w:val="543350B2"/>
    <w:rsid w:val="54336CC9"/>
    <w:rsid w:val="5438608E"/>
    <w:rsid w:val="543D5452"/>
    <w:rsid w:val="54401EDC"/>
    <w:rsid w:val="54471223"/>
    <w:rsid w:val="54653303"/>
    <w:rsid w:val="547200D6"/>
    <w:rsid w:val="5479292E"/>
    <w:rsid w:val="54813591"/>
    <w:rsid w:val="54840334"/>
    <w:rsid w:val="54874B3C"/>
    <w:rsid w:val="549239F0"/>
    <w:rsid w:val="54992FD0"/>
    <w:rsid w:val="54994D7E"/>
    <w:rsid w:val="549F610D"/>
    <w:rsid w:val="54B75204"/>
    <w:rsid w:val="54BC281B"/>
    <w:rsid w:val="54BC6CBF"/>
    <w:rsid w:val="54C3004D"/>
    <w:rsid w:val="54C90F5D"/>
    <w:rsid w:val="54D51B2F"/>
    <w:rsid w:val="54D779D8"/>
    <w:rsid w:val="54E26CF7"/>
    <w:rsid w:val="54E67898"/>
    <w:rsid w:val="54ED0C26"/>
    <w:rsid w:val="54ED6E78"/>
    <w:rsid w:val="54F55170"/>
    <w:rsid w:val="54F71AA5"/>
    <w:rsid w:val="54FE3450"/>
    <w:rsid w:val="55026486"/>
    <w:rsid w:val="55164621"/>
    <w:rsid w:val="55226F39"/>
    <w:rsid w:val="55230100"/>
    <w:rsid w:val="55326F81"/>
    <w:rsid w:val="5540202B"/>
    <w:rsid w:val="55450A62"/>
    <w:rsid w:val="554C0043"/>
    <w:rsid w:val="554C3B9F"/>
    <w:rsid w:val="554D7917"/>
    <w:rsid w:val="555313D1"/>
    <w:rsid w:val="55537708"/>
    <w:rsid w:val="55560EC1"/>
    <w:rsid w:val="555667CB"/>
    <w:rsid w:val="55572544"/>
    <w:rsid w:val="555E1B24"/>
    <w:rsid w:val="555E7D76"/>
    <w:rsid w:val="55690BF5"/>
    <w:rsid w:val="55704ABA"/>
    <w:rsid w:val="557430F6"/>
    <w:rsid w:val="55904808"/>
    <w:rsid w:val="55964CF9"/>
    <w:rsid w:val="55A15289"/>
    <w:rsid w:val="55A3400F"/>
    <w:rsid w:val="55AE2AAB"/>
    <w:rsid w:val="55B20DA6"/>
    <w:rsid w:val="55B61960"/>
    <w:rsid w:val="55B6370E"/>
    <w:rsid w:val="55C135BF"/>
    <w:rsid w:val="55C20305"/>
    <w:rsid w:val="55C3384A"/>
    <w:rsid w:val="55D24D26"/>
    <w:rsid w:val="55D36D5C"/>
    <w:rsid w:val="55D43B94"/>
    <w:rsid w:val="55DA5C93"/>
    <w:rsid w:val="55DF2B6F"/>
    <w:rsid w:val="55E06161"/>
    <w:rsid w:val="55E524FA"/>
    <w:rsid w:val="55EC22A5"/>
    <w:rsid w:val="55F02AE1"/>
    <w:rsid w:val="55F34962"/>
    <w:rsid w:val="55FF3307"/>
    <w:rsid w:val="56052DAF"/>
    <w:rsid w:val="5605438B"/>
    <w:rsid w:val="560817B5"/>
    <w:rsid w:val="56091A90"/>
    <w:rsid w:val="56183FCE"/>
    <w:rsid w:val="561D553B"/>
    <w:rsid w:val="561F3061"/>
    <w:rsid w:val="56220DA3"/>
    <w:rsid w:val="5623409C"/>
    <w:rsid w:val="56244B1C"/>
    <w:rsid w:val="562E14F6"/>
    <w:rsid w:val="562E599A"/>
    <w:rsid w:val="563C2632"/>
    <w:rsid w:val="56503922"/>
    <w:rsid w:val="56535401"/>
    <w:rsid w:val="56554CD5"/>
    <w:rsid w:val="565717FF"/>
    <w:rsid w:val="565B7F3A"/>
    <w:rsid w:val="565C123F"/>
    <w:rsid w:val="566540CD"/>
    <w:rsid w:val="567A0BDF"/>
    <w:rsid w:val="56815ACA"/>
    <w:rsid w:val="568376D6"/>
    <w:rsid w:val="56861332"/>
    <w:rsid w:val="56876E58"/>
    <w:rsid w:val="568B6949"/>
    <w:rsid w:val="568D446F"/>
    <w:rsid w:val="568E6439"/>
    <w:rsid w:val="56934A0C"/>
    <w:rsid w:val="56951575"/>
    <w:rsid w:val="56A9133E"/>
    <w:rsid w:val="56AB6FEB"/>
    <w:rsid w:val="56AC22C3"/>
    <w:rsid w:val="56AF9911"/>
    <w:rsid w:val="56B539C6"/>
    <w:rsid w:val="56B95D55"/>
    <w:rsid w:val="56BF7C5F"/>
    <w:rsid w:val="56C105BC"/>
    <w:rsid w:val="56D34701"/>
    <w:rsid w:val="56DA12D1"/>
    <w:rsid w:val="56DA628A"/>
    <w:rsid w:val="56DE116E"/>
    <w:rsid w:val="56E10C5F"/>
    <w:rsid w:val="56E322E1"/>
    <w:rsid w:val="56E4241D"/>
    <w:rsid w:val="56EF5E54"/>
    <w:rsid w:val="56F32BCA"/>
    <w:rsid w:val="56FC33A3"/>
    <w:rsid w:val="56FD5BF6"/>
    <w:rsid w:val="57081D47"/>
    <w:rsid w:val="570F757A"/>
    <w:rsid w:val="5714693E"/>
    <w:rsid w:val="571B7CCD"/>
    <w:rsid w:val="571F34FB"/>
    <w:rsid w:val="571F7091"/>
    <w:rsid w:val="5728768E"/>
    <w:rsid w:val="572B4D8F"/>
    <w:rsid w:val="57304A9B"/>
    <w:rsid w:val="5732471A"/>
    <w:rsid w:val="573945F7"/>
    <w:rsid w:val="574A5644"/>
    <w:rsid w:val="574D1E50"/>
    <w:rsid w:val="57500E33"/>
    <w:rsid w:val="57511940"/>
    <w:rsid w:val="575326D1"/>
    <w:rsid w:val="57560A2F"/>
    <w:rsid w:val="57601B83"/>
    <w:rsid w:val="57622EEB"/>
    <w:rsid w:val="576C0528"/>
    <w:rsid w:val="576D604E"/>
    <w:rsid w:val="57715B3F"/>
    <w:rsid w:val="577603EC"/>
    <w:rsid w:val="5778511F"/>
    <w:rsid w:val="57796194"/>
    <w:rsid w:val="577B076B"/>
    <w:rsid w:val="577F16B1"/>
    <w:rsid w:val="578C4726"/>
    <w:rsid w:val="57905DB9"/>
    <w:rsid w:val="57914433"/>
    <w:rsid w:val="5794675D"/>
    <w:rsid w:val="579730CB"/>
    <w:rsid w:val="579831C5"/>
    <w:rsid w:val="57995923"/>
    <w:rsid w:val="57A027D0"/>
    <w:rsid w:val="57A45B0D"/>
    <w:rsid w:val="57B87DA9"/>
    <w:rsid w:val="57BB7307"/>
    <w:rsid w:val="57BE4AFC"/>
    <w:rsid w:val="57C021C8"/>
    <w:rsid w:val="57D4431F"/>
    <w:rsid w:val="57D83FAF"/>
    <w:rsid w:val="57E37481"/>
    <w:rsid w:val="57E767C7"/>
    <w:rsid w:val="57EBF7A8"/>
    <w:rsid w:val="57EC1669"/>
    <w:rsid w:val="57ED4E4E"/>
    <w:rsid w:val="57F542C9"/>
    <w:rsid w:val="57F66044"/>
    <w:rsid w:val="57F8000E"/>
    <w:rsid w:val="57F944E3"/>
    <w:rsid w:val="57F95178"/>
    <w:rsid w:val="57FD3876"/>
    <w:rsid w:val="580A5802"/>
    <w:rsid w:val="581035A9"/>
    <w:rsid w:val="5814296E"/>
    <w:rsid w:val="581F309E"/>
    <w:rsid w:val="58247055"/>
    <w:rsid w:val="582662AC"/>
    <w:rsid w:val="58273D2E"/>
    <w:rsid w:val="583067EF"/>
    <w:rsid w:val="58323CA7"/>
    <w:rsid w:val="583354EA"/>
    <w:rsid w:val="58347B5F"/>
    <w:rsid w:val="583D3C73"/>
    <w:rsid w:val="583D5ED1"/>
    <w:rsid w:val="58496ABB"/>
    <w:rsid w:val="58545AF7"/>
    <w:rsid w:val="58570FE0"/>
    <w:rsid w:val="58690F0C"/>
    <w:rsid w:val="586A351D"/>
    <w:rsid w:val="58704048"/>
    <w:rsid w:val="5874602B"/>
    <w:rsid w:val="587753D7"/>
    <w:rsid w:val="587B3263"/>
    <w:rsid w:val="58906498"/>
    <w:rsid w:val="589136D6"/>
    <w:rsid w:val="589233DD"/>
    <w:rsid w:val="58951DE3"/>
    <w:rsid w:val="58974CD2"/>
    <w:rsid w:val="58990825"/>
    <w:rsid w:val="58A65CBC"/>
    <w:rsid w:val="58AB5080"/>
    <w:rsid w:val="58AB67AF"/>
    <w:rsid w:val="58AC780A"/>
    <w:rsid w:val="58B46E15"/>
    <w:rsid w:val="58B9329D"/>
    <w:rsid w:val="58BF0B2C"/>
    <w:rsid w:val="58C3061C"/>
    <w:rsid w:val="58C3686E"/>
    <w:rsid w:val="58C6175D"/>
    <w:rsid w:val="58D06EBB"/>
    <w:rsid w:val="58D21C48"/>
    <w:rsid w:val="58D46932"/>
    <w:rsid w:val="58D520FD"/>
    <w:rsid w:val="58D85309"/>
    <w:rsid w:val="58E10AA2"/>
    <w:rsid w:val="58E42340"/>
    <w:rsid w:val="58E55011"/>
    <w:rsid w:val="58EB1FE8"/>
    <w:rsid w:val="58EB36CF"/>
    <w:rsid w:val="58FE1654"/>
    <w:rsid w:val="590C4068"/>
    <w:rsid w:val="59126EAD"/>
    <w:rsid w:val="591304B3"/>
    <w:rsid w:val="5915699E"/>
    <w:rsid w:val="59182B18"/>
    <w:rsid w:val="591C7D2C"/>
    <w:rsid w:val="5921524A"/>
    <w:rsid w:val="592941F7"/>
    <w:rsid w:val="592D3CE7"/>
    <w:rsid w:val="59317A63"/>
    <w:rsid w:val="59350DEE"/>
    <w:rsid w:val="59365CCE"/>
    <w:rsid w:val="593928F1"/>
    <w:rsid w:val="593E1362"/>
    <w:rsid w:val="59410ED3"/>
    <w:rsid w:val="595079D6"/>
    <w:rsid w:val="5954396A"/>
    <w:rsid w:val="59594ADC"/>
    <w:rsid w:val="595C45CC"/>
    <w:rsid w:val="595D3DAB"/>
    <w:rsid w:val="595DFE2D"/>
    <w:rsid w:val="59624E00"/>
    <w:rsid w:val="59637709"/>
    <w:rsid w:val="59646078"/>
    <w:rsid w:val="596A50AD"/>
    <w:rsid w:val="59774954"/>
    <w:rsid w:val="5979134F"/>
    <w:rsid w:val="597E6792"/>
    <w:rsid w:val="59810AE7"/>
    <w:rsid w:val="59826569"/>
    <w:rsid w:val="598361E9"/>
    <w:rsid w:val="59873015"/>
    <w:rsid w:val="59874BEF"/>
    <w:rsid w:val="59903C64"/>
    <w:rsid w:val="599770AA"/>
    <w:rsid w:val="599975CF"/>
    <w:rsid w:val="599B8EB9"/>
    <w:rsid w:val="59A246D5"/>
    <w:rsid w:val="59AB6638"/>
    <w:rsid w:val="59AB7363"/>
    <w:rsid w:val="59BF46DB"/>
    <w:rsid w:val="59C606AB"/>
    <w:rsid w:val="59D216B8"/>
    <w:rsid w:val="59DF051F"/>
    <w:rsid w:val="59DF53CD"/>
    <w:rsid w:val="59E16582"/>
    <w:rsid w:val="59E24AD2"/>
    <w:rsid w:val="59E72C8C"/>
    <w:rsid w:val="59EE5898"/>
    <w:rsid w:val="59F1740B"/>
    <w:rsid w:val="59FF2351"/>
    <w:rsid w:val="5A0507C0"/>
    <w:rsid w:val="5A0C4A03"/>
    <w:rsid w:val="5A0E034B"/>
    <w:rsid w:val="5A1B4488"/>
    <w:rsid w:val="5A1B5462"/>
    <w:rsid w:val="5A1B6236"/>
    <w:rsid w:val="5A1B7FE4"/>
    <w:rsid w:val="5A1D63E7"/>
    <w:rsid w:val="5A317807"/>
    <w:rsid w:val="5A3A7F15"/>
    <w:rsid w:val="5A44753A"/>
    <w:rsid w:val="5A4F2439"/>
    <w:rsid w:val="5A540ABF"/>
    <w:rsid w:val="5A5F6122"/>
    <w:rsid w:val="5A6544C9"/>
    <w:rsid w:val="5A690D4F"/>
    <w:rsid w:val="5A781F79"/>
    <w:rsid w:val="5A7B6CD4"/>
    <w:rsid w:val="5A7C624D"/>
    <w:rsid w:val="5A7F40F0"/>
    <w:rsid w:val="5A89319F"/>
    <w:rsid w:val="5A8C6BB6"/>
    <w:rsid w:val="5A8D7133"/>
    <w:rsid w:val="5A987886"/>
    <w:rsid w:val="5A9D30EE"/>
    <w:rsid w:val="5AA20705"/>
    <w:rsid w:val="5AA4622B"/>
    <w:rsid w:val="5AA93841"/>
    <w:rsid w:val="5AAA3A4D"/>
    <w:rsid w:val="5AAB4D51"/>
    <w:rsid w:val="5AB521E6"/>
    <w:rsid w:val="5ABB1768"/>
    <w:rsid w:val="5ABF12B7"/>
    <w:rsid w:val="5AC5499A"/>
    <w:rsid w:val="5ACC3E3E"/>
    <w:rsid w:val="5AD2718F"/>
    <w:rsid w:val="5AD30AFA"/>
    <w:rsid w:val="5ADA39FB"/>
    <w:rsid w:val="5AE03059"/>
    <w:rsid w:val="5AE91E90"/>
    <w:rsid w:val="5AF02819"/>
    <w:rsid w:val="5AF44393"/>
    <w:rsid w:val="5B084A0C"/>
    <w:rsid w:val="5B0D5CEF"/>
    <w:rsid w:val="5B0E7B48"/>
    <w:rsid w:val="5B1765FF"/>
    <w:rsid w:val="5B1C04B7"/>
    <w:rsid w:val="5B253396"/>
    <w:rsid w:val="5B296730"/>
    <w:rsid w:val="5B2A4F24"/>
    <w:rsid w:val="5B302C25"/>
    <w:rsid w:val="5B3255E5"/>
    <w:rsid w:val="5B355BAF"/>
    <w:rsid w:val="5B425BAA"/>
    <w:rsid w:val="5B4377F2"/>
    <w:rsid w:val="5B47134C"/>
    <w:rsid w:val="5B4F43E9"/>
    <w:rsid w:val="5B501C5C"/>
    <w:rsid w:val="5B503CBD"/>
    <w:rsid w:val="5B5A4B3C"/>
    <w:rsid w:val="5B6D5280"/>
    <w:rsid w:val="5B7976B8"/>
    <w:rsid w:val="5B7E72A8"/>
    <w:rsid w:val="5B8B1789"/>
    <w:rsid w:val="5B8E5344"/>
    <w:rsid w:val="5B906046"/>
    <w:rsid w:val="5B9B13DC"/>
    <w:rsid w:val="5BA3796A"/>
    <w:rsid w:val="5BA57168"/>
    <w:rsid w:val="5BB64468"/>
    <w:rsid w:val="5BBA55DA"/>
    <w:rsid w:val="5BBB3A96"/>
    <w:rsid w:val="5BCB0CC4"/>
    <w:rsid w:val="5BCC5A39"/>
    <w:rsid w:val="5BD112A2"/>
    <w:rsid w:val="5BD844BF"/>
    <w:rsid w:val="5BD91F40"/>
    <w:rsid w:val="5BDF23D2"/>
    <w:rsid w:val="5BE921DB"/>
    <w:rsid w:val="5BE96957"/>
    <w:rsid w:val="5BEF797A"/>
    <w:rsid w:val="5BF175E7"/>
    <w:rsid w:val="5BF86F72"/>
    <w:rsid w:val="5BF925A6"/>
    <w:rsid w:val="5BFBE6A8"/>
    <w:rsid w:val="5C0D1BAE"/>
    <w:rsid w:val="5C1178F0"/>
    <w:rsid w:val="5C2C297C"/>
    <w:rsid w:val="5C317F92"/>
    <w:rsid w:val="5C3C0960"/>
    <w:rsid w:val="5C3F445D"/>
    <w:rsid w:val="5C403D31"/>
    <w:rsid w:val="5C425CFC"/>
    <w:rsid w:val="5C435D6C"/>
    <w:rsid w:val="5C4516B9"/>
    <w:rsid w:val="5C4C11DD"/>
    <w:rsid w:val="5C4E40FD"/>
    <w:rsid w:val="5C515F3F"/>
    <w:rsid w:val="5C56150A"/>
    <w:rsid w:val="5C5C6C96"/>
    <w:rsid w:val="5C602626"/>
    <w:rsid w:val="5C62014C"/>
    <w:rsid w:val="5C6C0FCA"/>
    <w:rsid w:val="5C702869"/>
    <w:rsid w:val="5C852059"/>
    <w:rsid w:val="5C855BE8"/>
    <w:rsid w:val="5C910A31"/>
    <w:rsid w:val="5C9347A9"/>
    <w:rsid w:val="5C9522F3"/>
    <w:rsid w:val="5C9F180D"/>
    <w:rsid w:val="5CA7000F"/>
    <w:rsid w:val="5CAA4817"/>
    <w:rsid w:val="5CB337F7"/>
    <w:rsid w:val="5CBB2E53"/>
    <w:rsid w:val="5CBF10FA"/>
    <w:rsid w:val="5CBF734C"/>
    <w:rsid w:val="5CC46711"/>
    <w:rsid w:val="5CCA6F71"/>
    <w:rsid w:val="5CCB7A9F"/>
    <w:rsid w:val="5CCE3752"/>
    <w:rsid w:val="5CD60B5E"/>
    <w:rsid w:val="5CDE5F6B"/>
    <w:rsid w:val="5CE24971"/>
    <w:rsid w:val="5CEB6393"/>
    <w:rsid w:val="5CED0F9A"/>
    <w:rsid w:val="5CF50C1D"/>
    <w:rsid w:val="5CFD7E74"/>
    <w:rsid w:val="5CFF1E3E"/>
    <w:rsid w:val="5D027239"/>
    <w:rsid w:val="5D07484F"/>
    <w:rsid w:val="5D0C4BC1"/>
    <w:rsid w:val="5D136571"/>
    <w:rsid w:val="5D1E0517"/>
    <w:rsid w:val="5D1F428F"/>
    <w:rsid w:val="5D207CD9"/>
    <w:rsid w:val="5D2418A5"/>
    <w:rsid w:val="5D2A4D65"/>
    <w:rsid w:val="5D323FC2"/>
    <w:rsid w:val="5D373386"/>
    <w:rsid w:val="5D406F09"/>
    <w:rsid w:val="5D470262"/>
    <w:rsid w:val="5D545BA9"/>
    <w:rsid w:val="5D552D03"/>
    <w:rsid w:val="5D5A7075"/>
    <w:rsid w:val="5D662079"/>
    <w:rsid w:val="5D777C27"/>
    <w:rsid w:val="5D7F3DAB"/>
    <w:rsid w:val="5D820C77"/>
    <w:rsid w:val="5D926300"/>
    <w:rsid w:val="5DA212E7"/>
    <w:rsid w:val="5DA546AF"/>
    <w:rsid w:val="5DA54794"/>
    <w:rsid w:val="5DAFE9F6"/>
    <w:rsid w:val="5DCE3659"/>
    <w:rsid w:val="5DD9443E"/>
    <w:rsid w:val="5DDC260A"/>
    <w:rsid w:val="5DDD390F"/>
    <w:rsid w:val="5DE80ADC"/>
    <w:rsid w:val="5DEC23C3"/>
    <w:rsid w:val="5DEF1EB3"/>
    <w:rsid w:val="5DF20031"/>
    <w:rsid w:val="5DF9688E"/>
    <w:rsid w:val="5DFB4B1B"/>
    <w:rsid w:val="5E014DC8"/>
    <w:rsid w:val="5E021BDC"/>
    <w:rsid w:val="5E0F60B1"/>
    <w:rsid w:val="5E174F66"/>
    <w:rsid w:val="5E23390B"/>
    <w:rsid w:val="5E255ABC"/>
    <w:rsid w:val="5E257683"/>
    <w:rsid w:val="5E2D1110"/>
    <w:rsid w:val="5E394EDC"/>
    <w:rsid w:val="5E482FBE"/>
    <w:rsid w:val="5E4A64C2"/>
    <w:rsid w:val="5E515E4C"/>
    <w:rsid w:val="5E624433"/>
    <w:rsid w:val="5E6C521E"/>
    <w:rsid w:val="5E7423B8"/>
    <w:rsid w:val="5E783D07"/>
    <w:rsid w:val="5E7A21F1"/>
    <w:rsid w:val="5E7B340D"/>
    <w:rsid w:val="5E7B49D2"/>
    <w:rsid w:val="5E857144"/>
    <w:rsid w:val="5E8C7702"/>
    <w:rsid w:val="5E9A1E1F"/>
    <w:rsid w:val="5EA80A59"/>
    <w:rsid w:val="5EAA7B89"/>
    <w:rsid w:val="5EB10F16"/>
    <w:rsid w:val="5EB427B5"/>
    <w:rsid w:val="5EBF1051"/>
    <w:rsid w:val="5ECA2293"/>
    <w:rsid w:val="5ED2780B"/>
    <w:rsid w:val="5ED46B20"/>
    <w:rsid w:val="5ED5070F"/>
    <w:rsid w:val="5ED75D25"/>
    <w:rsid w:val="5EDD7F5D"/>
    <w:rsid w:val="5EDF7832"/>
    <w:rsid w:val="5EDF93E3"/>
    <w:rsid w:val="5EE0F396"/>
    <w:rsid w:val="5EE376EA"/>
    <w:rsid w:val="5EE4309A"/>
    <w:rsid w:val="5EEEC381"/>
    <w:rsid w:val="5EEF11CE"/>
    <w:rsid w:val="5EF3152F"/>
    <w:rsid w:val="5EF9D65C"/>
    <w:rsid w:val="5EFD5F0A"/>
    <w:rsid w:val="5F0279C4"/>
    <w:rsid w:val="5F08322C"/>
    <w:rsid w:val="5F0E0117"/>
    <w:rsid w:val="5F125DF8"/>
    <w:rsid w:val="5F225970"/>
    <w:rsid w:val="5F2512EF"/>
    <w:rsid w:val="5F2B22B4"/>
    <w:rsid w:val="5F351942"/>
    <w:rsid w:val="5F3F2252"/>
    <w:rsid w:val="5F405755"/>
    <w:rsid w:val="5F473629"/>
    <w:rsid w:val="5F4A27E1"/>
    <w:rsid w:val="5F4D3255"/>
    <w:rsid w:val="5F4EB4CE"/>
    <w:rsid w:val="5F51216C"/>
    <w:rsid w:val="5F517BED"/>
    <w:rsid w:val="5F5244A8"/>
    <w:rsid w:val="5F57199D"/>
    <w:rsid w:val="5F577E3F"/>
    <w:rsid w:val="5F5A4D23"/>
    <w:rsid w:val="5F5E7701"/>
    <w:rsid w:val="5F601622"/>
    <w:rsid w:val="5F6F7BEA"/>
    <w:rsid w:val="5F713D25"/>
    <w:rsid w:val="5F775A5A"/>
    <w:rsid w:val="5F8A5F66"/>
    <w:rsid w:val="5F9B3610"/>
    <w:rsid w:val="5F9E76ED"/>
    <w:rsid w:val="5FA32F55"/>
    <w:rsid w:val="5FAD2FF7"/>
    <w:rsid w:val="5FBE7D8F"/>
    <w:rsid w:val="5FC24A29"/>
    <w:rsid w:val="5FCA4DCB"/>
    <w:rsid w:val="5FCB6008"/>
    <w:rsid w:val="5FD81327"/>
    <w:rsid w:val="5FD92450"/>
    <w:rsid w:val="5FDD0BB6"/>
    <w:rsid w:val="5FDF7E90"/>
    <w:rsid w:val="5FE07D05"/>
    <w:rsid w:val="5FE13A7D"/>
    <w:rsid w:val="5FE315A4"/>
    <w:rsid w:val="5FE813E6"/>
    <w:rsid w:val="5FEA48E9"/>
    <w:rsid w:val="5FEB5BEE"/>
    <w:rsid w:val="5FEC3008"/>
    <w:rsid w:val="5FEF45F4"/>
    <w:rsid w:val="5FF564FD"/>
    <w:rsid w:val="5FFD1418"/>
    <w:rsid w:val="5FFDF586"/>
    <w:rsid w:val="5FFEAD44"/>
    <w:rsid w:val="60017C7C"/>
    <w:rsid w:val="60025ECE"/>
    <w:rsid w:val="600D6620"/>
    <w:rsid w:val="60114363"/>
    <w:rsid w:val="60116111"/>
    <w:rsid w:val="6017124D"/>
    <w:rsid w:val="60171F35"/>
    <w:rsid w:val="601A7636"/>
    <w:rsid w:val="60275934"/>
    <w:rsid w:val="60297B7D"/>
    <w:rsid w:val="602A2D2E"/>
    <w:rsid w:val="602D40D8"/>
    <w:rsid w:val="60326087"/>
    <w:rsid w:val="6035022A"/>
    <w:rsid w:val="60385CED"/>
    <w:rsid w:val="603E1BD1"/>
    <w:rsid w:val="6042451C"/>
    <w:rsid w:val="60436538"/>
    <w:rsid w:val="604A33D1"/>
    <w:rsid w:val="604E3162"/>
    <w:rsid w:val="6051475F"/>
    <w:rsid w:val="60536275"/>
    <w:rsid w:val="60591866"/>
    <w:rsid w:val="60634492"/>
    <w:rsid w:val="60651FB9"/>
    <w:rsid w:val="6066021D"/>
    <w:rsid w:val="60682A7A"/>
    <w:rsid w:val="606A75CF"/>
    <w:rsid w:val="606E2944"/>
    <w:rsid w:val="607544CD"/>
    <w:rsid w:val="60766AF1"/>
    <w:rsid w:val="60786190"/>
    <w:rsid w:val="60830691"/>
    <w:rsid w:val="608337E2"/>
    <w:rsid w:val="60854409"/>
    <w:rsid w:val="608C281E"/>
    <w:rsid w:val="609008FA"/>
    <w:rsid w:val="6094289E"/>
    <w:rsid w:val="60960285"/>
    <w:rsid w:val="60A54657"/>
    <w:rsid w:val="60AA35C5"/>
    <w:rsid w:val="60AC7BE7"/>
    <w:rsid w:val="60BA67A8"/>
    <w:rsid w:val="60C60DD4"/>
    <w:rsid w:val="60CE03DF"/>
    <w:rsid w:val="60CF23D1"/>
    <w:rsid w:val="60D81A4E"/>
    <w:rsid w:val="60D94755"/>
    <w:rsid w:val="60DA0BF8"/>
    <w:rsid w:val="60DB671F"/>
    <w:rsid w:val="60DF1D6B"/>
    <w:rsid w:val="60E24E4A"/>
    <w:rsid w:val="60EA3CA2"/>
    <w:rsid w:val="60EB4BB4"/>
    <w:rsid w:val="60F11A9E"/>
    <w:rsid w:val="60F577E0"/>
    <w:rsid w:val="61010012"/>
    <w:rsid w:val="61017934"/>
    <w:rsid w:val="61021EFD"/>
    <w:rsid w:val="61045C75"/>
    <w:rsid w:val="610C322B"/>
    <w:rsid w:val="611759A9"/>
    <w:rsid w:val="611834CF"/>
    <w:rsid w:val="6118702B"/>
    <w:rsid w:val="611E1462"/>
    <w:rsid w:val="612105D5"/>
    <w:rsid w:val="6127471F"/>
    <w:rsid w:val="612754C0"/>
    <w:rsid w:val="61291238"/>
    <w:rsid w:val="61294BB7"/>
    <w:rsid w:val="612B4FB0"/>
    <w:rsid w:val="612C016B"/>
    <w:rsid w:val="61314591"/>
    <w:rsid w:val="61380441"/>
    <w:rsid w:val="613C4296"/>
    <w:rsid w:val="614C4F26"/>
    <w:rsid w:val="61504A17"/>
    <w:rsid w:val="615A3AE7"/>
    <w:rsid w:val="616A3AE0"/>
    <w:rsid w:val="616E1341"/>
    <w:rsid w:val="6170330B"/>
    <w:rsid w:val="617D727E"/>
    <w:rsid w:val="61883090"/>
    <w:rsid w:val="619D55B4"/>
    <w:rsid w:val="61A23C3A"/>
    <w:rsid w:val="61A905CB"/>
    <w:rsid w:val="61AE5BE1"/>
    <w:rsid w:val="61AF40C9"/>
    <w:rsid w:val="61B03707"/>
    <w:rsid w:val="61BC02FE"/>
    <w:rsid w:val="61BC3E5A"/>
    <w:rsid w:val="61C379F2"/>
    <w:rsid w:val="61C60977"/>
    <w:rsid w:val="61D60C11"/>
    <w:rsid w:val="61DF7322"/>
    <w:rsid w:val="61E026E2"/>
    <w:rsid w:val="61E22C52"/>
    <w:rsid w:val="61E821B0"/>
    <w:rsid w:val="61F1723C"/>
    <w:rsid w:val="61F84AED"/>
    <w:rsid w:val="61FB4B51"/>
    <w:rsid w:val="62037CDB"/>
    <w:rsid w:val="620713E0"/>
    <w:rsid w:val="6211064A"/>
    <w:rsid w:val="62150B7D"/>
    <w:rsid w:val="621E0449"/>
    <w:rsid w:val="621E68C3"/>
    <w:rsid w:val="622121FB"/>
    <w:rsid w:val="622A34BA"/>
    <w:rsid w:val="622C3B9E"/>
    <w:rsid w:val="622C5484"/>
    <w:rsid w:val="622D4D58"/>
    <w:rsid w:val="623B11F9"/>
    <w:rsid w:val="62402CDD"/>
    <w:rsid w:val="624102C0"/>
    <w:rsid w:val="62456545"/>
    <w:rsid w:val="6249475F"/>
    <w:rsid w:val="624B51DE"/>
    <w:rsid w:val="6251055B"/>
    <w:rsid w:val="62597ADE"/>
    <w:rsid w:val="62603BD2"/>
    <w:rsid w:val="6264738A"/>
    <w:rsid w:val="626544F2"/>
    <w:rsid w:val="626A1485"/>
    <w:rsid w:val="626E7E8B"/>
    <w:rsid w:val="6272582F"/>
    <w:rsid w:val="62731D94"/>
    <w:rsid w:val="62767495"/>
    <w:rsid w:val="62835411"/>
    <w:rsid w:val="629038C3"/>
    <w:rsid w:val="62A0377C"/>
    <w:rsid w:val="62B64D4D"/>
    <w:rsid w:val="62BC7E8A"/>
    <w:rsid w:val="62C0797A"/>
    <w:rsid w:val="62CD1B21"/>
    <w:rsid w:val="62CE02E9"/>
    <w:rsid w:val="62D068AA"/>
    <w:rsid w:val="62D83CB7"/>
    <w:rsid w:val="62DA4EE0"/>
    <w:rsid w:val="62EC69C1"/>
    <w:rsid w:val="62F12662"/>
    <w:rsid w:val="62F87114"/>
    <w:rsid w:val="62FB30A8"/>
    <w:rsid w:val="63027F93"/>
    <w:rsid w:val="63057105"/>
    <w:rsid w:val="631D4DCC"/>
    <w:rsid w:val="631D6B7A"/>
    <w:rsid w:val="632624E0"/>
    <w:rsid w:val="63350368"/>
    <w:rsid w:val="633F2762"/>
    <w:rsid w:val="63402869"/>
    <w:rsid w:val="63486A9F"/>
    <w:rsid w:val="634B193A"/>
    <w:rsid w:val="634E4F86"/>
    <w:rsid w:val="6352680D"/>
    <w:rsid w:val="63536A40"/>
    <w:rsid w:val="63541865"/>
    <w:rsid w:val="63584057"/>
    <w:rsid w:val="635D341B"/>
    <w:rsid w:val="635D4FAC"/>
    <w:rsid w:val="6372336A"/>
    <w:rsid w:val="637606BD"/>
    <w:rsid w:val="63792E03"/>
    <w:rsid w:val="63972DD1"/>
    <w:rsid w:val="639D0E96"/>
    <w:rsid w:val="639F57E1"/>
    <w:rsid w:val="63A13CBF"/>
    <w:rsid w:val="63A159FD"/>
    <w:rsid w:val="63A27AA9"/>
    <w:rsid w:val="63AD6150"/>
    <w:rsid w:val="63AE3C76"/>
    <w:rsid w:val="63B5131B"/>
    <w:rsid w:val="63B514A9"/>
    <w:rsid w:val="63B55C23"/>
    <w:rsid w:val="63BE035D"/>
    <w:rsid w:val="63E1404C"/>
    <w:rsid w:val="63E42EEF"/>
    <w:rsid w:val="63E783B7"/>
    <w:rsid w:val="63E853DA"/>
    <w:rsid w:val="63EA73A4"/>
    <w:rsid w:val="63EB4ECB"/>
    <w:rsid w:val="63ED7C79"/>
    <w:rsid w:val="63EE2B91"/>
    <w:rsid w:val="63EF49BB"/>
    <w:rsid w:val="63F25A88"/>
    <w:rsid w:val="64073A9D"/>
    <w:rsid w:val="64156F42"/>
    <w:rsid w:val="641A130C"/>
    <w:rsid w:val="641B0E4B"/>
    <w:rsid w:val="641D4AED"/>
    <w:rsid w:val="641E2BAA"/>
    <w:rsid w:val="6424218B"/>
    <w:rsid w:val="6425175A"/>
    <w:rsid w:val="642B10E5"/>
    <w:rsid w:val="64303B5B"/>
    <w:rsid w:val="64322AF9"/>
    <w:rsid w:val="64487C27"/>
    <w:rsid w:val="64495FE5"/>
    <w:rsid w:val="644C161A"/>
    <w:rsid w:val="644D018C"/>
    <w:rsid w:val="645038A3"/>
    <w:rsid w:val="64542A70"/>
    <w:rsid w:val="6458542D"/>
    <w:rsid w:val="645A3903"/>
    <w:rsid w:val="645A5BAC"/>
    <w:rsid w:val="645C6E93"/>
    <w:rsid w:val="645C76B6"/>
    <w:rsid w:val="645E38EF"/>
    <w:rsid w:val="64616F3B"/>
    <w:rsid w:val="6468287D"/>
    <w:rsid w:val="646D768E"/>
    <w:rsid w:val="646E7A48"/>
    <w:rsid w:val="647153D0"/>
    <w:rsid w:val="6472739A"/>
    <w:rsid w:val="64760260"/>
    <w:rsid w:val="647B3267"/>
    <w:rsid w:val="647C3D75"/>
    <w:rsid w:val="64833355"/>
    <w:rsid w:val="6488096B"/>
    <w:rsid w:val="648D5F82"/>
    <w:rsid w:val="649015CE"/>
    <w:rsid w:val="64963088"/>
    <w:rsid w:val="64A17D10"/>
    <w:rsid w:val="64A70DF2"/>
    <w:rsid w:val="64A72DC6"/>
    <w:rsid w:val="64AE5E3B"/>
    <w:rsid w:val="64B17EC2"/>
    <w:rsid w:val="64B941CC"/>
    <w:rsid w:val="64BB664B"/>
    <w:rsid w:val="64BD6456"/>
    <w:rsid w:val="64BD6867"/>
    <w:rsid w:val="64BE438D"/>
    <w:rsid w:val="64C01EB3"/>
    <w:rsid w:val="64C612E4"/>
    <w:rsid w:val="64CD2E6D"/>
    <w:rsid w:val="64D31757"/>
    <w:rsid w:val="64D37E39"/>
    <w:rsid w:val="64DD469E"/>
    <w:rsid w:val="64E21E2A"/>
    <w:rsid w:val="64E43618"/>
    <w:rsid w:val="64EA775D"/>
    <w:rsid w:val="64EC0EFA"/>
    <w:rsid w:val="64F0304B"/>
    <w:rsid w:val="64F1206D"/>
    <w:rsid w:val="64F20549"/>
    <w:rsid w:val="64F2562B"/>
    <w:rsid w:val="64F74F29"/>
    <w:rsid w:val="65043C34"/>
    <w:rsid w:val="65085608"/>
    <w:rsid w:val="650C334B"/>
    <w:rsid w:val="650C6EA7"/>
    <w:rsid w:val="651346D9"/>
    <w:rsid w:val="651B4274"/>
    <w:rsid w:val="651B4F6E"/>
    <w:rsid w:val="65220379"/>
    <w:rsid w:val="65276A93"/>
    <w:rsid w:val="652B6A8A"/>
    <w:rsid w:val="65347F69"/>
    <w:rsid w:val="65360CBB"/>
    <w:rsid w:val="653E4426"/>
    <w:rsid w:val="6545060B"/>
    <w:rsid w:val="654B3E73"/>
    <w:rsid w:val="654E74BF"/>
    <w:rsid w:val="655962D4"/>
    <w:rsid w:val="655B7E2E"/>
    <w:rsid w:val="655F01DD"/>
    <w:rsid w:val="655F16CC"/>
    <w:rsid w:val="655F347A"/>
    <w:rsid w:val="65680AED"/>
    <w:rsid w:val="65681823"/>
    <w:rsid w:val="656D07F8"/>
    <w:rsid w:val="65750EF0"/>
    <w:rsid w:val="65752381"/>
    <w:rsid w:val="657611B8"/>
    <w:rsid w:val="65813C15"/>
    <w:rsid w:val="65896749"/>
    <w:rsid w:val="658B24C1"/>
    <w:rsid w:val="658E3D60"/>
    <w:rsid w:val="65962C14"/>
    <w:rsid w:val="65A13A93"/>
    <w:rsid w:val="65A23D53"/>
    <w:rsid w:val="65A74E21"/>
    <w:rsid w:val="65AC2438"/>
    <w:rsid w:val="65AC729B"/>
    <w:rsid w:val="65B06CE3"/>
    <w:rsid w:val="65B44B9A"/>
    <w:rsid w:val="65CE3D15"/>
    <w:rsid w:val="65D242C5"/>
    <w:rsid w:val="65D26342"/>
    <w:rsid w:val="65D73958"/>
    <w:rsid w:val="65DD5527"/>
    <w:rsid w:val="65DF0A5F"/>
    <w:rsid w:val="65E329B5"/>
    <w:rsid w:val="65EE6398"/>
    <w:rsid w:val="65F31E15"/>
    <w:rsid w:val="65F54093"/>
    <w:rsid w:val="65F938CF"/>
    <w:rsid w:val="65FC2492"/>
    <w:rsid w:val="660109D5"/>
    <w:rsid w:val="6602511F"/>
    <w:rsid w:val="660364FC"/>
    <w:rsid w:val="660A60F8"/>
    <w:rsid w:val="660B3602"/>
    <w:rsid w:val="660D4A4B"/>
    <w:rsid w:val="660E4EA0"/>
    <w:rsid w:val="660E6C4E"/>
    <w:rsid w:val="661A3845"/>
    <w:rsid w:val="6621433B"/>
    <w:rsid w:val="6624042A"/>
    <w:rsid w:val="66306773"/>
    <w:rsid w:val="66344907"/>
    <w:rsid w:val="66344D3E"/>
    <w:rsid w:val="66426252"/>
    <w:rsid w:val="6648015B"/>
    <w:rsid w:val="66495ED8"/>
    <w:rsid w:val="664C6B61"/>
    <w:rsid w:val="664D7777"/>
    <w:rsid w:val="665A015E"/>
    <w:rsid w:val="666F593F"/>
    <w:rsid w:val="667149FB"/>
    <w:rsid w:val="66794A10"/>
    <w:rsid w:val="667C62AE"/>
    <w:rsid w:val="66876D20"/>
    <w:rsid w:val="668E08CF"/>
    <w:rsid w:val="66925AD1"/>
    <w:rsid w:val="66967370"/>
    <w:rsid w:val="669B5DDA"/>
    <w:rsid w:val="66A27570"/>
    <w:rsid w:val="66AC1E92"/>
    <w:rsid w:val="66AD69B5"/>
    <w:rsid w:val="66AD7D14"/>
    <w:rsid w:val="66B37FED"/>
    <w:rsid w:val="66BB049A"/>
    <w:rsid w:val="66C20165"/>
    <w:rsid w:val="66C37A39"/>
    <w:rsid w:val="66CB0163"/>
    <w:rsid w:val="66D67244"/>
    <w:rsid w:val="66D71736"/>
    <w:rsid w:val="66E97CE4"/>
    <w:rsid w:val="66F145A6"/>
    <w:rsid w:val="66FE4F15"/>
    <w:rsid w:val="67027D8E"/>
    <w:rsid w:val="670F2C7E"/>
    <w:rsid w:val="67107BA4"/>
    <w:rsid w:val="671B04DF"/>
    <w:rsid w:val="67236770"/>
    <w:rsid w:val="67242BCD"/>
    <w:rsid w:val="672F488E"/>
    <w:rsid w:val="67362901"/>
    <w:rsid w:val="6739419F"/>
    <w:rsid w:val="673F2C72"/>
    <w:rsid w:val="674412F8"/>
    <w:rsid w:val="6744501E"/>
    <w:rsid w:val="6749577F"/>
    <w:rsid w:val="67524FE5"/>
    <w:rsid w:val="67547394"/>
    <w:rsid w:val="675A343C"/>
    <w:rsid w:val="676C6322"/>
    <w:rsid w:val="67760F4F"/>
    <w:rsid w:val="67786A75"/>
    <w:rsid w:val="677B6196"/>
    <w:rsid w:val="677D667D"/>
    <w:rsid w:val="67826BDE"/>
    <w:rsid w:val="67891733"/>
    <w:rsid w:val="67896ED4"/>
    <w:rsid w:val="678B52EF"/>
    <w:rsid w:val="67973300"/>
    <w:rsid w:val="67A400BF"/>
    <w:rsid w:val="67A725D7"/>
    <w:rsid w:val="67AE06E9"/>
    <w:rsid w:val="67AF1E61"/>
    <w:rsid w:val="67B04660"/>
    <w:rsid w:val="67B13D35"/>
    <w:rsid w:val="67B1772D"/>
    <w:rsid w:val="67B35CFF"/>
    <w:rsid w:val="67B37AAD"/>
    <w:rsid w:val="67BB4BB4"/>
    <w:rsid w:val="67BC6533"/>
    <w:rsid w:val="67C41CBB"/>
    <w:rsid w:val="67CE48E7"/>
    <w:rsid w:val="67D758DA"/>
    <w:rsid w:val="67DF0AA1"/>
    <w:rsid w:val="67E433FF"/>
    <w:rsid w:val="67EC5907"/>
    <w:rsid w:val="67F03A23"/>
    <w:rsid w:val="67F73E3E"/>
    <w:rsid w:val="67F85E08"/>
    <w:rsid w:val="680456B0"/>
    <w:rsid w:val="68053C27"/>
    <w:rsid w:val="68111210"/>
    <w:rsid w:val="68112FCA"/>
    <w:rsid w:val="68120C78"/>
    <w:rsid w:val="68156BD4"/>
    <w:rsid w:val="682B13A4"/>
    <w:rsid w:val="682C7077"/>
    <w:rsid w:val="68326D82"/>
    <w:rsid w:val="68336E40"/>
    <w:rsid w:val="683F3A37"/>
    <w:rsid w:val="684014B1"/>
    <w:rsid w:val="684479D5"/>
    <w:rsid w:val="6845219F"/>
    <w:rsid w:val="684734A4"/>
    <w:rsid w:val="6853303E"/>
    <w:rsid w:val="685968A7"/>
    <w:rsid w:val="685A43CD"/>
    <w:rsid w:val="685D7846"/>
    <w:rsid w:val="68654258"/>
    <w:rsid w:val="68696EDC"/>
    <w:rsid w:val="68752CEE"/>
    <w:rsid w:val="6884144A"/>
    <w:rsid w:val="68863414"/>
    <w:rsid w:val="688A52EC"/>
    <w:rsid w:val="688F22C8"/>
    <w:rsid w:val="68906041"/>
    <w:rsid w:val="689E7173"/>
    <w:rsid w:val="689F73B6"/>
    <w:rsid w:val="68A32539"/>
    <w:rsid w:val="68AA0EB0"/>
    <w:rsid w:val="68AA0FE1"/>
    <w:rsid w:val="68AF3DCD"/>
    <w:rsid w:val="68B946DC"/>
    <w:rsid w:val="68C1444C"/>
    <w:rsid w:val="68C42A6D"/>
    <w:rsid w:val="68C61A62"/>
    <w:rsid w:val="68C77CB4"/>
    <w:rsid w:val="68C83A2C"/>
    <w:rsid w:val="68CD1043"/>
    <w:rsid w:val="68DB3760"/>
    <w:rsid w:val="68DC1286"/>
    <w:rsid w:val="68E542A7"/>
    <w:rsid w:val="68EA5751"/>
    <w:rsid w:val="69010354"/>
    <w:rsid w:val="69020CEC"/>
    <w:rsid w:val="69031659"/>
    <w:rsid w:val="6909506F"/>
    <w:rsid w:val="690B0C63"/>
    <w:rsid w:val="690B25F2"/>
    <w:rsid w:val="69124CA8"/>
    <w:rsid w:val="69136070"/>
    <w:rsid w:val="69143783"/>
    <w:rsid w:val="691959A0"/>
    <w:rsid w:val="691E189E"/>
    <w:rsid w:val="6922410C"/>
    <w:rsid w:val="692376AD"/>
    <w:rsid w:val="692B6F9A"/>
    <w:rsid w:val="69326925"/>
    <w:rsid w:val="69351AA8"/>
    <w:rsid w:val="693B7D5A"/>
    <w:rsid w:val="693D6EB4"/>
    <w:rsid w:val="693F1D4C"/>
    <w:rsid w:val="69423318"/>
    <w:rsid w:val="695A0B28"/>
    <w:rsid w:val="696F55C2"/>
    <w:rsid w:val="69756114"/>
    <w:rsid w:val="69783816"/>
    <w:rsid w:val="69811F27"/>
    <w:rsid w:val="699F478D"/>
    <w:rsid w:val="69AF5F2D"/>
    <w:rsid w:val="69B273EE"/>
    <w:rsid w:val="69CB5582"/>
    <w:rsid w:val="69CB581E"/>
    <w:rsid w:val="69CF40DE"/>
    <w:rsid w:val="69D06970"/>
    <w:rsid w:val="69D12FAB"/>
    <w:rsid w:val="69D602A8"/>
    <w:rsid w:val="69DB153D"/>
    <w:rsid w:val="69DE22C1"/>
    <w:rsid w:val="69E14DA6"/>
    <w:rsid w:val="69EE4AD9"/>
    <w:rsid w:val="69F82E6A"/>
    <w:rsid w:val="69FB4581"/>
    <w:rsid w:val="6A022F6E"/>
    <w:rsid w:val="6A075683"/>
    <w:rsid w:val="6A0C7949"/>
    <w:rsid w:val="6A0F43B7"/>
    <w:rsid w:val="6A1A691F"/>
    <w:rsid w:val="6A270365"/>
    <w:rsid w:val="6A2C45BE"/>
    <w:rsid w:val="6A3526CB"/>
    <w:rsid w:val="6A3F7D1E"/>
    <w:rsid w:val="6A4175F2"/>
    <w:rsid w:val="6A45374C"/>
    <w:rsid w:val="6A4B00E6"/>
    <w:rsid w:val="6A4B0471"/>
    <w:rsid w:val="6A5012FB"/>
    <w:rsid w:val="6A5A6906"/>
    <w:rsid w:val="6A667059"/>
    <w:rsid w:val="6A6908F7"/>
    <w:rsid w:val="6A6B7926"/>
    <w:rsid w:val="6A6D6639"/>
    <w:rsid w:val="6A6E2AA9"/>
    <w:rsid w:val="6A6F632C"/>
    <w:rsid w:val="6A7F011B"/>
    <w:rsid w:val="6A883473"/>
    <w:rsid w:val="6A885221"/>
    <w:rsid w:val="6A8C423E"/>
    <w:rsid w:val="6A8F4802"/>
    <w:rsid w:val="6A8F6861"/>
    <w:rsid w:val="6A95793E"/>
    <w:rsid w:val="6AD62685"/>
    <w:rsid w:val="6ADB0EDF"/>
    <w:rsid w:val="6ADC556D"/>
    <w:rsid w:val="6AE939E5"/>
    <w:rsid w:val="6AEC1C54"/>
    <w:rsid w:val="6AED1528"/>
    <w:rsid w:val="6AF24D91"/>
    <w:rsid w:val="6B01111E"/>
    <w:rsid w:val="6B014E9A"/>
    <w:rsid w:val="6B0542A1"/>
    <w:rsid w:val="6B0B1A2E"/>
    <w:rsid w:val="6B0C16AE"/>
    <w:rsid w:val="6B0D712F"/>
    <w:rsid w:val="6B0F2632"/>
    <w:rsid w:val="6B1271E1"/>
    <w:rsid w:val="6B1747F7"/>
    <w:rsid w:val="6B1B6095"/>
    <w:rsid w:val="6B2667E8"/>
    <w:rsid w:val="6B2C2051"/>
    <w:rsid w:val="6B423186"/>
    <w:rsid w:val="6B451364"/>
    <w:rsid w:val="6B4F21E3"/>
    <w:rsid w:val="6B5670CE"/>
    <w:rsid w:val="6B59096C"/>
    <w:rsid w:val="6B6C68F1"/>
    <w:rsid w:val="6B6F1F3D"/>
    <w:rsid w:val="6B721A2E"/>
    <w:rsid w:val="6B7632DB"/>
    <w:rsid w:val="6B777044"/>
    <w:rsid w:val="6B7B74A0"/>
    <w:rsid w:val="6B8579B3"/>
    <w:rsid w:val="6B896D65"/>
    <w:rsid w:val="6B8A6D77"/>
    <w:rsid w:val="6B8D6867"/>
    <w:rsid w:val="6B923E7E"/>
    <w:rsid w:val="6B9B71D6"/>
    <w:rsid w:val="6BA3608B"/>
    <w:rsid w:val="6BA63E2B"/>
    <w:rsid w:val="6BAA566B"/>
    <w:rsid w:val="6BBDB115"/>
    <w:rsid w:val="6BC32289"/>
    <w:rsid w:val="6BC56001"/>
    <w:rsid w:val="6BD26964"/>
    <w:rsid w:val="6BDF7488"/>
    <w:rsid w:val="6BE566A3"/>
    <w:rsid w:val="6BEE37AA"/>
    <w:rsid w:val="6BEF4DCA"/>
    <w:rsid w:val="6BEF7AD5"/>
    <w:rsid w:val="6BFA47EC"/>
    <w:rsid w:val="6C027255"/>
    <w:rsid w:val="6C07486C"/>
    <w:rsid w:val="6C1274B0"/>
    <w:rsid w:val="6C17274D"/>
    <w:rsid w:val="6C1762A9"/>
    <w:rsid w:val="6C1A459F"/>
    <w:rsid w:val="6C20148A"/>
    <w:rsid w:val="6C276CBC"/>
    <w:rsid w:val="6C2B055A"/>
    <w:rsid w:val="6C3A689C"/>
    <w:rsid w:val="6C3F7B62"/>
    <w:rsid w:val="6C4C19E8"/>
    <w:rsid w:val="6C586E75"/>
    <w:rsid w:val="6C64581A"/>
    <w:rsid w:val="6C6475C8"/>
    <w:rsid w:val="6C6509E5"/>
    <w:rsid w:val="6C6677E4"/>
    <w:rsid w:val="6C715150"/>
    <w:rsid w:val="6C7B7004"/>
    <w:rsid w:val="6C8C4C6F"/>
    <w:rsid w:val="6C9360FF"/>
    <w:rsid w:val="6C946BA7"/>
    <w:rsid w:val="6C9F6852"/>
    <w:rsid w:val="6CA64085"/>
    <w:rsid w:val="6CB0280D"/>
    <w:rsid w:val="6CBA7B30"/>
    <w:rsid w:val="6CBB3973"/>
    <w:rsid w:val="6CBE13CE"/>
    <w:rsid w:val="6CC12C6C"/>
    <w:rsid w:val="6CC400FE"/>
    <w:rsid w:val="6CC42F7D"/>
    <w:rsid w:val="6CC61123"/>
    <w:rsid w:val="6CC61D04"/>
    <w:rsid w:val="6CC85207"/>
    <w:rsid w:val="6CC94334"/>
    <w:rsid w:val="6CD15B16"/>
    <w:rsid w:val="6CDB1F80"/>
    <w:rsid w:val="6CDD2328"/>
    <w:rsid w:val="6CDE411D"/>
    <w:rsid w:val="6CE40709"/>
    <w:rsid w:val="6CF03552"/>
    <w:rsid w:val="6CF230C5"/>
    <w:rsid w:val="6CF50B68"/>
    <w:rsid w:val="6CF546C4"/>
    <w:rsid w:val="6CF56FD0"/>
    <w:rsid w:val="6CF92406"/>
    <w:rsid w:val="6CFB475C"/>
    <w:rsid w:val="6CFF14BF"/>
    <w:rsid w:val="6CFF3162"/>
    <w:rsid w:val="6CFFFBD2"/>
    <w:rsid w:val="6D0860A6"/>
    <w:rsid w:val="6D0C7C9A"/>
    <w:rsid w:val="6D0D417B"/>
    <w:rsid w:val="6D0F7B79"/>
    <w:rsid w:val="6D193D0C"/>
    <w:rsid w:val="6D195F0B"/>
    <w:rsid w:val="6D275220"/>
    <w:rsid w:val="6D283B29"/>
    <w:rsid w:val="6D2A25C0"/>
    <w:rsid w:val="6D317A8C"/>
    <w:rsid w:val="6D325918"/>
    <w:rsid w:val="6D365409"/>
    <w:rsid w:val="6D3714F5"/>
    <w:rsid w:val="6D372F2F"/>
    <w:rsid w:val="6D3B6481"/>
    <w:rsid w:val="6D3E250F"/>
    <w:rsid w:val="6D417909"/>
    <w:rsid w:val="6D4F63E5"/>
    <w:rsid w:val="6D535CD9"/>
    <w:rsid w:val="6D5B4E6F"/>
    <w:rsid w:val="6D661E07"/>
    <w:rsid w:val="6D741A8D"/>
    <w:rsid w:val="6D793547"/>
    <w:rsid w:val="6D7952F5"/>
    <w:rsid w:val="6D7D4DE5"/>
    <w:rsid w:val="6D8141AA"/>
    <w:rsid w:val="6D853540"/>
    <w:rsid w:val="6D9B526C"/>
    <w:rsid w:val="6D9C4931"/>
    <w:rsid w:val="6DA02882"/>
    <w:rsid w:val="6DA71E62"/>
    <w:rsid w:val="6DA74F3C"/>
    <w:rsid w:val="6DB85E1E"/>
    <w:rsid w:val="6DB90A69"/>
    <w:rsid w:val="6DC140F6"/>
    <w:rsid w:val="6DCA78FF"/>
    <w:rsid w:val="6DD10F6F"/>
    <w:rsid w:val="6DD30EA9"/>
    <w:rsid w:val="6DD57146"/>
    <w:rsid w:val="6DDB184C"/>
    <w:rsid w:val="6DE36C13"/>
    <w:rsid w:val="6DE54DB4"/>
    <w:rsid w:val="6DEF4C69"/>
    <w:rsid w:val="6DEF6CFC"/>
    <w:rsid w:val="6DEFB6A5"/>
    <w:rsid w:val="6DF350A8"/>
    <w:rsid w:val="6DF67E77"/>
    <w:rsid w:val="6DFE39D6"/>
    <w:rsid w:val="6E032E11"/>
    <w:rsid w:val="6E1938AF"/>
    <w:rsid w:val="6E1942CA"/>
    <w:rsid w:val="6E1A1C88"/>
    <w:rsid w:val="6E1D0376"/>
    <w:rsid w:val="6E1D3ED3"/>
    <w:rsid w:val="6E1F57B8"/>
    <w:rsid w:val="6E21673D"/>
    <w:rsid w:val="6E231C40"/>
    <w:rsid w:val="6E2F12D6"/>
    <w:rsid w:val="6E3034D4"/>
    <w:rsid w:val="6E372E5F"/>
    <w:rsid w:val="6E3D05EC"/>
    <w:rsid w:val="6E3D1054"/>
    <w:rsid w:val="6E3D1350"/>
    <w:rsid w:val="6E3E59ED"/>
    <w:rsid w:val="6E4C5D0B"/>
    <w:rsid w:val="6E4D5003"/>
    <w:rsid w:val="6E573888"/>
    <w:rsid w:val="6E601AA5"/>
    <w:rsid w:val="6E657628"/>
    <w:rsid w:val="6E6733A0"/>
    <w:rsid w:val="6E675BAD"/>
    <w:rsid w:val="6E753D0F"/>
    <w:rsid w:val="6E7B6E4B"/>
    <w:rsid w:val="6E8C2E06"/>
    <w:rsid w:val="6E930639"/>
    <w:rsid w:val="6E961E78"/>
    <w:rsid w:val="6EA2087C"/>
    <w:rsid w:val="6EA66996"/>
    <w:rsid w:val="6EAB7730"/>
    <w:rsid w:val="6EAC089F"/>
    <w:rsid w:val="6EAE474E"/>
    <w:rsid w:val="6EB1286D"/>
    <w:rsid w:val="6EB32A89"/>
    <w:rsid w:val="6EB8009F"/>
    <w:rsid w:val="6EC05342"/>
    <w:rsid w:val="6EC802E2"/>
    <w:rsid w:val="6EC906D5"/>
    <w:rsid w:val="6ECD3B4B"/>
    <w:rsid w:val="6ECD58F9"/>
    <w:rsid w:val="6ED1305E"/>
    <w:rsid w:val="6EE060A1"/>
    <w:rsid w:val="6EF72976"/>
    <w:rsid w:val="6EFA2466"/>
    <w:rsid w:val="6EFA4214"/>
    <w:rsid w:val="6EFB5B0A"/>
    <w:rsid w:val="6EFF7F3C"/>
    <w:rsid w:val="6F08510F"/>
    <w:rsid w:val="6F0E5196"/>
    <w:rsid w:val="6F0E5640"/>
    <w:rsid w:val="6F116045"/>
    <w:rsid w:val="6F12155D"/>
    <w:rsid w:val="6F162691"/>
    <w:rsid w:val="6F1B2B08"/>
    <w:rsid w:val="6F1C062E"/>
    <w:rsid w:val="6F2474E3"/>
    <w:rsid w:val="6F2567B7"/>
    <w:rsid w:val="6F3040D9"/>
    <w:rsid w:val="6F3239AE"/>
    <w:rsid w:val="6F3911E0"/>
    <w:rsid w:val="6F3C490B"/>
    <w:rsid w:val="6F3D018E"/>
    <w:rsid w:val="6F4831D1"/>
    <w:rsid w:val="6F5E29F5"/>
    <w:rsid w:val="6F616041"/>
    <w:rsid w:val="6F63BAFC"/>
    <w:rsid w:val="6F6F1936"/>
    <w:rsid w:val="6F755D6A"/>
    <w:rsid w:val="6F795A80"/>
    <w:rsid w:val="6F7A7103"/>
    <w:rsid w:val="6F7BE2D9"/>
    <w:rsid w:val="6F7F9000"/>
    <w:rsid w:val="6F800BBD"/>
    <w:rsid w:val="6F87574E"/>
    <w:rsid w:val="6F9817A2"/>
    <w:rsid w:val="6F9B2726"/>
    <w:rsid w:val="6F9E7185"/>
    <w:rsid w:val="6FAB29C1"/>
    <w:rsid w:val="6FAF3250"/>
    <w:rsid w:val="6FB0889D"/>
    <w:rsid w:val="6FBE8A27"/>
    <w:rsid w:val="6FC24E8B"/>
    <w:rsid w:val="6FC52A74"/>
    <w:rsid w:val="6FC82564"/>
    <w:rsid w:val="6FCB457A"/>
    <w:rsid w:val="6FD094B9"/>
    <w:rsid w:val="6FD857F8"/>
    <w:rsid w:val="6FD93890"/>
    <w:rsid w:val="6FDA05C9"/>
    <w:rsid w:val="6FDB505E"/>
    <w:rsid w:val="6FE23626"/>
    <w:rsid w:val="6FF3138F"/>
    <w:rsid w:val="6FF869A5"/>
    <w:rsid w:val="6FFB0243"/>
    <w:rsid w:val="6FFB438B"/>
    <w:rsid w:val="6FFD2BE6"/>
    <w:rsid w:val="6FFD4F28"/>
    <w:rsid w:val="6FFF66A7"/>
    <w:rsid w:val="6FFF7360"/>
    <w:rsid w:val="6FFF7986"/>
    <w:rsid w:val="6FFF8178"/>
    <w:rsid w:val="6FFF8EB5"/>
    <w:rsid w:val="6FFFC03B"/>
    <w:rsid w:val="70001CFE"/>
    <w:rsid w:val="70027824"/>
    <w:rsid w:val="700673CD"/>
    <w:rsid w:val="70086079"/>
    <w:rsid w:val="70092D5A"/>
    <w:rsid w:val="70161521"/>
    <w:rsid w:val="701800D2"/>
    <w:rsid w:val="70194B6E"/>
    <w:rsid w:val="701B1D7B"/>
    <w:rsid w:val="703933FE"/>
    <w:rsid w:val="703D3F4C"/>
    <w:rsid w:val="70400CB6"/>
    <w:rsid w:val="70423F1C"/>
    <w:rsid w:val="705067E1"/>
    <w:rsid w:val="70580172"/>
    <w:rsid w:val="705D27E4"/>
    <w:rsid w:val="707029DF"/>
    <w:rsid w:val="70707286"/>
    <w:rsid w:val="70792114"/>
    <w:rsid w:val="708756DC"/>
    <w:rsid w:val="708A66AF"/>
    <w:rsid w:val="70931DD1"/>
    <w:rsid w:val="70981F36"/>
    <w:rsid w:val="70992649"/>
    <w:rsid w:val="709B03FF"/>
    <w:rsid w:val="709C24CA"/>
    <w:rsid w:val="709C7156"/>
    <w:rsid w:val="709F4552"/>
    <w:rsid w:val="70A02B99"/>
    <w:rsid w:val="70A906E5"/>
    <w:rsid w:val="70AD0C67"/>
    <w:rsid w:val="70B467D2"/>
    <w:rsid w:val="70BA3C5B"/>
    <w:rsid w:val="70C40F7D"/>
    <w:rsid w:val="70CA03C5"/>
    <w:rsid w:val="70D32F6E"/>
    <w:rsid w:val="70D6480D"/>
    <w:rsid w:val="70DF1913"/>
    <w:rsid w:val="70E33D42"/>
    <w:rsid w:val="70ED18BA"/>
    <w:rsid w:val="70F80C27"/>
    <w:rsid w:val="70FC0717"/>
    <w:rsid w:val="70FD164D"/>
    <w:rsid w:val="70FF0C77"/>
    <w:rsid w:val="710C4966"/>
    <w:rsid w:val="710E5E8B"/>
    <w:rsid w:val="710F390D"/>
    <w:rsid w:val="71125845"/>
    <w:rsid w:val="711C0290"/>
    <w:rsid w:val="711F7F62"/>
    <w:rsid w:val="71275AA2"/>
    <w:rsid w:val="71341D27"/>
    <w:rsid w:val="71457DBB"/>
    <w:rsid w:val="714D4ACF"/>
    <w:rsid w:val="71500A63"/>
    <w:rsid w:val="715414DE"/>
    <w:rsid w:val="71542765"/>
    <w:rsid w:val="7166029D"/>
    <w:rsid w:val="71663DE2"/>
    <w:rsid w:val="716D7E90"/>
    <w:rsid w:val="71722787"/>
    <w:rsid w:val="717958C4"/>
    <w:rsid w:val="717B3F21"/>
    <w:rsid w:val="717FAE0D"/>
    <w:rsid w:val="71804EA4"/>
    <w:rsid w:val="718F3339"/>
    <w:rsid w:val="71967069"/>
    <w:rsid w:val="71973F9C"/>
    <w:rsid w:val="719E17CE"/>
    <w:rsid w:val="71A5490B"/>
    <w:rsid w:val="71AD37BF"/>
    <w:rsid w:val="71B0648B"/>
    <w:rsid w:val="71B96B9D"/>
    <w:rsid w:val="71BD17DB"/>
    <w:rsid w:val="71C11019"/>
    <w:rsid w:val="71C130F2"/>
    <w:rsid w:val="71C1726B"/>
    <w:rsid w:val="71C6563A"/>
    <w:rsid w:val="71CF1988"/>
    <w:rsid w:val="71D67E52"/>
    <w:rsid w:val="71D77AD2"/>
    <w:rsid w:val="71D85554"/>
    <w:rsid w:val="71DB032D"/>
    <w:rsid w:val="71DE64D4"/>
    <w:rsid w:val="71E03B95"/>
    <w:rsid w:val="71E07D90"/>
    <w:rsid w:val="71E76CD1"/>
    <w:rsid w:val="71ED7A68"/>
    <w:rsid w:val="71EE54F9"/>
    <w:rsid w:val="71F1067C"/>
    <w:rsid w:val="71F3088C"/>
    <w:rsid w:val="72000C97"/>
    <w:rsid w:val="720158B9"/>
    <w:rsid w:val="72070621"/>
    <w:rsid w:val="720C2BDC"/>
    <w:rsid w:val="721B697B"/>
    <w:rsid w:val="72200A6A"/>
    <w:rsid w:val="722717C4"/>
    <w:rsid w:val="72281098"/>
    <w:rsid w:val="7229553C"/>
    <w:rsid w:val="723B0DCB"/>
    <w:rsid w:val="723E657D"/>
    <w:rsid w:val="72401A80"/>
    <w:rsid w:val="724211B7"/>
    <w:rsid w:val="7249173A"/>
    <w:rsid w:val="72581C1D"/>
    <w:rsid w:val="725D3437"/>
    <w:rsid w:val="72617A36"/>
    <w:rsid w:val="727453D2"/>
    <w:rsid w:val="7278201F"/>
    <w:rsid w:val="728564EA"/>
    <w:rsid w:val="728946B0"/>
    <w:rsid w:val="72895378"/>
    <w:rsid w:val="728A3B01"/>
    <w:rsid w:val="728F2419"/>
    <w:rsid w:val="72945CA0"/>
    <w:rsid w:val="729624A5"/>
    <w:rsid w:val="72A1574A"/>
    <w:rsid w:val="72A417A5"/>
    <w:rsid w:val="72A5093A"/>
    <w:rsid w:val="72B03567"/>
    <w:rsid w:val="72C15774"/>
    <w:rsid w:val="72C6338C"/>
    <w:rsid w:val="72CA3BE3"/>
    <w:rsid w:val="72CD12BC"/>
    <w:rsid w:val="72DF6D78"/>
    <w:rsid w:val="72E94CCB"/>
    <w:rsid w:val="72EC1B99"/>
    <w:rsid w:val="72ED761A"/>
    <w:rsid w:val="72FA0C86"/>
    <w:rsid w:val="73065FC6"/>
    <w:rsid w:val="73076EFF"/>
    <w:rsid w:val="73125FD0"/>
    <w:rsid w:val="7315786E"/>
    <w:rsid w:val="731D6723"/>
    <w:rsid w:val="73216213"/>
    <w:rsid w:val="732F5B05"/>
    <w:rsid w:val="73304D18"/>
    <w:rsid w:val="73374D00"/>
    <w:rsid w:val="733D289D"/>
    <w:rsid w:val="733E5017"/>
    <w:rsid w:val="733E99AA"/>
    <w:rsid w:val="734112A3"/>
    <w:rsid w:val="7343262D"/>
    <w:rsid w:val="734737A0"/>
    <w:rsid w:val="73487C44"/>
    <w:rsid w:val="734973DD"/>
    <w:rsid w:val="734B5436"/>
    <w:rsid w:val="734D525A"/>
    <w:rsid w:val="73530396"/>
    <w:rsid w:val="735859AD"/>
    <w:rsid w:val="735932CF"/>
    <w:rsid w:val="735B5323"/>
    <w:rsid w:val="73636360"/>
    <w:rsid w:val="736600CA"/>
    <w:rsid w:val="7366143E"/>
    <w:rsid w:val="73697BBA"/>
    <w:rsid w:val="736B376C"/>
    <w:rsid w:val="736F5C2F"/>
    <w:rsid w:val="7375030D"/>
    <w:rsid w:val="738B621F"/>
    <w:rsid w:val="738C409C"/>
    <w:rsid w:val="738E153C"/>
    <w:rsid w:val="73927111"/>
    <w:rsid w:val="739428F8"/>
    <w:rsid w:val="73944C37"/>
    <w:rsid w:val="73977AB3"/>
    <w:rsid w:val="739E67ED"/>
    <w:rsid w:val="73AC41D5"/>
    <w:rsid w:val="73AC6754"/>
    <w:rsid w:val="73B01345"/>
    <w:rsid w:val="73B250BD"/>
    <w:rsid w:val="73B9469D"/>
    <w:rsid w:val="73BC577A"/>
    <w:rsid w:val="73C053F4"/>
    <w:rsid w:val="73C179F6"/>
    <w:rsid w:val="73C372CA"/>
    <w:rsid w:val="73C70602"/>
    <w:rsid w:val="73C90E07"/>
    <w:rsid w:val="73CA2B30"/>
    <w:rsid w:val="73CB617F"/>
    <w:rsid w:val="73CD1EF7"/>
    <w:rsid w:val="73D03795"/>
    <w:rsid w:val="73D3E98D"/>
    <w:rsid w:val="73D75019"/>
    <w:rsid w:val="73DE0228"/>
    <w:rsid w:val="73DF5CA9"/>
    <w:rsid w:val="73E00E2F"/>
    <w:rsid w:val="73E334C8"/>
    <w:rsid w:val="73E9224C"/>
    <w:rsid w:val="73EF1E6D"/>
    <w:rsid w:val="73F0057A"/>
    <w:rsid w:val="73F26EC8"/>
    <w:rsid w:val="73F310C6"/>
    <w:rsid w:val="73F43927"/>
    <w:rsid w:val="73FF0E05"/>
    <w:rsid w:val="73FF8E82"/>
    <w:rsid w:val="74003C5F"/>
    <w:rsid w:val="74065409"/>
    <w:rsid w:val="7408106C"/>
    <w:rsid w:val="740A4074"/>
    <w:rsid w:val="740D54F4"/>
    <w:rsid w:val="740E2F75"/>
    <w:rsid w:val="741C7D0C"/>
    <w:rsid w:val="741E5919"/>
    <w:rsid w:val="7428537F"/>
    <w:rsid w:val="742C1313"/>
    <w:rsid w:val="74393A30"/>
    <w:rsid w:val="743B4D3E"/>
    <w:rsid w:val="74404DBF"/>
    <w:rsid w:val="744530CF"/>
    <w:rsid w:val="74454183"/>
    <w:rsid w:val="74512609"/>
    <w:rsid w:val="7451463C"/>
    <w:rsid w:val="745201E6"/>
    <w:rsid w:val="745B7503"/>
    <w:rsid w:val="745E5245"/>
    <w:rsid w:val="745E6DA9"/>
    <w:rsid w:val="74675EA7"/>
    <w:rsid w:val="748436FE"/>
    <w:rsid w:val="74890514"/>
    <w:rsid w:val="748E25CA"/>
    <w:rsid w:val="74964153"/>
    <w:rsid w:val="749A7D0E"/>
    <w:rsid w:val="74A17F65"/>
    <w:rsid w:val="74A72748"/>
    <w:rsid w:val="74B46F86"/>
    <w:rsid w:val="74B66E2F"/>
    <w:rsid w:val="74BB2697"/>
    <w:rsid w:val="74BD01BD"/>
    <w:rsid w:val="74BE1A94"/>
    <w:rsid w:val="74D05231"/>
    <w:rsid w:val="74DA7670"/>
    <w:rsid w:val="74DD0860"/>
    <w:rsid w:val="74DF53AE"/>
    <w:rsid w:val="74E53270"/>
    <w:rsid w:val="74E7523A"/>
    <w:rsid w:val="74E8615B"/>
    <w:rsid w:val="74F00593"/>
    <w:rsid w:val="7506350D"/>
    <w:rsid w:val="75080C0F"/>
    <w:rsid w:val="75107E41"/>
    <w:rsid w:val="751F2C26"/>
    <w:rsid w:val="75263FB5"/>
    <w:rsid w:val="75387844"/>
    <w:rsid w:val="753A7A60"/>
    <w:rsid w:val="754C32EF"/>
    <w:rsid w:val="754E0E15"/>
    <w:rsid w:val="75502DDF"/>
    <w:rsid w:val="75552540"/>
    <w:rsid w:val="75585F01"/>
    <w:rsid w:val="755C1784"/>
    <w:rsid w:val="755F3023"/>
    <w:rsid w:val="75610B49"/>
    <w:rsid w:val="75625E25"/>
    <w:rsid w:val="75703482"/>
    <w:rsid w:val="757445DC"/>
    <w:rsid w:val="75790588"/>
    <w:rsid w:val="757A1C0A"/>
    <w:rsid w:val="757F1917"/>
    <w:rsid w:val="758075D4"/>
    <w:rsid w:val="7583635A"/>
    <w:rsid w:val="758827E2"/>
    <w:rsid w:val="7591502E"/>
    <w:rsid w:val="759251A6"/>
    <w:rsid w:val="75932CCC"/>
    <w:rsid w:val="75970A0E"/>
    <w:rsid w:val="75A1363B"/>
    <w:rsid w:val="75A373B3"/>
    <w:rsid w:val="75BB0F5C"/>
    <w:rsid w:val="75C15A8B"/>
    <w:rsid w:val="75C335B1"/>
    <w:rsid w:val="75C630A2"/>
    <w:rsid w:val="75C65B4A"/>
    <w:rsid w:val="75C84B60"/>
    <w:rsid w:val="75CD1AC7"/>
    <w:rsid w:val="75CF01A8"/>
    <w:rsid w:val="75E11C8A"/>
    <w:rsid w:val="75EF348B"/>
    <w:rsid w:val="75F0310B"/>
    <w:rsid w:val="75F47C0F"/>
    <w:rsid w:val="75F51CBE"/>
    <w:rsid w:val="75F714AD"/>
    <w:rsid w:val="75FE2420"/>
    <w:rsid w:val="75FF3FFD"/>
    <w:rsid w:val="76052E1B"/>
    <w:rsid w:val="76065B94"/>
    <w:rsid w:val="760B3DC4"/>
    <w:rsid w:val="760D2A7F"/>
    <w:rsid w:val="761409A5"/>
    <w:rsid w:val="76157B85"/>
    <w:rsid w:val="761A26B8"/>
    <w:rsid w:val="761E2EDE"/>
    <w:rsid w:val="762F36CF"/>
    <w:rsid w:val="763224E5"/>
    <w:rsid w:val="76384B84"/>
    <w:rsid w:val="763D720A"/>
    <w:rsid w:val="763E7042"/>
    <w:rsid w:val="76487F5B"/>
    <w:rsid w:val="764B5DA3"/>
    <w:rsid w:val="764B78F8"/>
    <w:rsid w:val="764E6D27"/>
    <w:rsid w:val="76517CAC"/>
    <w:rsid w:val="76522B87"/>
    <w:rsid w:val="7652773F"/>
    <w:rsid w:val="76564426"/>
    <w:rsid w:val="76603E41"/>
    <w:rsid w:val="766345A1"/>
    <w:rsid w:val="76634D94"/>
    <w:rsid w:val="766E31DB"/>
    <w:rsid w:val="766F7295"/>
    <w:rsid w:val="767174B1"/>
    <w:rsid w:val="76724FD8"/>
    <w:rsid w:val="76737606"/>
    <w:rsid w:val="76764668"/>
    <w:rsid w:val="767D696B"/>
    <w:rsid w:val="768216BE"/>
    <w:rsid w:val="768764F7"/>
    <w:rsid w:val="768D3BBF"/>
    <w:rsid w:val="76911422"/>
    <w:rsid w:val="76915FF8"/>
    <w:rsid w:val="7697169B"/>
    <w:rsid w:val="76A01B45"/>
    <w:rsid w:val="76BA0E58"/>
    <w:rsid w:val="76BB0BDD"/>
    <w:rsid w:val="76D336FD"/>
    <w:rsid w:val="76DA32A9"/>
    <w:rsid w:val="76DD5C10"/>
    <w:rsid w:val="76E23F0B"/>
    <w:rsid w:val="76E975D8"/>
    <w:rsid w:val="76F30229"/>
    <w:rsid w:val="76FA8835"/>
    <w:rsid w:val="76FB4FCD"/>
    <w:rsid w:val="76FE4817"/>
    <w:rsid w:val="77005B02"/>
    <w:rsid w:val="7702635B"/>
    <w:rsid w:val="77027AD0"/>
    <w:rsid w:val="770551D1"/>
    <w:rsid w:val="77072E6C"/>
    <w:rsid w:val="770A5210"/>
    <w:rsid w:val="770B068C"/>
    <w:rsid w:val="770FA6AC"/>
    <w:rsid w:val="77166770"/>
    <w:rsid w:val="771976F5"/>
    <w:rsid w:val="771A5453"/>
    <w:rsid w:val="771E3B12"/>
    <w:rsid w:val="77230004"/>
    <w:rsid w:val="7726029C"/>
    <w:rsid w:val="77260F89"/>
    <w:rsid w:val="772C33D8"/>
    <w:rsid w:val="77333076"/>
    <w:rsid w:val="77380EA3"/>
    <w:rsid w:val="77420B7B"/>
    <w:rsid w:val="774335EA"/>
    <w:rsid w:val="7746554F"/>
    <w:rsid w:val="774E0CC1"/>
    <w:rsid w:val="77556CEB"/>
    <w:rsid w:val="775A2BCB"/>
    <w:rsid w:val="775D3592"/>
    <w:rsid w:val="775E425F"/>
    <w:rsid w:val="77632FEC"/>
    <w:rsid w:val="7767EB4D"/>
    <w:rsid w:val="77696DF7"/>
    <w:rsid w:val="776A1CF5"/>
    <w:rsid w:val="776C3892"/>
    <w:rsid w:val="776D5ECB"/>
    <w:rsid w:val="777811D4"/>
    <w:rsid w:val="777D651D"/>
    <w:rsid w:val="77843214"/>
    <w:rsid w:val="7788581E"/>
    <w:rsid w:val="779506FC"/>
    <w:rsid w:val="77980A6E"/>
    <w:rsid w:val="7798C851"/>
    <w:rsid w:val="779A2A38"/>
    <w:rsid w:val="77A15B74"/>
    <w:rsid w:val="77AB69F3"/>
    <w:rsid w:val="77B34070"/>
    <w:rsid w:val="77B45115"/>
    <w:rsid w:val="77B72A76"/>
    <w:rsid w:val="77B7AC08"/>
    <w:rsid w:val="77BA69B4"/>
    <w:rsid w:val="77BF71F0"/>
    <w:rsid w:val="77BFB49B"/>
    <w:rsid w:val="77C43611"/>
    <w:rsid w:val="77CE9805"/>
    <w:rsid w:val="77DEE694"/>
    <w:rsid w:val="77E07C4C"/>
    <w:rsid w:val="77EDC00C"/>
    <w:rsid w:val="77EF4B32"/>
    <w:rsid w:val="77FB04E4"/>
    <w:rsid w:val="77FB0D14"/>
    <w:rsid w:val="77FB2ABB"/>
    <w:rsid w:val="77FBE195"/>
    <w:rsid w:val="77FC724F"/>
    <w:rsid w:val="77FE8858"/>
    <w:rsid w:val="77FF0DFC"/>
    <w:rsid w:val="78030B2C"/>
    <w:rsid w:val="78063C29"/>
    <w:rsid w:val="78175E36"/>
    <w:rsid w:val="78197E01"/>
    <w:rsid w:val="7831514A"/>
    <w:rsid w:val="78324A1E"/>
    <w:rsid w:val="783562BD"/>
    <w:rsid w:val="78377D43"/>
    <w:rsid w:val="78393FFF"/>
    <w:rsid w:val="783A641B"/>
    <w:rsid w:val="783E1615"/>
    <w:rsid w:val="784129DA"/>
    <w:rsid w:val="784513E1"/>
    <w:rsid w:val="784A620C"/>
    <w:rsid w:val="784E5805"/>
    <w:rsid w:val="7855167B"/>
    <w:rsid w:val="786170B2"/>
    <w:rsid w:val="787B0173"/>
    <w:rsid w:val="78850FF2"/>
    <w:rsid w:val="78861E4A"/>
    <w:rsid w:val="788778CC"/>
    <w:rsid w:val="78A27DF6"/>
    <w:rsid w:val="78A53586"/>
    <w:rsid w:val="78A60180"/>
    <w:rsid w:val="78A648FD"/>
    <w:rsid w:val="78A84CE1"/>
    <w:rsid w:val="78AA6D8C"/>
    <w:rsid w:val="78AC47D1"/>
    <w:rsid w:val="78AD7B0B"/>
    <w:rsid w:val="78B00A90"/>
    <w:rsid w:val="78B638A1"/>
    <w:rsid w:val="78C23FF4"/>
    <w:rsid w:val="78C31CAF"/>
    <w:rsid w:val="78CA163A"/>
    <w:rsid w:val="78CF4963"/>
    <w:rsid w:val="78DB7356"/>
    <w:rsid w:val="78DD3DC2"/>
    <w:rsid w:val="78E026CC"/>
    <w:rsid w:val="78E0447A"/>
    <w:rsid w:val="78EC2E1F"/>
    <w:rsid w:val="78F30652"/>
    <w:rsid w:val="78F41CD4"/>
    <w:rsid w:val="78F9424F"/>
    <w:rsid w:val="78F96906"/>
    <w:rsid w:val="790C34C1"/>
    <w:rsid w:val="79121A2E"/>
    <w:rsid w:val="791365FE"/>
    <w:rsid w:val="791A3E30"/>
    <w:rsid w:val="79297BCF"/>
    <w:rsid w:val="79306A60"/>
    <w:rsid w:val="79306E65"/>
    <w:rsid w:val="7932115B"/>
    <w:rsid w:val="79382508"/>
    <w:rsid w:val="79390690"/>
    <w:rsid w:val="793B4DF1"/>
    <w:rsid w:val="794964C4"/>
    <w:rsid w:val="79510115"/>
    <w:rsid w:val="79537685"/>
    <w:rsid w:val="795C2431"/>
    <w:rsid w:val="795E2449"/>
    <w:rsid w:val="796110D2"/>
    <w:rsid w:val="7968023E"/>
    <w:rsid w:val="796C6C45"/>
    <w:rsid w:val="796F7B3E"/>
    <w:rsid w:val="79703A50"/>
    <w:rsid w:val="79753CD1"/>
    <w:rsid w:val="797877E6"/>
    <w:rsid w:val="797C17A1"/>
    <w:rsid w:val="797D7F1B"/>
    <w:rsid w:val="797F5A41"/>
    <w:rsid w:val="798961F5"/>
    <w:rsid w:val="799022FC"/>
    <w:rsid w:val="79917872"/>
    <w:rsid w:val="799367A2"/>
    <w:rsid w:val="79B42F8A"/>
    <w:rsid w:val="79BA116F"/>
    <w:rsid w:val="79C63670"/>
    <w:rsid w:val="79C67B14"/>
    <w:rsid w:val="79CB512B"/>
    <w:rsid w:val="79D06969"/>
    <w:rsid w:val="79D31AEC"/>
    <w:rsid w:val="79DC01FD"/>
    <w:rsid w:val="79DF9D88"/>
    <w:rsid w:val="79E104AA"/>
    <w:rsid w:val="79E34A36"/>
    <w:rsid w:val="79E61F64"/>
    <w:rsid w:val="79E85CDC"/>
    <w:rsid w:val="79EAD091"/>
    <w:rsid w:val="79ED50A1"/>
    <w:rsid w:val="79EE0E19"/>
    <w:rsid w:val="79F2235B"/>
    <w:rsid w:val="79FC3536"/>
    <w:rsid w:val="79FF6B82"/>
    <w:rsid w:val="7A016D9E"/>
    <w:rsid w:val="7A0348C4"/>
    <w:rsid w:val="7A085CAD"/>
    <w:rsid w:val="7A0B54C9"/>
    <w:rsid w:val="7A0F3269"/>
    <w:rsid w:val="7A106FE1"/>
    <w:rsid w:val="7A1D7B00"/>
    <w:rsid w:val="7A1F03DF"/>
    <w:rsid w:val="7A214D4A"/>
    <w:rsid w:val="7A2465E9"/>
    <w:rsid w:val="7A287E87"/>
    <w:rsid w:val="7A2D6D03"/>
    <w:rsid w:val="7A427BA1"/>
    <w:rsid w:val="7A4B626B"/>
    <w:rsid w:val="7A4D17B6"/>
    <w:rsid w:val="7A574C10"/>
    <w:rsid w:val="7A584DB7"/>
    <w:rsid w:val="7A5E7D4D"/>
    <w:rsid w:val="7A5F16D0"/>
    <w:rsid w:val="7A6335B5"/>
    <w:rsid w:val="7A644C45"/>
    <w:rsid w:val="7A7266C5"/>
    <w:rsid w:val="7A792DD8"/>
    <w:rsid w:val="7A96762C"/>
    <w:rsid w:val="7A9814B1"/>
    <w:rsid w:val="7A9A18B5"/>
    <w:rsid w:val="7A9C2623"/>
    <w:rsid w:val="7AA27302"/>
    <w:rsid w:val="7AA5772A"/>
    <w:rsid w:val="7AAA2F92"/>
    <w:rsid w:val="7AB648AE"/>
    <w:rsid w:val="7AB855E2"/>
    <w:rsid w:val="7AC369F2"/>
    <w:rsid w:val="7AC62379"/>
    <w:rsid w:val="7ACB6801"/>
    <w:rsid w:val="7ACE4ED2"/>
    <w:rsid w:val="7ADB139D"/>
    <w:rsid w:val="7ADBDE72"/>
    <w:rsid w:val="7AE169D4"/>
    <w:rsid w:val="7AE35B14"/>
    <w:rsid w:val="7AF34939"/>
    <w:rsid w:val="7AF741CD"/>
    <w:rsid w:val="7AF7853B"/>
    <w:rsid w:val="7B0B2AA4"/>
    <w:rsid w:val="7B105150"/>
    <w:rsid w:val="7B130B37"/>
    <w:rsid w:val="7B214B23"/>
    <w:rsid w:val="7B215011"/>
    <w:rsid w:val="7B2745E3"/>
    <w:rsid w:val="7B303FA7"/>
    <w:rsid w:val="7B365EB0"/>
    <w:rsid w:val="7B396E35"/>
    <w:rsid w:val="7B4A02D1"/>
    <w:rsid w:val="7B4D1359"/>
    <w:rsid w:val="7B513A73"/>
    <w:rsid w:val="7B540CE3"/>
    <w:rsid w:val="7B551C87"/>
    <w:rsid w:val="7B5A49B8"/>
    <w:rsid w:val="7B5C397C"/>
    <w:rsid w:val="7B6B0487"/>
    <w:rsid w:val="7B6B4B23"/>
    <w:rsid w:val="7B6E990C"/>
    <w:rsid w:val="7B6F730F"/>
    <w:rsid w:val="7B735A7A"/>
    <w:rsid w:val="7B7367C2"/>
    <w:rsid w:val="7B7610C6"/>
    <w:rsid w:val="7B7F7F7B"/>
    <w:rsid w:val="7B882437"/>
    <w:rsid w:val="7B9A6B62"/>
    <w:rsid w:val="7BA00F12"/>
    <w:rsid w:val="7BA13AA1"/>
    <w:rsid w:val="7BAA499E"/>
    <w:rsid w:val="7BAE0860"/>
    <w:rsid w:val="7BAE6410"/>
    <w:rsid w:val="7BB816DF"/>
    <w:rsid w:val="7BBA22C3"/>
    <w:rsid w:val="7BBB4D2B"/>
    <w:rsid w:val="7BBC740E"/>
    <w:rsid w:val="7BBD4F47"/>
    <w:rsid w:val="7BC2255D"/>
    <w:rsid w:val="7BC27D34"/>
    <w:rsid w:val="7BC73221"/>
    <w:rsid w:val="7BCF3E99"/>
    <w:rsid w:val="7BD90F3C"/>
    <w:rsid w:val="7BDF0A19"/>
    <w:rsid w:val="7BE81FC4"/>
    <w:rsid w:val="7BEB3862"/>
    <w:rsid w:val="7BEB5610"/>
    <w:rsid w:val="7BF04FC9"/>
    <w:rsid w:val="7BFB78D1"/>
    <w:rsid w:val="7BFB8474"/>
    <w:rsid w:val="7BFC781D"/>
    <w:rsid w:val="7BFE117C"/>
    <w:rsid w:val="7BFE21C5"/>
    <w:rsid w:val="7BFF4AE2"/>
    <w:rsid w:val="7C0B2A10"/>
    <w:rsid w:val="7C106E98"/>
    <w:rsid w:val="7C134B67"/>
    <w:rsid w:val="7C1C0FFC"/>
    <w:rsid w:val="7C1E3C37"/>
    <w:rsid w:val="7C1F52BA"/>
    <w:rsid w:val="7C2179C4"/>
    <w:rsid w:val="7C245B39"/>
    <w:rsid w:val="7C272341"/>
    <w:rsid w:val="7C2B1EB0"/>
    <w:rsid w:val="7C2E1847"/>
    <w:rsid w:val="7C2E19A1"/>
    <w:rsid w:val="7C354ADD"/>
    <w:rsid w:val="7C484810"/>
    <w:rsid w:val="7C5F7DAC"/>
    <w:rsid w:val="7C605FFE"/>
    <w:rsid w:val="7C613B24"/>
    <w:rsid w:val="7C643B5F"/>
    <w:rsid w:val="7C6453C2"/>
    <w:rsid w:val="7C6D24C9"/>
    <w:rsid w:val="7C6F4493"/>
    <w:rsid w:val="7C7B6547"/>
    <w:rsid w:val="7C7E0A74"/>
    <w:rsid w:val="7C855A65"/>
    <w:rsid w:val="7C865339"/>
    <w:rsid w:val="7C891BCF"/>
    <w:rsid w:val="7C8A0A8D"/>
    <w:rsid w:val="7C8A0D60"/>
    <w:rsid w:val="7C8A307B"/>
    <w:rsid w:val="7C8B71B9"/>
    <w:rsid w:val="7C95228E"/>
    <w:rsid w:val="7C964B73"/>
    <w:rsid w:val="7C9D7A3F"/>
    <w:rsid w:val="7CA0621D"/>
    <w:rsid w:val="7CA103C5"/>
    <w:rsid w:val="7CA44D00"/>
    <w:rsid w:val="7CA52C0F"/>
    <w:rsid w:val="7CAB4D9F"/>
    <w:rsid w:val="7CAD001B"/>
    <w:rsid w:val="7CB00FA0"/>
    <w:rsid w:val="7CB242E6"/>
    <w:rsid w:val="7CB43C54"/>
    <w:rsid w:val="7CB91E86"/>
    <w:rsid w:val="7CC06A9D"/>
    <w:rsid w:val="7CC426DC"/>
    <w:rsid w:val="7CC85951"/>
    <w:rsid w:val="7CCA16C9"/>
    <w:rsid w:val="7CDA3824"/>
    <w:rsid w:val="7CDA5310"/>
    <w:rsid w:val="7CE34539"/>
    <w:rsid w:val="7CEF2EDE"/>
    <w:rsid w:val="7CF6426C"/>
    <w:rsid w:val="7CF76237"/>
    <w:rsid w:val="7CF84C17"/>
    <w:rsid w:val="7CFA4897"/>
    <w:rsid w:val="7CFB5D27"/>
    <w:rsid w:val="7CFD1A9F"/>
    <w:rsid w:val="7CFD4CC6"/>
    <w:rsid w:val="7CFE4F73"/>
    <w:rsid w:val="7D083FA0"/>
    <w:rsid w:val="7D0B5E36"/>
    <w:rsid w:val="7D0D7808"/>
    <w:rsid w:val="7D0E3538"/>
    <w:rsid w:val="7D133070"/>
    <w:rsid w:val="7D133243"/>
    <w:rsid w:val="7D1641C7"/>
    <w:rsid w:val="7D1E37D2"/>
    <w:rsid w:val="7D252DA4"/>
    <w:rsid w:val="7D256900"/>
    <w:rsid w:val="7D2B08E9"/>
    <w:rsid w:val="7D3A315F"/>
    <w:rsid w:val="7D4A280A"/>
    <w:rsid w:val="7D52485C"/>
    <w:rsid w:val="7D5616FD"/>
    <w:rsid w:val="7D5A1F78"/>
    <w:rsid w:val="7D5A5BB5"/>
    <w:rsid w:val="7D5F62B6"/>
    <w:rsid w:val="7D625DA6"/>
    <w:rsid w:val="7D6C6800"/>
    <w:rsid w:val="7D757A64"/>
    <w:rsid w:val="7D817FF3"/>
    <w:rsid w:val="7D830F78"/>
    <w:rsid w:val="7D883202"/>
    <w:rsid w:val="7D8A2C07"/>
    <w:rsid w:val="7D8C7388"/>
    <w:rsid w:val="7D8E0949"/>
    <w:rsid w:val="7D9D359A"/>
    <w:rsid w:val="7DAC7021"/>
    <w:rsid w:val="7DAF3557"/>
    <w:rsid w:val="7DB3215D"/>
    <w:rsid w:val="7DB5EE12"/>
    <w:rsid w:val="7DBC167C"/>
    <w:rsid w:val="7DBD1F2D"/>
    <w:rsid w:val="7DCA16EC"/>
    <w:rsid w:val="7DCC0473"/>
    <w:rsid w:val="7DCC321F"/>
    <w:rsid w:val="7DD12549"/>
    <w:rsid w:val="7DD6409E"/>
    <w:rsid w:val="7DD6F850"/>
    <w:rsid w:val="7DD87E16"/>
    <w:rsid w:val="7DD8CC09"/>
    <w:rsid w:val="7DD97789"/>
    <w:rsid w:val="7DE07113"/>
    <w:rsid w:val="7DE14F1D"/>
    <w:rsid w:val="7DE26D93"/>
    <w:rsid w:val="7DE65799"/>
    <w:rsid w:val="7DE822A1"/>
    <w:rsid w:val="7DE91FA1"/>
    <w:rsid w:val="7DE92023"/>
    <w:rsid w:val="7DF173AE"/>
    <w:rsid w:val="7DF54524"/>
    <w:rsid w:val="7E1827B4"/>
    <w:rsid w:val="7E2E6CC1"/>
    <w:rsid w:val="7E30457B"/>
    <w:rsid w:val="7E370FE0"/>
    <w:rsid w:val="7E394D59"/>
    <w:rsid w:val="7E3F60E7"/>
    <w:rsid w:val="7E4159BB"/>
    <w:rsid w:val="7E425EB3"/>
    <w:rsid w:val="7E4436FD"/>
    <w:rsid w:val="7E481FBB"/>
    <w:rsid w:val="7E497A3C"/>
    <w:rsid w:val="7E4A06B1"/>
    <w:rsid w:val="7E4D1CC6"/>
    <w:rsid w:val="7E5A355A"/>
    <w:rsid w:val="7E5C0A47"/>
    <w:rsid w:val="7E655B4E"/>
    <w:rsid w:val="7E6671D0"/>
    <w:rsid w:val="7E694F12"/>
    <w:rsid w:val="7E6F3C67"/>
    <w:rsid w:val="7E795155"/>
    <w:rsid w:val="7E8458A8"/>
    <w:rsid w:val="7E8705BC"/>
    <w:rsid w:val="7E9214D5"/>
    <w:rsid w:val="7E9906C0"/>
    <w:rsid w:val="7E9957F7"/>
    <w:rsid w:val="7E9A6542"/>
    <w:rsid w:val="7EA271D1"/>
    <w:rsid w:val="7EA63A7B"/>
    <w:rsid w:val="7EAC5BC7"/>
    <w:rsid w:val="7EBC7D7B"/>
    <w:rsid w:val="7EBD8F2F"/>
    <w:rsid w:val="7EBFB432"/>
    <w:rsid w:val="7EC34622"/>
    <w:rsid w:val="7EC81C39"/>
    <w:rsid w:val="7ECD2214"/>
    <w:rsid w:val="7ECE2051"/>
    <w:rsid w:val="7ECF1219"/>
    <w:rsid w:val="7ECF77F4"/>
    <w:rsid w:val="7ED06D3F"/>
    <w:rsid w:val="7ED10C1A"/>
    <w:rsid w:val="7EDC282E"/>
    <w:rsid w:val="7EDF4744"/>
    <w:rsid w:val="7EE12CFA"/>
    <w:rsid w:val="7EE60BBF"/>
    <w:rsid w:val="7EEF71C5"/>
    <w:rsid w:val="7EF23159"/>
    <w:rsid w:val="7EF43758"/>
    <w:rsid w:val="7EFC5D86"/>
    <w:rsid w:val="7EFD6FF7"/>
    <w:rsid w:val="7EFD7076"/>
    <w:rsid w:val="7EFF14EA"/>
    <w:rsid w:val="7EFF3CE8"/>
    <w:rsid w:val="7F021B99"/>
    <w:rsid w:val="7F0A2251"/>
    <w:rsid w:val="7F160BF6"/>
    <w:rsid w:val="7F222FA3"/>
    <w:rsid w:val="7F2D7CEE"/>
    <w:rsid w:val="7F3279BA"/>
    <w:rsid w:val="7F32C2EB"/>
    <w:rsid w:val="7F363046"/>
    <w:rsid w:val="7F39782A"/>
    <w:rsid w:val="7F3F16E9"/>
    <w:rsid w:val="7F401FEA"/>
    <w:rsid w:val="7F4339B5"/>
    <w:rsid w:val="7F4A6AF1"/>
    <w:rsid w:val="7F536FF5"/>
    <w:rsid w:val="7F58120E"/>
    <w:rsid w:val="7F5C6600"/>
    <w:rsid w:val="7F5D4748"/>
    <w:rsid w:val="7F5E5386"/>
    <w:rsid w:val="7F625F8B"/>
    <w:rsid w:val="7F691199"/>
    <w:rsid w:val="7F736225"/>
    <w:rsid w:val="7F74752A"/>
    <w:rsid w:val="7F754FAB"/>
    <w:rsid w:val="7F7D7E39"/>
    <w:rsid w:val="7F800DBE"/>
    <w:rsid w:val="7F8B0A67"/>
    <w:rsid w:val="7F8BEEBF"/>
    <w:rsid w:val="7F912972"/>
    <w:rsid w:val="7F932247"/>
    <w:rsid w:val="7F995383"/>
    <w:rsid w:val="7F9D1317"/>
    <w:rsid w:val="7F9D28EC"/>
    <w:rsid w:val="7F9D7069"/>
    <w:rsid w:val="7FA129E2"/>
    <w:rsid w:val="7FA669D9"/>
    <w:rsid w:val="7FADEDCC"/>
    <w:rsid w:val="7FB80F18"/>
    <w:rsid w:val="7FBAA851"/>
    <w:rsid w:val="7FBF1A69"/>
    <w:rsid w:val="7FC06DB4"/>
    <w:rsid w:val="7FC0D8BD"/>
    <w:rsid w:val="7FC22B2C"/>
    <w:rsid w:val="7FC815ED"/>
    <w:rsid w:val="7FCA43A0"/>
    <w:rsid w:val="7FCD0DEE"/>
    <w:rsid w:val="7FCE7723"/>
    <w:rsid w:val="7FCE7F8D"/>
    <w:rsid w:val="7FD02A1D"/>
    <w:rsid w:val="7FD0349B"/>
    <w:rsid w:val="7FD22AED"/>
    <w:rsid w:val="7FD71F4F"/>
    <w:rsid w:val="7FD91C23"/>
    <w:rsid w:val="7FDA0E4E"/>
    <w:rsid w:val="7FDA27D8"/>
    <w:rsid w:val="7FDAC636"/>
    <w:rsid w:val="7FDE1157"/>
    <w:rsid w:val="7FE26D2A"/>
    <w:rsid w:val="7FEC544C"/>
    <w:rsid w:val="7FF179B1"/>
    <w:rsid w:val="7FF2303E"/>
    <w:rsid w:val="7FF47783"/>
    <w:rsid w:val="7FF73105"/>
    <w:rsid w:val="7FF7AA4E"/>
    <w:rsid w:val="7FF83F00"/>
    <w:rsid w:val="7FFB4076"/>
    <w:rsid w:val="7FFB4EDE"/>
    <w:rsid w:val="7FFB6BC3"/>
    <w:rsid w:val="7FFB8065"/>
    <w:rsid w:val="7FFE4E89"/>
    <w:rsid w:val="7FFE994C"/>
    <w:rsid w:val="7FFEEA3E"/>
    <w:rsid w:val="7FFF3060"/>
    <w:rsid w:val="7FFF7BFC"/>
    <w:rsid w:val="7FFFBFDC"/>
    <w:rsid w:val="7FFFC5E1"/>
    <w:rsid w:val="7FFFF802"/>
    <w:rsid w:val="917BD80A"/>
    <w:rsid w:val="99FF9A2B"/>
    <w:rsid w:val="9BB9FFBC"/>
    <w:rsid w:val="9BCD3898"/>
    <w:rsid w:val="9BF51662"/>
    <w:rsid w:val="9DEF1744"/>
    <w:rsid w:val="9EB6D495"/>
    <w:rsid w:val="9EDF85ED"/>
    <w:rsid w:val="9EEED8B6"/>
    <w:rsid w:val="9EFD73C9"/>
    <w:rsid w:val="9F3C2C0B"/>
    <w:rsid w:val="9F6F3DA3"/>
    <w:rsid w:val="9FAF057A"/>
    <w:rsid w:val="A2F7A183"/>
    <w:rsid w:val="A7F65344"/>
    <w:rsid w:val="A9B713EB"/>
    <w:rsid w:val="ADE99C0B"/>
    <w:rsid w:val="AEDB1594"/>
    <w:rsid w:val="AF5A2263"/>
    <w:rsid w:val="AFB56FEB"/>
    <w:rsid w:val="AFFBDC84"/>
    <w:rsid w:val="AFFD32A0"/>
    <w:rsid w:val="B2FB86DF"/>
    <w:rsid w:val="B4FB3CBD"/>
    <w:rsid w:val="B66E110E"/>
    <w:rsid w:val="B67ADAE8"/>
    <w:rsid w:val="B747EF1D"/>
    <w:rsid w:val="B7FE59DC"/>
    <w:rsid w:val="B7FF2B54"/>
    <w:rsid w:val="B87F6715"/>
    <w:rsid w:val="B9EB1A1A"/>
    <w:rsid w:val="BB5DFEA7"/>
    <w:rsid w:val="BCED5180"/>
    <w:rsid w:val="BDAF51AB"/>
    <w:rsid w:val="BDBBA22B"/>
    <w:rsid w:val="BDEBF985"/>
    <w:rsid w:val="BDFD3547"/>
    <w:rsid w:val="BE56EEB1"/>
    <w:rsid w:val="BEDF3C50"/>
    <w:rsid w:val="BEEBD0B7"/>
    <w:rsid w:val="BEFE9A5C"/>
    <w:rsid w:val="BF3FCC3D"/>
    <w:rsid w:val="BF7F014A"/>
    <w:rsid w:val="BF7F08E0"/>
    <w:rsid w:val="BF7F7519"/>
    <w:rsid w:val="BFBFD7A5"/>
    <w:rsid w:val="BFCFA8BF"/>
    <w:rsid w:val="BFF1D4B4"/>
    <w:rsid w:val="BFF4D782"/>
    <w:rsid w:val="BFFC1389"/>
    <w:rsid w:val="C749C5E7"/>
    <w:rsid w:val="C7DDBF0B"/>
    <w:rsid w:val="C89F89A0"/>
    <w:rsid w:val="CABF8226"/>
    <w:rsid w:val="CEF7F395"/>
    <w:rsid w:val="CEFACCC4"/>
    <w:rsid w:val="CF9E88EA"/>
    <w:rsid w:val="CFAF26BE"/>
    <w:rsid w:val="D5FEFBDD"/>
    <w:rsid w:val="D7CD6BD9"/>
    <w:rsid w:val="D7E5EC8B"/>
    <w:rsid w:val="D7FFE6A2"/>
    <w:rsid w:val="D97F7ED1"/>
    <w:rsid w:val="DAAF7446"/>
    <w:rsid w:val="DB7D6E83"/>
    <w:rsid w:val="DBADDD38"/>
    <w:rsid w:val="DBEBEE20"/>
    <w:rsid w:val="DBF903B6"/>
    <w:rsid w:val="DCDFFBFC"/>
    <w:rsid w:val="DEBB516D"/>
    <w:rsid w:val="DEBF1810"/>
    <w:rsid w:val="DED73D52"/>
    <w:rsid w:val="DEF34999"/>
    <w:rsid w:val="DFAE1D29"/>
    <w:rsid w:val="DFBD16BB"/>
    <w:rsid w:val="DFBF2881"/>
    <w:rsid w:val="DFF74AB2"/>
    <w:rsid w:val="DFFD6158"/>
    <w:rsid w:val="DFFD84B6"/>
    <w:rsid w:val="DFFF6B41"/>
    <w:rsid w:val="E1EF0988"/>
    <w:rsid w:val="E3F6C3C8"/>
    <w:rsid w:val="E4F3D20E"/>
    <w:rsid w:val="E5EF0606"/>
    <w:rsid w:val="E5EFE5B8"/>
    <w:rsid w:val="E6BD01E3"/>
    <w:rsid w:val="E6EBEC04"/>
    <w:rsid w:val="E7DD89D8"/>
    <w:rsid w:val="E7F57A12"/>
    <w:rsid w:val="E7FB0677"/>
    <w:rsid w:val="E7FF0CF8"/>
    <w:rsid w:val="E9CFB369"/>
    <w:rsid w:val="E9FECCC1"/>
    <w:rsid w:val="EAF37E5B"/>
    <w:rsid w:val="EAFFE847"/>
    <w:rsid w:val="EB0DAFE5"/>
    <w:rsid w:val="EBFFC903"/>
    <w:rsid w:val="ECF79786"/>
    <w:rsid w:val="ED4FABB4"/>
    <w:rsid w:val="EE7F15FE"/>
    <w:rsid w:val="EE9B0117"/>
    <w:rsid w:val="EE9ECD5E"/>
    <w:rsid w:val="EEB79EAB"/>
    <w:rsid w:val="EEB7DDC9"/>
    <w:rsid w:val="EF7F21AD"/>
    <w:rsid w:val="EFB91C6E"/>
    <w:rsid w:val="EFD5B796"/>
    <w:rsid w:val="EFE705B5"/>
    <w:rsid w:val="EFEDB908"/>
    <w:rsid w:val="EFF748B9"/>
    <w:rsid w:val="F1FBDFCB"/>
    <w:rsid w:val="F1FFFCA9"/>
    <w:rsid w:val="F27F5DD2"/>
    <w:rsid w:val="F2B7CCA1"/>
    <w:rsid w:val="F2F12E64"/>
    <w:rsid w:val="F36F2B1A"/>
    <w:rsid w:val="F3B11C21"/>
    <w:rsid w:val="F3D9A6B5"/>
    <w:rsid w:val="F3DB0FC2"/>
    <w:rsid w:val="F3FA7A8D"/>
    <w:rsid w:val="F4EF286C"/>
    <w:rsid w:val="F5AC4226"/>
    <w:rsid w:val="F5BF694A"/>
    <w:rsid w:val="F5E7D870"/>
    <w:rsid w:val="F5F981DD"/>
    <w:rsid w:val="F5FACF80"/>
    <w:rsid w:val="F5FF99AB"/>
    <w:rsid w:val="F6AFB519"/>
    <w:rsid w:val="F73FEE2E"/>
    <w:rsid w:val="F76FB6EA"/>
    <w:rsid w:val="F79B3F86"/>
    <w:rsid w:val="F7B9CBCB"/>
    <w:rsid w:val="F7D50E47"/>
    <w:rsid w:val="F7E70363"/>
    <w:rsid w:val="F7EB7CBE"/>
    <w:rsid w:val="F7F549B8"/>
    <w:rsid w:val="F7F75EB5"/>
    <w:rsid w:val="F7F7FD31"/>
    <w:rsid w:val="F7FD4EF9"/>
    <w:rsid w:val="FA63DC4F"/>
    <w:rsid w:val="FAFAE44E"/>
    <w:rsid w:val="FAFF50CC"/>
    <w:rsid w:val="FB7964AE"/>
    <w:rsid w:val="FBB67EA2"/>
    <w:rsid w:val="FBFBE988"/>
    <w:rsid w:val="FC690031"/>
    <w:rsid w:val="FCBF5ADE"/>
    <w:rsid w:val="FCF6C301"/>
    <w:rsid w:val="FD5E807E"/>
    <w:rsid w:val="FD9DF4DD"/>
    <w:rsid w:val="FD9E19BC"/>
    <w:rsid w:val="FDB72E0B"/>
    <w:rsid w:val="FDBE8679"/>
    <w:rsid w:val="FDCB6AFC"/>
    <w:rsid w:val="FDDF73C6"/>
    <w:rsid w:val="FDEF459F"/>
    <w:rsid w:val="FDFBEEB8"/>
    <w:rsid w:val="FEBFB8BE"/>
    <w:rsid w:val="FEC80022"/>
    <w:rsid w:val="FEF478D4"/>
    <w:rsid w:val="FEFEDEEA"/>
    <w:rsid w:val="FEFF456C"/>
    <w:rsid w:val="FF6D03B7"/>
    <w:rsid w:val="FF6EB2C4"/>
    <w:rsid w:val="FF7E2F70"/>
    <w:rsid w:val="FF7F6999"/>
    <w:rsid w:val="FF922B4F"/>
    <w:rsid w:val="FF951DBE"/>
    <w:rsid w:val="FFBF2AF2"/>
    <w:rsid w:val="FFBF9AC2"/>
    <w:rsid w:val="FFBFA8A5"/>
    <w:rsid w:val="FFBFEB5B"/>
    <w:rsid w:val="FFD8FB80"/>
    <w:rsid w:val="FFD91D5F"/>
    <w:rsid w:val="FFDF7EFC"/>
    <w:rsid w:val="FFEBDB42"/>
    <w:rsid w:val="FFEBF0F1"/>
    <w:rsid w:val="FFEC45E8"/>
    <w:rsid w:val="FFEE86A8"/>
    <w:rsid w:val="FFEF54AA"/>
    <w:rsid w:val="FFF326DB"/>
    <w:rsid w:val="FFF5F49A"/>
    <w:rsid w:val="FFF6790D"/>
    <w:rsid w:val="FFF7E15A"/>
    <w:rsid w:val="FFF9C6D8"/>
    <w:rsid w:val="FFFBDB87"/>
    <w:rsid w:val="FFFD7C31"/>
    <w:rsid w:val="FFFE3A16"/>
    <w:rsid w:val="FFFFD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ind w:firstLine="141" w:firstLineChars="47"/>
      <w:outlineLvl w:val="0"/>
    </w:pPr>
    <w:rPr>
      <w:rFonts w:ascii="黑体" w:hAnsi="黑体" w:eastAsia="黑体"/>
      <w:bCs/>
      <w:color w:val="FF0000"/>
      <w:kern w:val="44"/>
      <w:sz w:val="30"/>
      <w:szCs w:val="30"/>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rPr>
      <w:rFonts w:ascii="Calibri" w:hAnsi="Calibri"/>
    </w:rPr>
  </w:style>
  <w:style w:type="paragraph" w:styleId="5">
    <w:name w:val="Body Text Indent"/>
    <w:basedOn w:val="1"/>
    <w:link w:val="23"/>
    <w:qFormat/>
    <w:uiPriority w:val="0"/>
    <w:pPr>
      <w:ind w:firstLine="560" w:firstLineChars="200"/>
    </w:pPr>
    <w:rPr>
      <w:rFonts w:ascii="宋体" w:hAnsi="宋体"/>
      <w:color w:val="000000"/>
      <w:sz w:val="28"/>
    </w:rPr>
  </w:style>
  <w:style w:type="paragraph" w:styleId="6">
    <w:name w:val="Plain Text"/>
    <w:basedOn w:val="1"/>
    <w:link w:val="26"/>
    <w:qFormat/>
    <w:uiPriority w:val="99"/>
    <w:rPr>
      <w:rFonts w:ascii="宋体" w:hAnsi="Courier New"/>
      <w:szCs w:val="20"/>
    </w:rPr>
  </w:style>
  <w:style w:type="paragraph" w:styleId="7">
    <w:name w:val="Body Text Indent 2"/>
    <w:basedOn w:val="1"/>
    <w:link w:val="19"/>
    <w:qFormat/>
    <w:uiPriority w:val="0"/>
    <w:pPr>
      <w:snapToGrid w:val="0"/>
      <w:spacing w:line="620" w:lineRule="exact"/>
      <w:ind w:firstLine="584" w:firstLineChars="200"/>
    </w:pPr>
    <w:rPr>
      <w:rFonts w:ascii="仿宋_GB2312" w:hAnsi="宋体" w:eastAsia="仿宋_GB2312"/>
      <w:spacing w:val="6"/>
      <w:sz w:val="28"/>
    </w:rPr>
  </w:style>
  <w:style w:type="paragraph" w:styleId="8">
    <w:name w:val="Balloon Text"/>
    <w:basedOn w:val="1"/>
    <w:link w:val="18"/>
    <w:semiHidden/>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600" w:lineRule="exact"/>
      <w:ind w:left="480"/>
    </w:pPr>
    <w:rPr>
      <w:rFonts w:ascii="楷体_GB2312" w:eastAsia="楷体_GB2312"/>
      <w:bCs/>
      <w:sz w:val="24"/>
    </w:rPr>
  </w:style>
  <w:style w:type="paragraph" w:styleId="12">
    <w:name w:val="annotation subject"/>
    <w:basedOn w:val="4"/>
    <w:next w:val="4"/>
    <w:link w:val="25"/>
    <w:qFormat/>
    <w:uiPriority w:val="0"/>
    <w:rPr>
      <w:b/>
      <w:bCs/>
    </w:rPr>
  </w:style>
  <w:style w:type="character" w:styleId="15">
    <w:name w:val="page number"/>
    <w:basedOn w:val="14"/>
    <w:qFormat/>
    <w:uiPriority w:val="0"/>
  </w:style>
  <w:style w:type="character" w:styleId="16">
    <w:name w:val="Hyperlink"/>
    <w:basedOn w:val="14"/>
    <w:unhideWhenUsed/>
    <w:qFormat/>
    <w:uiPriority w:val="0"/>
    <w:rPr>
      <w:color w:val="0563C1"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批注框文本 字符"/>
    <w:link w:val="8"/>
    <w:semiHidden/>
    <w:qFormat/>
    <w:uiPriority w:val="99"/>
    <w:rPr>
      <w:rFonts w:ascii="Times New Roman" w:hAnsi="Times New Roman"/>
      <w:kern w:val="2"/>
      <w:sz w:val="18"/>
      <w:szCs w:val="18"/>
    </w:rPr>
  </w:style>
  <w:style w:type="character" w:customStyle="1" w:styleId="19">
    <w:name w:val="正文文本缩进 2 字符"/>
    <w:link w:val="7"/>
    <w:qFormat/>
    <w:uiPriority w:val="0"/>
    <w:rPr>
      <w:rFonts w:ascii="仿宋_GB2312" w:hAnsi="宋体" w:eastAsia="仿宋_GB2312"/>
      <w:spacing w:val="6"/>
      <w:kern w:val="2"/>
      <w:sz w:val="28"/>
      <w:szCs w:val="24"/>
    </w:rPr>
  </w:style>
  <w:style w:type="character" w:customStyle="1" w:styleId="20">
    <w:name w:val="标题 1 字符"/>
    <w:link w:val="2"/>
    <w:qFormat/>
    <w:uiPriority w:val="0"/>
    <w:rPr>
      <w:rFonts w:ascii="黑体" w:hAnsi="黑体" w:eastAsia="黑体"/>
      <w:bCs/>
      <w:color w:val="FF0000"/>
      <w:kern w:val="44"/>
      <w:sz w:val="30"/>
      <w:szCs w:val="30"/>
    </w:rPr>
  </w:style>
  <w:style w:type="character" w:customStyle="1" w:styleId="21">
    <w:name w:val="页脚 字符"/>
    <w:link w:val="9"/>
    <w:qFormat/>
    <w:uiPriority w:val="99"/>
    <w:rPr>
      <w:kern w:val="2"/>
      <w:sz w:val="18"/>
      <w:szCs w:val="18"/>
    </w:rPr>
  </w:style>
  <w:style w:type="character" w:customStyle="1" w:styleId="22">
    <w:name w:val="批注文字 字符"/>
    <w:link w:val="4"/>
    <w:qFormat/>
    <w:uiPriority w:val="0"/>
    <w:rPr>
      <w:kern w:val="2"/>
      <w:sz w:val="21"/>
      <w:szCs w:val="24"/>
    </w:rPr>
  </w:style>
  <w:style w:type="character" w:customStyle="1" w:styleId="23">
    <w:name w:val="正文文本缩进 字符"/>
    <w:link w:val="5"/>
    <w:qFormat/>
    <w:uiPriority w:val="0"/>
    <w:rPr>
      <w:rFonts w:ascii="宋体" w:hAnsi="宋体"/>
      <w:color w:val="000000"/>
      <w:kern w:val="2"/>
      <w:sz w:val="28"/>
      <w:szCs w:val="24"/>
    </w:rPr>
  </w:style>
  <w:style w:type="character" w:customStyle="1" w:styleId="24">
    <w:name w:val="标题 1 Char"/>
    <w:qFormat/>
    <w:uiPriority w:val="0"/>
    <w:rPr>
      <w:rFonts w:ascii="Times New Roman" w:hAnsi="Times New Roman" w:eastAsia="宋体" w:cs="Times New Roman"/>
      <w:b/>
      <w:bCs/>
      <w:kern w:val="44"/>
      <w:sz w:val="44"/>
      <w:szCs w:val="44"/>
    </w:rPr>
  </w:style>
  <w:style w:type="character" w:customStyle="1" w:styleId="25">
    <w:name w:val="批注主题 字符"/>
    <w:link w:val="12"/>
    <w:qFormat/>
    <w:uiPriority w:val="0"/>
    <w:rPr>
      <w:b/>
      <w:bCs/>
      <w:kern w:val="2"/>
      <w:sz w:val="21"/>
      <w:szCs w:val="24"/>
    </w:rPr>
  </w:style>
  <w:style w:type="character" w:customStyle="1" w:styleId="26">
    <w:name w:val="纯文本 字符"/>
    <w:link w:val="6"/>
    <w:qFormat/>
    <w:uiPriority w:val="99"/>
    <w:rPr>
      <w:rFonts w:ascii="宋体" w:hAnsi="Courier New"/>
      <w:kern w:val="2"/>
      <w:sz w:val="21"/>
    </w:rPr>
  </w:style>
  <w:style w:type="character" w:customStyle="1" w:styleId="27">
    <w:name w:val="标题 1 Char1"/>
    <w:qFormat/>
    <w:uiPriority w:val="0"/>
    <w:rPr>
      <w:b/>
      <w:bCs/>
      <w:kern w:val="44"/>
      <w:sz w:val="44"/>
      <w:szCs w:val="44"/>
    </w:rPr>
  </w:style>
  <w:style w:type="paragraph" w:customStyle="1" w:styleId="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彩色底纹 - 强调文字颜色 11"/>
    <w:unhideWhenUsed/>
    <w:qFormat/>
    <w:uiPriority w:val="99"/>
    <w:rPr>
      <w:rFonts w:ascii="Times New Roman" w:hAnsi="Times New Roman" w:eastAsia="宋体" w:cs="Times New Roman"/>
      <w:kern w:val="2"/>
      <w:sz w:val="21"/>
      <w:szCs w:val="24"/>
      <w:lang w:val="en-US" w:eastAsia="zh-CN" w:bidi="ar-SA"/>
    </w:rPr>
  </w:style>
  <w:style w:type="paragraph" w:customStyle="1" w:styleId="30">
    <w:name w:val="彩色列表 - 强调文字颜色 11"/>
    <w:basedOn w:val="1"/>
    <w:qFormat/>
    <w:uiPriority w:val="34"/>
    <w:pPr>
      <w:ind w:firstLine="420" w:firstLineChars="200"/>
    </w:pPr>
  </w:style>
  <w:style w:type="paragraph" w:customStyle="1" w:styleId="31">
    <w:name w:val="中等深浅网格 1 - 着色 21"/>
    <w:basedOn w:val="1"/>
    <w:qFormat/>
    <w:uiPriority w:val="34"/>
    <w:pPr>
      <w:ind w:firstLine="420" w:firstLineChars="200"/>
    </w:pPr>
  </w:style>
  <w:style w:type="paragraph" w:customStyle="1" w:styleId="32">
    <w:name w:val="p0"/>
    <w:basedOn w:val="1"/>
    <w:qFormat/>
    <w:uiPriority w:val="0"/>
    <w:pPr>
      <w:widowControl/>
    </w:pPr>
    <w:rPr>
      <w:rFonts w:ascii="等线" w:hAnsi="等线" w:eastAsia="等线" w:cs="宋体"/>
      <w:kern w:val="0"/>
      <w:szCs w:val="21"/>
    </w:rPr>
  </w:style>
  <w:style w:type="paragraph" w:customStyle="1" w:styleId="33">
    <w:name w:val="Char"/>
    <w:basedOn w:val="1"/>
    <w:semiHidden/>
    <w:qFormat/>
    <w:uiPriority w:val="0"/>
    <w:rPr>
      <w:rFonts w:eastAsia="仿宋_GB2312"/>
      <w:sz w:val="28"/>
    </w:rPr>
  </w:style>
  <w:style w:type="paragraph" w:customStyle="1" w:styleId="3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中等深浅列表 2 - 着色 21"/>
    <w:unhideWhenUsed/>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paragraph" w:customStyle="1" w:styleId="3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未处理的提及1"/>
    <w:basedOn w:val="14"/>
    <w:semiHidden/>
    <w:unhideWhenUsed/>
    <w:qFormat/>
    <w:uiPriority w:val="99"/>
    <w:rPr>
      <w:color w:val="605E5C"/>
      <w:shd w:val="clear" w:color="auto" w:fill="E1DFDD"/>
    </w:rPr>
  </w:style>
  <w:style w:type="paragraph" w:customStyle="1" w:styleId="4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czb</Company>
  <Pages>127</Pages>
  <Words>32209</Words>
  <Characters>33499</Characters>
  <Lines>1595</Lines>
  <Paragraphs>1194</Paragraphs>
  <TotalTime>540</TotalTime>
  <ScaleCrop>false</ScaleCrop>
  <LinksUpToDate>false</LinksUpToDate>
  <CharactersWithSpaces>64514</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2016-01-22T20:34:00Z</dcterms:created>
  <dc:creator>czb</dc:creator>
  <cp:lastModifiedBy>姜辰昊</cp:lastModifiedBy>
  <cp:lastPrinted>2023-12-22T09:32:00Z</cp:lastPrinted>
  <dcterms:modified xsi:type="dcterms:W3CDTF">2025-12-17T16:51:24Z</dcterms:modified>
  <dc:title>行政事业单位资产清查报表、基础表填报说明</dc:title>
  <cp:revision>918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EC9BAA957D6D4339B0D0253EF166DECB_13</vt:lpwstr>
  </property>
  <property fmtid="{D5CDD505-2E9C-101B-9397-08002B2CF9AE}" pid="4" name="KSOTemplateDocerSaveRecord">
    <vt:lpwstr>eyJoZGlkIjoiMTQ5YjA0MGRmNDg0Mzk4NTkyZDU2MGRiMzA5OWVmZWYiLCJ1c2VySWQiOiI1OTc4NDc5MDIifQ==</vt:lpwstr>
  </property>
</Properties>
</file>