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505C7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Cs w:val="32"/>
          <w:lang w:eastAsia="zh"/>
        </w:rPr>
      </w:pPr>
      <w:bookmarkStart w:id="0" w:name="_GoBack"/>
      <w:bookmarkEnd w:id="0"/>
    </w:p>
    <w:p w14:paraId="2536E47C">
      <w:pPr>
        <w:adjustRightInd w:val="0"/>
        <w:snapToGrid w:val="0"/>
        <w:spacing w:line="560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《上海证券交易所公开募集不动产投资信托基金（REITs）规则适用指引第4号——审核程序（试行）》起草说明</w:t>
      </w:r>
    </w:p>
    <w:p w14:paraId="45D57797">
      <w:pPr>
        <w:widowControl/>
        <w:spacing w:line="560" w:lineRule="exact"/>
        <w:rPr>
          <w:rFonts w:eastAsia="仿宋_GB2312"/>
          <w:szCs w:val="32"/>
        </w:rPr>
      </w:pPr>
    </w:p>
    <w:p w14:paraId="2902E032">
      <w:pPr>
        <w:spacing w:line="560" w:lineRule="exact"/>
        <w:ind w:firstLine="640" w:firstLineChars="200"/>
        <w:rPr>
          <w:rFonts w:hint="eastAsia" w:eastAsia="仿宋_GB2312"/>
          <w:szCs w:val="32"/>
        </w:rPr>
      </w:pPr>
      <w:r>
        <w:rPr>
          <w:rFonts w:eastAsia="仿宋_GB2312"/>
          <w:szCs w:val="32"/>
        </w:rPr>
        <w:t>为贯彻落实</w:t>
      </w:r>
      <w:r>
        <w:rPr>
          <w:rFonts w:hint="eastAsia" w:eastAsia="仿宋_GB2312"/>
          <w:szCs w:val="32"/>
        </w:rPr>
        <w:t>《国务院关于加强监管防范风险推动资本市场高质量发展的若干意见》（国发〔2024〕10号）部署，</w:t>
      </w:r>
      <w:r>
        <w:rPr>
          <w:rFonts w:eastAsia="仿宋_GB2312"/>
          <w:szCs w:val="32"/>
        </w:rPr>
        <w:t>进一步规范</w:t>
      </w:r>
      <w:r>
        <w:rPr>
          <w:rFonts w:hint="eastAsia" w:eastAsia="仿宋_GB2312"/>
          <w:szCs w:val="32"/>
        </w:rPr>
        <w:t>公开募集不动产投资信托基金（REITs）</w:t>
      </w:r>
      <w:r>
        <w:rPr>
          <w:rFonts w:eastAsia="仿宋_GB2312"/>
          <w:szCs w:val="32"/>
        </w:rPr>
        <w:t>业务发展，</w:t>
      </w:r>
      <w:r>
        <w:rPr>
          <w:rFonts w:hint="eastAsia" w:ascii="仿宋_GB2312" w:eastAsia="仿宋_GB2312"/>
          <w:szCs w:val="32"/>
        </w:rPr>
        <w:t>做深做实</w:t>
      </w:r>
      <w:r>
        <w:rPr>
          <w:rFonts w:hint="eastAsia" w:ascii="仿宋_GB2312" w:hAnsi="仿宋_GB2312" w:eastAsia="仿宋_GB2312" w:cs="仿宋_GB2312"/>
          <w:szCs w:val="32"/>
        </w:rPr>
        <w:t>“开门办审核、开门办监管、开</w:t>
      </w:r>
      <w:r>
        <w:rPr>
          <w:rFonts w:hint="eastAsia" w:ascii="仿宋_GB2312" w:eastAsia="仿宋_GB2312"/>
          <w:szCs w:val="32"/>
        </w:rPr>
        <w:t>门办服务”工作，</w:t>
      </w:r>
      <w:r>
        <w:rPr>
          <w:rFonts w:eastAsia="仿宋_GB2312"/>
          <w:szCs w:val="32"/>
        </w:rPr>
        <w:t>本所根据《上海证券交易所公开募集</w:t>
      </w:r>
      <w:r>
        <w:rPr>
          <w:rFonts w:hint="eastAsia" w:eastAsia="仿宋_GB2312"/>
          <w:szCs w:val="32"/>
        </w:rPr>
        <w:t>不动产投资信托</w:t>
      </w:r>
      <w:r>
        <w:rPr>
          <w:rFonts w:eastAsia="仿宋_GB2312"/>
          <w:szCs w:val="32"/>
        </w:rPr>
        <w:t>基金（REITs）业务办法（试行）》等规定，制定</w:t>
      </w:r>
      <w:r>
        <w:rPr>
          <w:rFonts w:hint="eastAsia" w:eastAsia="仿宋_GB2312"/>
          <w:szCs w:val="32"/>
        </w:rPr>
        <w:t>了</w:t>
      </w:r>
      <w:r>
        <w:rPr>
          <w:rFonts w:eastAsia="仿宋_GB2312"/>
          <w:szCs w:val="32"/>
        </w:rPr>
        <w:t>《</w:t>
      </w:r>
      <w:r>
        <w:rPr>
          <w:rFonts w:hint="eastAsia" w:eastAsia="仿宋_GB2312"/>
          <w:szCs w:val="32"/>
        </w:rPr>
        <w:t>上海证券交易所公开募集不动产投资信托基金（REITs）规则适用指引第4号</w:t>
      </w:r>
      <w:r>
        <w:rPr>
          <w:rFonts w:eastAsia="仿宋_GB2312"/>
          <w:szCs w:val="32"/>
        </w:rPr>
        <w:t>——</w:t>
      </w:r>
      <w:r>
        <w:rPr>
          <w:rFonts w:hint="eastAsia" w:eastAsia="仿宋_GB2312"/>
          <w:szCs w:val="32"/>
        </w:rPr>
        <w:t>审核程序（试行）</w:t>
      </w:r>
      <w:r>
        <w:rPr>
          <w:rFonts w:eastAsia="仿宋_GB2312"/>
          <w:szCs w:val="32"/>
        </w:rPr>
        <w:t>》（以下简称《审核</w:t>
      </w:r>
      <w:r>
        <w:rPr>
          <w:rFonts w:hint="eastAsia" w:eastAsia="仿宋_GB2312"/>
          <w:szCs w:val="32"/>
          <w:lang w:eastAsia="zh"/>
        </w:rPr>
        <w:t>程序</w:t>
      </w:r>
      <w:r>
        <w:rPr>
          <w:rFonts w:eastAsia="仿宋_GB2312"/>
          <w:szCs w:val="32"/>
        </w:rPr>
        <w:t>指引》）</w:t>
      </w:r>
      <w:r>
        <w:rPr>
          <w:rFonts w:hint="eastAsia" w:eastAsia="仿宋_GB2312"/>
          <w:szCs w:val="32"/>
        </w:rPr>
        <w:t>，现将相关情况说明如下：</w:t>
      </w:r>
    </w:p>
    <w:p w14:paraId="5E2834EA">
      <w:pPr>
        <w:pStyle w:val="7"/>
        <w:ind w:firstLine="640" w:firstLineChars="200"/>
        <w:jc w:val="both"/>
        <w:rPr>
          <w:rFonts w:ascii="黑体" w:hAnsi="黑体"/>
          <w:sz w:val="32"/>
          <w:szCs w:val="32"/>
        </w:rPr>
      </w:pPr>
      <w:r>
        <w:rPr>
          <w:rFonts w:hint="eastAsia" w:ascii="黑体" w:hAnsi="黑体"/>
          <w:sz w:val="32"/>
          <w:szCs w:val="32"/>
        </w:rPr>
        <w:t>一、起草</w:t>
      </w:r>
      <w:r>
        <w:rPr>
          <w:rFonts w:ascii="黑体" w:hAnsi="黑体"/>
          <w:sz w:val="32"/>
          <w:szCs w:val="32"/>
        </w:rPr>
        <w:t>背景</w:t>
      </w:r>
    </w:p>
    <w:p w14:paraId="5E25F84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在中国证监会的领导下</w:t>
      </w:r>
      <w:r>
        <w:rPr>
          <w:rFonts w:eastAsia="仿宋_GB2312"/>
          <w:szCs w:val="32"/>
        </w:rPr>
        <w:t>，REITs</w:t>
      </w:r>
      <w:r>
        <w:rPr>
          <w:rFonts w:hint="eastAsia" w:ascii="仿宋_GB2312" w:hAnsi="仿宋_GB2312" w:eastAsia="仿宋_GB2312" w:cs="仿宋_GB2312"/>
          <w:szCs w:val="32"/>
        </w:rPr>
        <w:t>市场加快提质扩面，运行整体平稳，已</w:t>
      </w:r>
      <w:r>
        <w:rPr>
          <w:rFonts w:eastAsia="仿宋_GB2312"/>
          <w:szCs w:val="32"/>
        </w:rPr>
        <w:t>形成行之有效的审核工作机制。</w:t>
      </w:r>
      <w:r>
        <w:rPr>
          <w:rFonts w:eastAsia="仿宋_GB2312"/>
        </w:rPr>
        <w:t>2025年12月，中国证监会发布《关于推进不动产投资信托基金（REITs）市场高质量发展有关工作的通知》。</w:t>
      </w:r>
      <w:r>
        <w:rPr>
          <w:rFonts w:eastAsia="仿宋_GB2312"/>
          <w:szCs w:val="32"/>
        </w:rPr>
        <w:t>本所结合业务实践，起草了《审核</w:t>
      </w:r>
      <w:r>
        <w:rPr>
          <w:rFonts w:eastAsia="仿宋_GB2312"/>
          <w:szCs w:val="32"/>
          <w:lang w:eastAsia="zh"/>
        </w:rPr>
        <w:t>程序</w:t>
      </w:r>
      <w:r>
        <w:rPr>
          <w:rFonts w:eastAsia="仿宋_GB2312"/>
          <w:szCs w:val="32"/>
        </w:rPr>
        <w:t>指引》，旨在健全业务规则体系</w:t>
      </w:r>
      <w:r>
        <w:rPr>
          <w:rFonts w:hint="eastAsia" w:eastAsia="仿宋_GB2312"/>
          <w:szCs w:val="32"/>
        </w:rPr>
        <w:t>，</w:t>
      </w:r>
      <w:r>
        <w:rPr>
          <w:rFonts w:eastAsia="仿宋_GB2312"/>
          <w:szCs w:val="32"/>
        </w:rPr>
        <w:t>提升审核透明度</w:t>
      </w:r>
      <w:r>
        <w:rPr>
          <w:rFonts w:hint="eastAsia" w:eastAsia="仿宋_GB2312"/>
          <w:szCs w:val="32"/>
        </w:rPr>
        <w:t>和审核工作质效。</w:t>
      </w:r>
    </w:p>
    <w:p w14:paraId="78298AA3">
      <w:pPr>
        <w:pStyle w:val="7"/>
        <w:ind w:firstLine="640" w:firstLineChars="200"/>
        <w:jc w:val="both"/>
        <w:rPr>
          <w:rFonts w:ascii="黑体" w:hAnsi="黑体"/>
          <w:sz w:val="32"/>
          <w:szCs w:val="32"/>
        </w:rPr>
      </w:pPr>
      <w:r>
        <w:rPr>
          <w:rFonts w:hint="eastAsia" w:ascii="黑体" w:hAnsi="黑体"/>
          <w:sz w:val="32"/>
          <w:szCs w:val="32"/>
        </w:rPr>
        <w:t>二、</w:t>
      </w:r>
      <w:r>
        <w:rPr>
          <w:rFonts w:ascii="黑体" w:hAnsi="黑体"/>
          <w:sz w:val="32"/>
          <w:szCs w:val="32"/>
        </w:rPr>
        <w:t>主要内容</w:t>
      </w:r>
    </w:p>
    <w:p w14:paraId="1132FDA2">
      <w:pPr>
        <w:spacing w:line="560" w:lineRule="exact"/>
        <w:ind w:firstLine="640" w:firstLineChars="200"/>
        <w:rPr>
          <w:rFonts w:ascii="仿宋_GB2312" w:hAnsi="仿宋_GB2312" w:eastAsia="仿宋_GB2312"/>
          <w:szCs w:val="32"/>
        </w:rPr>
      </w:pPr>
      <w:r>
        <w:rPr>
          <w:rFonts w:eastAsia="仿宋_GB2312"/>
          <w:szCs w:val="32"/>
        </w:rPr>
        <w:t>《审核</w:t>
      </w:r>
      <w:r>
        <w:rPr>
          <w:rFonts w:hint="eastAsia" w:eastAsia="仿宋_GB2312"/>
          <w:szCs w:val="32"/>
          <w:lang w:eastAsia="zh"/>
        </w:rPr>
        <w:t>程序</w:t>
      </w:r>
      <w:r>
        <w:rPr>
          <w:rFonts w:eastAsia="仿宋_GB2312"/>
          <w:szCs w:val="32"/>
        </w:rPr>
        <w:t>指引》</w:t>
      </w:r>
      <w:r>
        <w:rPr>
          <w:rFonts w:hint="eastAsia" w:eastAsia="仿宋_GB2312"/>
          <w:szCs w:val="32"/>
          <w:lang w:eastAsia="zh"/>
        </w:rPr>
        <w:t>共3</w:t>
      </w:r>
      <w:r>
        <w:rPr>
          <w:rFonts w:hint="eastAsia" w:eastAsia="仿宋_GB2312"/>
          <w:szCs w:val="32"/>
        </w:rPr>
        <w:t>2</w:t>
      </w:r>
      <w:r>
        <w:rPr>
          <w:rFonts w:hint="eastAsia" w:eastAsia="仿宋_GB2312"/>
          <w:szCs w:val="32"/>
          <w:lang w:eastAsia="zh"/>
        </w:rPr>
        <w:t>条</w:t>
      </w:r>
      <w:r>
        <w:rPr>
          <w:rFonts w:hint="eastAsia" w:eastAsia="仿宋_GB2312"/>
          <w:szCs w:val="32"/>
        </w:rPr>
        <w:t>，</w:t>
      </w:r>
      <w:r>
        <w:rPr>
          <w:rFonts w:hint="eastAsia" w:ascii="仿宋_GB2312" w:hAnsi="仿宋_GB2312" w:eastAsia="仿宋_GB2312"/>
          <w:szCs w:val="32"/>
        </w:rPr>
        <w:t>分为“总则”、“申请与受理”、“审核、反馈与回复”、“审核会审议”、“审核中止与终止”</w:t>
      </w:r>
      <w:r>
        <w:rPr>
          <w:rFonts w:hint="eastAsia" w:ascii="仿宋_GB2312" w:hAnsi="仿宋_GB2312" w:eastAsia="仿宋_GB2312"/>
          <w:szCs w:val="32"/>
          <w:lang w:eastAsia="zh"/>
        </w:rPr>
        <w:t>和</w:t>
      </w:r>
      <w:r>
        <w:rPr>
          <w:rFonts w:hint="eastAsia" w:ascii="仿宋_GB2312" w:hAnsi="仿宋_GB2312" w:eastAsia="仿宋_GB2312"/>
          <w:szCs w:val="32"/>
        </w:rPr>
        <w:t>“附则”</w:t>
      </w:r>
      <w:r>
        <w:rPr>
          <w:rFonts w:eastAsia="仿宋_GB2312"/>
          <w:szCs w:val="32"/>
        </w:rPr>
        <w:t>6</w:t>
      </w:r>
      <w:r>
        <w:rPr>
          <w:rFonts w:hint="eastAsia" w:ascii="仿宋_GB2312" w:hAnsi="仿宋_GB2312" w:eastAsia="仿宋_GB2312"/>
          <w:szCs w:val="32"/>
        </w:rPr>
        <w:t>章</w:t>
      </w:r>
      <w:r>
        <w:rPr>
          <w:rFonts w:hint="eastAsia" w:eastAsia="仿宋_GB2312"/>
          <w:szCs w:val="32"/>
        </w:rPr>
        <w:t>，主要内容</w:t>
      </w:r>
      <w:r>
        <w:rPr>
          <w:rFonts w:eastAsia="仿宋_GB2312"/>
          <w:szCs w:val="32"/>
        </w:rPr>
        <w:t>如下：</w:t>
      </w:r>
    </w:p>
    <w:p w14:paraId="6FBBDBB0">
      <w:pPr>
        <w:adjustRightInd w:val="0"/>
        <w:snapToGrid w:val="0"/>
        <w:spacing w:line="560" w:lineRule="exact"/>
        <w:ind w:firstLine="640" w:firstLineChars="200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（一）总则</w:t>
      </w:r>
    </w:p>
    <w:p w14:paraId="536CF382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明确了指引制定目的与依据、适用范围、审核原则、回避要求</w:t>
      </w:r>
      <w:r>
        <w:rPr>
          <w:rFonts w:hint="eastAsia" w:eastAsia="仿宋_GB2312"/>
          <w:szCs w:val="32"/>
          <w:lang w:eastAsia="zh"/>
        </w:rPr>
        <w:t>、</w:t>
      </w:r>
      <w:r>
        <w:rPr>
          <w:rFonts w:eastAsia="仿宋_GB2312"/>
          <w:szCs w:val="32"/>
        </w:rPr>
        <w:t>申报即纳入监管要求</w:t>
      </w:r>
      <w:r>
        <w:rPr>
          <w:rFonts w:hint="eastAsia" w:eastAsia="仿宋_GB2312"/>
          <w:szCs w:val="32"/>
          <w:lang w:eastAsia="zh"/>
        </w:rPr>
        <w:t>，</w:t>
      </w:r>
      <w:r>
        <w:rPr>
          <w:rFonts w:hint="eastAsia" w:ascii="仿宋_GB2312" w:hAnsi="仿宋" w:eastAsia="仿宋_GB2312" w:cs="仿宋_GB2312"/>
          <w:szCs w:val="32"/>
          <w:lang w:bidi="ar"/>
        </w:rPr>
        <w:t>以及投资者</w:t>
      </w:r>
      <w:r>
        <w:rPr>
          <w:rFonts w:hint="eastAsia" w:ascii="仿宋_GB2312" w:hAnsi="仿宋" w:eastAsia="仿宋_GB2312" w:cs="仿宋_GB2312"/>
          <w:bCs/>
          <w:szCs w:val="32"/>
          <w:lang w:bidi="ar"/>
        </w:rPr>
        <w:t>自主作出投资决策并承担投资风险</w:t>
      </w:r>
      <w:r>
        <w:rPr>
          <w:rFonts w:hint="eastAsia" w:ascii="仿宋_GB2312" w:hAnsi="仿宋" w:eastAsia="仿宋_GB2312" w:cs="仿宋_GB2312"/>
          <w:szCs w:val="32"/>
          <w:lang w:bidi="ar"/>
        </w:rPr>
        <w:t>等内容</w:t>
      </w:r>
      <w:r>
        <w:rPr>
          <w:rFonts w:hint="eastAsia" w:ascii="仿宋_GB2312" w:eastAsia="仿宋_GB2312" w:cs="仿宋_GB2312"/>
          <w:szCs w:val="32"/>
          <w:lang w:bidi="ar"/>
        </w:rPr>
        <w:t>。</w:t>
      </w:r>
    </w:p>
    <w:p w14:paraId="53E121B3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szCs w:val="32"/>
        </w:rPr>
      </w:pPr>
      <w:r>
        <w:rPr>
          <w:rFonts w:ascii="楷体_GB2312" w:eastAsia="楷体_GB2312"/>
          <w:szCs w:val="32"/>
        </w:rPr>
        <w:t>（二）申请与受理</w:t>
      </w:r>
    </w:p>
    <w:p w14:paraId="62BDCA3B">
      <w:pPr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明确了</w:t>
      </w:r>
      <w:r>
        <w:rPr>
          <w:rFonts w:hint="eastAsia" w:eastAsia="仿宋_GB2312"/>
          <w:szCs w:val="32"/>
        </w:rPr>
        <w:t>不动产投资信托基金（REITs）</w:t>
      </w:r>
      <w:r>
        <w:rPr>
          <w:rFonts w:eastAsia="仿宋_GB2312"/>
          <w:szCs w:val="32"/>
        </w:rPr>
        <w:t>发行上市和</w:t>
      </w:r>
      <w:r>
        <w:rPr>
          <w:rFonts w:hint="eastAsia" w:eastAsia="仿宋_GB2312"/>
          <w:szCs w:val="32"/>
          <w:lang w:eastAsia="zh"/>
        </w:rPr>
        <w:t>不动产</w:t>
      </w:r>
      <w:r>
        <w:rPr>
          <w:rFonts w:eastAsia="仿宋_GB2312"/>
          <w:szCs w:val="32"/>
        </w:rPr>
        <w:t>资产支持证券挂牌转让申请文件的提交方式、受理时限、补正时限和不予受理情形。</w:t>
      </w:r>
    </w:p>
    <w:p w14:paraId="506A6441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szCs w:val="32"/>
        </w:rPr>
      </w:pPr>
      <w:r>
        <w:rPr>
          <w:rFonts w:ascii="楷体_GB2312" w:eastAsia="楷体_GB2312"/>
          <w:szCs w:val="32"/>
        </w:rPr>
        <w:t>（三）审核、反馈与回复</w:t>
      </w:r>
    </w:p>
    <w:p w14:paraId="662C5912">
      <w:pPr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明确了双人审核安排、出具反馈意见的程序和时限要求、回复反馈意见的时限要求、静默期要求，以及在审项目沟通程序</w:t>
      </w:r>
      <w:r>
        <w:rPr>
          <w:rFonts w:hint="eastAsia" w:eastAsia="仿宋_GB2312"/>
          <w:szCs w:val="32"/>
          <w:lang w:eastAsia="zh"/>
        </w:rPr>
        <w:t>和</w:t>
      </w:r>
      <w:r>
        <w:rPr>
          <w:rFonts w:eastAsia="仿宋_GB2312"/>
          <w:szCs w:val="32"/>
        </w:rPr>
        <w:t>再次出具反馈意见情形等。</w:t>
      </w:r>
    </w:p>
    <w:p w14:paraId="6D2F7B40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szCs w:val="32"/>
        </w:rPr>
      </w:pPr>
      <w:r>
        <w:rPr>
          <w:rFonts w:ascii="楷体_GB2312" w:eastAsia="楷体_GB2312"/>
          <w:szCs w:val="32"/>
        </w:rPr>
        <w:t>（四）审核会审议</w:t>
      </w:r>
    </w:p>
    <w:p w14:paraId="7CDF35F1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明确了审核会</w:t>
      </w:r>
      <w:r>
        <w:rPr>
          <w:rFonts w:hint="eastAsia" w:eastAsia="仿宋_GB2312"/>
          <w:szCs w:val="32"/>
          <w:lang w:eastAsia="zh"/>
        </w:rPr>
        <w:t>组织</w:t>
      </w:r>
      <w:r>
        <w:rPr>
          <w:rFonts w:eastAsia="仿宋_GB2312"/>
          <w:szCs w:val="32"/>
        </w:rPr>
        <w:t>召开、审议意见、暂缓审议程序以及本所出具审核意见形式等事宜，细化现场问询、审核会后补充披露或者完善相关事项的落实要求。</w:t>
      </w:r>
    </w:p>
    <w:p w14:paraId="3A649179">
      <w:pPr>
        <w:adjustRightInd w:val="0"/>
        <w:snapToGrid w:val="0"/>
        <w:spacing w:line="560" w:lineRule="exact"/>
        <w:ind w:firstLine="640" w:firstLineChars="200"/>
        <w:rPr>
          <w:rFonts w:hint="eastAsia" w:ascii="楷体_GB2312" w:eastAsia="楷体_GB2312"/>
          <w:szCs w:val="32"/>
        </w:rPr>
      </w:pPr>
      <w:r>
        <w:rPr>
          <w:rFonts w:ascii="楷体_GB2312" w:eastAsia="楷体_GB2312"/>
          <w:szCs w:val="32"/>
        </w:rPr>
        <w:t>（五）审核中止与终止</w:t>
      </w:r>
    </w:p>
    <w:p w14:paraId="1DDDB75D">
      <w:pPr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bCs/>
          <w:szCs w:val="32"/>
        </w:rPr>
        <w:t>明确了中止和终止</w:t>
      </w:r>
      <w:r>
        <w:rPr>
          <w:rFonts w:hint="eastAsia" w:eastAsia="仿宋_GB2312"/>
          <w:bCs/>
          <w:szCs w:val="32"/>
          <w:lang w:eastAsia="zh"/>
        </w:rPr>
        <w:t>的具体</w:t>
      </w:r>
      <w:r>
        <w:rPr>
          <w:rFonts w:eastAsia="仿宋_GB2312"/>
          <w:bCs/>
          <w:szCs w:val="32"/>
        </w:rPr>
        <w:t>情形，中止审核的期限不超过3个月。</w:t>
      </w:r>
      <w:r>
        <w:rPr>
          <w:rFonts w:eastAsia="仿宋_GB2312"/>
          <w:szCs w:val="32"/>
        </w:rPr>
        <w:t>同时，明确了</w:t>
      </w:r>
      <w:r>
        <w:rPr>
          <w:rFonts w:hint="eastAsia" w:eastAsia="仿宋_GB2312"/>
          <w:szCs w:val="32"/>
          <w:lang w:eastAsia="zh"/>
        </w:rPr>
        <w:t>发生</w:t>
      </w:r>
      <w:r>
        <w:rPr>
          <w:rFonts w:eastAsia="仿宋_GB2312"/>
          <w:szCs w:val="32"/>
        </w:rPr>
        <w:t>重大事项</w:t>
      </w:r>
      <w:r>
        <w:rPr>
          <w:rFonts w:hint="eastAsia" w:eastAsia="仿宋_GB2312"/>
          <w:szCs w:val="32"/>
          <w:lang w:eastAsia="zh"/>
        </w:rPr>
        <w:t>时，</w:t>
      </w:r>
      <w:r>
        <w:rPr>
          <w:rFonts w:hint="eastAsia" w:ascii="仿宋_GB2312" w:eastAsia="仿宋_GB2312" w:cs="仿宋_GB2312"/>
          <w:bCs/>
          <w:szCs w:val="32"/>
          <w:lang w:bidi="ar"/>
        </w:rPr>
        <w:t>管理人和专业机构的</w:t>
      </w:r>
      <w:r>
        <w:rPr>
          <w:rFonts w:eastAsia="仿宋_GB2312"/>
          <w:szCs w:val="32"/>
        </w:rPr>
        <w:t>报告</w:t>
      </w:r>
      <w:r>
        <w:rPr>
          <w:rFonts w:hint="eastAsia" w:eastAsia="仿宋_GB2312"/>
          <w:szCs w:val="32"/>
          <w:lang w:eastAsia="zh"/>
        </w:rPr>
        <w:t>核查义务</w:t>
      </w:r>
      <w:r>
        <w:rPr>
          <w:rFonts w:eastAsia="仿宋_GB2312"/>
          <w:szCs w:val="32"/>
        </w:rPr>
        <w:t>。</w:t>
      </w:r>
    </w:p>
    <w:p w14:paraId="2C87F729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szCs w:val="32"/>
        </w:rPr>
      </w:pPr>
      <w:r>
        <w:rPr>
          <w:rFonts w:ascii="楷体_GB2312" w:eastAsia="楷体_GB2312"/>
          <w:szCs w:val="32"/>
        </w:rPr>
        <w:t>（六）附则</w:t>
      </w:r>
    </w:p>
    <w:p w14:paraId="04BE288F">
      <w:pPr>
        <w:spacing w:line="560" w:lineRule="exact"/>
        <w:ind w:firstLine="640" w:firstLineChars="20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明确了</w:t>
      </w:r>
      <w:r>
        <w:rPr>
          <w:rFonts w:hint="eastAsia" w:ascii="仿宋_GB2312" w:eastAsia="仿宋_GB2312" w:cs="仿宋_GB2312"/>
          <w:bCs/>
          <w:szCs w:val="32"/>
          <w:lang w:bidi="ar"/>
        </w:rPr>
        <w:t>本所履行重大事项请示报告程序要求，规范了</w:t>
      </w:r>
      <w:r>
        <w:rPr>
          <w:rFonts w:hint="eastAsia" w:eastAsia="仿宋_GB2312"/>
          <w:bCs/>
          <w:szCs w:val="32"/>
        </w:rPr>
        <w:t>暂停</w:t>
      </w:r>
      <w:r>
        <w:rPr>
          <w:rFonts w:eastAsia="仿宋_GB2312"/>
          <w:bCs/>
          <w:szCs w:val="32"/>
        </w:rPr>
        <w:t>计时要求，以及扩募参照执行等内容。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14088">
    <w:pPr>
      <w:pStyle w:val="2"/>
      <w:tabs>
        <w:tab w:val="clear" w:pos="4153"/>
      </w:tabs>
      <w:rPr>
        <w:rFonts w:hint="eastAsia" w:ascii="宋体" w:hAnsi="宋体" w:eastAsia="宋体" w:cs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90829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MD88kBAACaAwAADgAAAGRycy9lMm9Eb2MueG1srVPNjtMwEL4j8Q6W&#10;79TZIkE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CUljlsc+Pnnj/OvP+ff38nr&#10;t1mfPkCNabcBE9Pw3g+4NbMf0JlpDyra/EVCBOOo7umirhwSEfnRarlaVRgSGJsviM/un4cI6YP0&#10;lmSjoRHHV1Tlx0+QxtQ5JVdz/kYbU0Zo3H8OxMwelnsfe8xWGnbDRGjn2xPy6XHyDXW46JSYjw6F&#10;zUsyG3E2drNxCFHvu7JFuR6Ed4eETZTecoURdiqMIyvspvXKO/HvvWTd/1Kb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xYwPz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690829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099A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E/ert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9099A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69A51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92C1B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9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vPkuM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692C1B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7CE12"/>
    <w:rsid w:val="00085033"/>
    <w:rsid w:val="000E603E"/>
    <w:rsid w:val="000F11F3"/>
    <w:rsid w:val="000F5B4D"/>
    <w:rsid w:val="001B1255"/>
    <w:rsid w:val="001D6BB9"/>
    <w:rsid w:val="001D7502"/>
    <w:rsid w:val="00326DD4"/>
    <w:rsid w:val="00393CF8"/>
    <w:rsid w:val="003A4275"/>
    <w:rsid w:val="003A5928"/>
    <w:rsid w:val="003C16B2"/>
    <w:rsid w:val="003E6C33"/>
    <w:rsid w:val="0056633F"/>
    <w:rsid w:val="005A24AF"/>
    <w:rsid w:val="006023BC"/>
    <w:rsid w:val="00616377"/>
    <w:rsid w:val="00703223"/>
    <w:rsid w:val="007D18D9"/>
    <w:rsid w:val="00AE3729"/>
    <w:rsid w:val="00CA3C2F"/>
    <w:rsid w:val="00CA6C91"/>
    <w:rsid w:val="00CB045F"/>
    <w:rsid w:val="00D50C58"/>
    <w:rsid w:val="00D62794"/>
    <w:rsid w:val="00DA1FFB"/>
    <w:rsid w:val="00DC2976"/>
    <w:rsid w:val="00E4084E"/>
    <w:rsid w:val="00F15347"/>
    <w:rsid w:val="00F26296"/>
    <w:rsid w:val="00F703A9"/>
    <w:rsid w:val="00F872E6"/>
    <w:rsid w:val="0F6BBF93"/>
    <w:rsid w:val="16EB25B6"/>
    <w:rsid w:val="1DFF8D1D"/>
    <w:rsid w:val="1F3B41CE"/>
    <w:rsid w:val="26E512AD"/>
    <w:rsid w:val="27FEEE70"/>
    <w:rsid w:val="2BEF63B0"/>
    <w:rsid w:val="2CF715D0"/>
    <w:rsid w:val="2DFEB1DC"/>
    <w:rsid w:val="2FF7C2A1"/>
    <w:rsid w:val="31F327A0"/>
    <w:rsid w:val="3AA7CE12"/>
    <w:rsid w:val="3AEDBAEF"/>
    <w:rsid w:val="3BBF1C38"/>
    <w:rsid w:val="3DFFF6DA"/>
    <w:rsid w:val="3E72A690"/>
    <w:rsid w:val="450A71FA"/>
    <w:rsid w:val="4C0A0767"/>
    <w:rsid w:val="520839D6"/>
    <w:rsid w:val="57157157"/>
    <w:rsid w:val="5ED7FAFD"/>
    <w:rsid w:val="5EDE83F8"/>
    <w:rsid w:val="5EE92687"/>
    <w:rsid w:val="5EEE79A8"/>
    <w:rsid w:val="5F3EABA2"/>
    <w:rsid w:val="5F6EF24A"/>
    <w:rsid w:val="5FFDEB4F"/>
    <w:rsid w:val="69076BB0"/>
    <w:rsid w:val="6A4126E4"/>
    <w:rsid w:val="6E5C7FDC"/>
    <w:rsid w:val="6ECF55E2"/>
    <w:rsid w:val="71DCF603"/>
    <w:rsid w:val="77BF6D78"/>
    <w:rsid w:val="7B73E7D4"/>
    <w:rsid w:val="7BEFB308"/>
    <w:rsid w:val="7C772742"/>
    <w:rsid w:val="7D7C3372"/>
    <w:rsid w:val="7DFAB06D"/>
    <w:rsid w:val="7EF9DD20"/>
    <w:rsid w:val="7F77942D"/>
    <w:rsid w:val="7F78B4D1"/>
    <w:rsid w:val="7F7B1E6D"/>
    <w:rsid w:val="7FFE01B5"/>
    <w:rsid w:val="8EEF8748"/>
    <w:rsid w:val="9FFEFB55"/>
    <w:rsid w:val="A2DBD2EB"/>
    <w:rsid w:val="A7FBD2AD"/>
    <w:rsid w:val="ABFF373C"/>
    <w:rsid w:val="AF66A4D4"/>
    <w:rsid w:val="B96FF62A"/>
    <w:rsid w:val="B97B6949"/>
    <w:rsid w:val="BD67842B"/>
    <w:rsid w:val="BD75A0E0"/>
    <w:rsid w:val="BDFE7934"/>
    <w:rsid w:val="C4FB8DB5"/>
    <w:rsid w:val="D37FC276"/>
    <w:rsid w:val="D5E5DF5E"/>
    <w:rsid w:val="D7B71B15"/>
    <w:rsid w:val="D7BFEB7A"/>
    <w:rsid w:val="D97F236E"/>
    <w:rsid w:val="DBFF5FEB"/>
    <w:rsid w:val="DEF75C4A"/>
    <w:rsid w:val="DFC50220"/>
    <w:rsid w:val="DFDBDC00"/>
    <w:rsid w:val="E3FD50B2"/>
    <w:rsid w:val="ECF5BBC7"/>
    <w:rsid w:val="EDDFFD5C"/>
    <w:rsid w:val="EDFE79C2"/>
    <w:rsid w:val="F6F798E3"/>
    <w:rsid w:val="F7F7CCFD"/>
    <w:rsid w:val="FADBAC03"/>
    <w:rsid w:val="FB47F9D0"/>
    <w:rsid w:val="FB6B55B8"/>
    <w:rsid w:val="FCBE9FF1"/>
    <w:rsid w:val="FDEF65C4"/>
    <w:rsid w:val="FDF7399D"/>
    <w:rsid w:val="FE9F462A"/>
    <w:rsid w:val="FED7E2BF"/>
    <w:rsid w:val="FF3FDDD3"/>
    <w:rsid w:val="FFCF11E9"/>
    <w:rsid w:val="FFF55F8C"/>
    <w:rsid w:val="FFFDF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"/>
    <w:unhideWhenUsed/>
    <w:uiPriority w:val="99"/>
    <w:rPr>
      <w:rFonts w:eastAsia="仿宋"/>
      <w:kern w:val="2"/>
      <w:sz w:val="32"/>
      <w:szCs w:val="22"/>
      <w:lang w:val="en-US" w:eastAsia="zh-CN" w:bidi="ar-SA"/>
    </w:rPr>
  </w:style>
  <w:style w:type="paragraph" w:customStyle="1" w:styleId="7">
    <w:name w:val="一级标题-指南一"/>
    <w:basedOn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ascii="Calibri" w:hAnsi="Calibri" w:eastAsia="黑体"/>
      <w:bCs/>
      <w:color w:val="000000"/>
      <w:kern w:val="0"/>
      <w:sz w:val="21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879</Words>
  <Characters>918</Characters>
  <Lines>6</Lines>
  <Paragraphs>1</Paragraphs>
  <TotalTime>0</TotalTime>
  <ScaleCrop>false</ScaleCrop>
  <LinksUpToDate>false</LinksUpToDate>
  <CharactersWithSpaces>918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2025-12-31T00:24:00Z</dcterms:created>
  <dc:creator>sse</dc:creator>
  <cp:lastModifiedBy>whxu</cp:lastModifiedBy>
  <dcterms:modified xsi:type="dcterms:W3CDTF">2025-12-31T15:04:30Z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DE90E8118D373ED1FECA54695A36448C_43</vt:lpwstr>
  </property>
</Properties>
</file>