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129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深圳证券交易所公司债券存续期监管业务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指引第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号——信息披露事务负责人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履职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规范公司债券信息披露事务负责人履职，提升公司债券信息披露质量，保护债券投资者合法权益，深圳证券交易所（以下简称本所）制定形成《公司债券存续期监管业务指引第4号——信息披露事务负责人履职》（以下简称《信披负责人履职指引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《信披负责人履职指引》共20条，具体包括以下内容：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0"/>
          <w:highlight w:val="none"/>
          <w:lang w:val="en-US" w:eastAsia="zh-CN"/>
        </w:rPr>
        <w:t>（一）明确任职管理要求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一是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明确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信息披露事务负责人应当由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债券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发行人的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董事、高级管理人员或者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履行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同等职责的人员担任，要求其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忠实、勤勉地履行职责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二是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明确四类不得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担任信息披露事务负责人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情形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，包括存在《公司法》第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178条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规定的不得担任董监高情形、最近三年受到证监会行政处罚、最近三年受到交易所或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国务院批准的其他全国性证券交易场所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2次以上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公开谴责或者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次以上通报批评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、被交易所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或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国务院批准的其他全国性证券交易场所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认定为证券董监高不适格人选。</w:t>
      </w:r>
      <w:r>
        <w:rPr>
          <w:rFonts w:hint="eastAsia" w:ascii="黑体" w:hAnsi="黑体" w:eastAsia="黑体" w:cs="黑体"/>
          <w:sz w:val="32"/>
          <w:szCs w:val="40"/>
          <w:highlight w:val="none"/>
          <w:lang w:eastAsia="zh-CN"/>
        </w:rPr>
        <w:t>三是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明确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信息披露事务负责人变更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、空缺、无法正常履职的信息披露及聘任要求，规定债券发行人应当及时披露并尽快聘任；债券发行人未按要求聘任或指定代行职责人员的，视为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由法定代表人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担任。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0"/>
          <w:highlight w:val="none"/>
          <w:lang w:val="en-US" w:eastAsia="zh-CN"/>
        </w:rPr>
        <w:t>（二）明确主要职责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一是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要求信息披露事务负责人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签署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履职承诺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，由债券发行人在申请发行公司债券时予以提交，信息披露事务负责人未发生变更的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无需重复签署。</w:t>
      </w:r>
      <w: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  <w:t>二是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细化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信息披露事务负责人的核心职责，包括信息披露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工作的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组织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协调、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债券投资者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关系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管理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、内幕信息保密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管理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、档案管理等。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明确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信息披露事务负责人应当积极、主动督促债券发行人规范运作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0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0"/>
          <w:highlight w:val="none"/>
          <w:lang w:eastAsia="zh-CN"/>
        </w:rPr>
        <w:t>（三）明确履职保障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一是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明确债券发行人应当确定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负责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信息披露事务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管理部门、由信息披露事务负责人负责管理，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指定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一名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信息披露事务联络人协助履行职责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黑体" w:hAnsi="黑体" w:eastAsia="黑体" w:cs="黑体"/>
          <w:sz w:val="32"/>
          <w:szCs w:val="40"/>
          <w:highlight w:val="none"/>
          <w:lang w:eastAsia="zh-CN"/>
        </w:rPr>
        <w:t>二是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要求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债券发行人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制定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并公告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信息披露事务管理制度，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内容包括信息披露事务负责人选任机制、信息披露事务管理部门职责、信息披露与内幕信息管理规范、子公司信息披露事务管理和报告制度等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三是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规定信息披露事务负责人履职过程中有权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查阅文件、参与重大会议等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，强调债券发行人及相关工作人员应当配合信息披露事务负责人工作，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信息披露事务负责人履职提供便利条件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0"/>
          <w:highlight w:val="none"/>
          <w:lang w:eastAsia="zh-CN"/>
        </w:rPr>
        <w:t>（四）明确</w:t>
      </w:r>
      <w:r>
        <w:rPr>
          <w:rFonts w:hint="eastAsia" w:ascii="楷体" w:hAnsi="楷体" w:eastAsia="楷体" w:cs="楷体"/>
          <w:b w:val="0"/>
          <w:bCs w:val="0"/>
          <w:sz w:val="32"/>
          <w:szCs w:val="30"/>
          <w:highlight w:val="none"/>
          <w:lang w:val="en-US" w:eastAsia="zh-CN"/>
        </w:rPr>
        <w:t>自律管理安排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一是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明确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本所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对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债券发行人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及其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董监高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、信息披露事务负责人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和联络人及其他相关主体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进行自律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管理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  <w:r>
        <w:rPr>
          <w:rFonts w:hint="eastAsia" w:ascii="黑体" w:hAnsi="黑体" w:eastAsia="黑体" w:cs="黑体"/>
          <w:sz w:val="32"/>
          <w:szCs w:val="40"/>
          <w:highlight w:val="none"/>
          <w:lang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建立培训机制，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本所可以单独或者联合其他监管部门为信息披露事务负责人、联络人等提供培训服务。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三是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设置鼓励措施，规定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对表现优秀的信息披露事务负责人，本所可以采取书面表扬等措施，并可以依规对相关债券发行人在产品创新、市场服务等方面给予支持。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-476885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7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2eIZj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27008"/>
    <w:rsid w:val="01353907"/>
    <w:rsid w:val="052E6A0B"/>
    <w:rsid w:val="05AF4FAD"/>
    <w:rsid w:val="0654736D"/>
    <w:rsid w:val="08873E8E"/>
    <w:rsid w:val="0C4B673B"/>
    <w:rsid w:val="0CAC4948"/>
    <w:rsid w:val="0D6931FC"/>
    <w:rsid w:val="12541629"/>
    <w:rsid w:val="15A55C16"/>
    <w:rsid w:val="162852F6"/>
    <w:rsid w:val="19EBD629"/>
    <w:rsid w:val="1EB83620"/>
    <w:rsid w:val="20EC4695"/>
    <w:rsid w:val="224B672B"/>
    <w:rsid w:val="23761F39"/>
    <w:rsid w:val="237779BB"/>
    <w:rsid w:val="23F52A31"/>
    <w:rsid w:val="289A0B14"/>
    <w:rsid w:val="37D27008"/>
    <w:rsid w:val="38942289"/>
    <w:rsid w:val="3BCD285A"/>
    <w:rsid w:val="3C3770E1"/>
    <w:rsid w:val="3C6273A6"/>
    <w:rsid w:val="3F7BCD95"/>
    <w:rsid w:val="447B0C52"/>
    <w:rsid w:val="44FA5C39"/>
    <w:rsid w:val="4C904157"/>
    <w:rsid w:val="4FF55FB2"/>
    <w:rsid w:val="537E3160"/>
    <w:rsid w:val="54252519"/>
    <w:rsid w:val="56A5688F"/>
    <w:rsid w:val="58CA6DBA"/>
    <w:rsid w:val="5AA06DED"/>
    <w:rsid w:val="6870223F"/>
    <w:rsid w:val="6B650E43"/>
    <w:rsid w:val="6CB41B38"/>
    <w:rsid w:val="6EE6BE62"/>
    <w:rsid w:val="737D7356"/>
    <w:rsid w:val="73B173D0"/>
    <w:rsid w:val="74792543"/>
    <w:rsid w:val="75CA0B2F"/>
    <w:rsid w:val="75F74C76"/>
    <w:rsid w:val="79AF259C"/>
    <w:rsid w:val="79F7C230"/>
    <w:rsid w:val="7B1448AF"/>
    <w:rsid w:val="7C7FE7FF"/>
    <w:rsid w:val="7D98E823"/>
    <w:rsid w:val="7D9F2E27"/>
    <w:rsid w:val="7DE24BB5"/>
    <w:rsid w:val="7E510147"/>
    <w:rsid w:val="7EDC6F51"/>
    <w:rsid w:val="7EEFBD08"/>
    <w:rsid w:val="7FFE21DB"/>
    <w:rsid w:val="ABFE5F15"/>
    <w:rsid w:val="BFF7032C"/>
    <w:rsid w:val="DF563413"/>
    <w:rsid w:val="DFEB5B9F"/>
    <w:rsid w:val="EDFE5517"/>
    <w:rsid w:val="EEF3CA99"/>
    <w:rsid w:val="F4DF7522"/>
    <w:rsid w:val="F77440E4"/>
    <w:rsid w:val="FA924233"/>
    <w:rsid w:val="FF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28"/>
      <w:szCs w:val="20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568"/>
    </w:pPr>
    <w:rPr>
      <w:rFonts w:ascii="Calibri" w:hAnsi="Calibri" w:eastAsia="宋体" w:cs="Times New Roman"/>
      <w:sz w:val="2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样式3"/>
    <w:basedOn w:val="8"/>
    <w:qFormat/>
    <w:uiPriority w:val="1"/>
    <w:rPr>
      <w:rFonts w:eastAsia="宋体"/>
      <w:b/>
      <w:color w:val="FF0000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2025-07-09T08:11:00Z</dcterms:created>
  <dc:creator>野原琪之助</dc:creator>
  <cp:lastModifiedBy>xxfb01</cp:lastModifiedBy>
  <cp:lastPrinted>2025-08-27T09:05:00Z</cp:lastPrinted>
  <dcterms:modified xsi:type="dcterms:W3CDTF">2025-12-26T05:54:07Z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C5AC4BD23BF14FE6B0347333C527AA69</vt:lpwstr>
  </property>
  <property fmtid="{D5CDD505-2E9C-101B-9397-08002B2CF9AE}" pid="4" name="KSOTemplateDocerSaveRecord">
    <vt:lpwstr>eyJoZGlkIjoiZGE5MmE5YjMxODYzZGZjNzNiMjNiNTAwZWNiNWQ4MmIiLCJ1c2VySWQiOiI0MDcxNTE3NTEifQ==</vt:lpwstr>
  </property>
</Properties>
</file>