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29"/>
        <w:jc w:val="left"/>
        <w:rPr>
          <w:rFonts w:hint="eastAsia" w:ascii="黑体" w:hAnsi="黑体" w:eastAsia="黑体"/>
          <w:sz w:val="32"/>
          <w:szCs w:val="32"/>
          <w:lang w:val="en-US" w:eastAsia="zh-CN"/>
        </w:rPr>
      </w:pPr>
      <w:bookmarkStart w:id="1" w:name="_GoBack"/>
      <w:bookmarkEnd w:id="1"/>
      <w:r>
        <w:rPr>
          <w:rFonts w:hint="eastAsia" w:ascii="黑体" w:hAnsi="黑体" w:eastAsia="黑体"/>
          <w:sz w:val="32"/>
          <w:szCs w:val="32"/>
        </w:rPr>
        <w:t>附件</w:t>
      </w:r>
      <w:r>
        <w:rPr>
          <w:rFonts w:hint="eastAsia" w:ascii="黑体" w:hAnsi="黑体" w:eastAsia="黑体"/>
          <w:sz w:val="32"/>
          <w:szCs w:val="32"/>
          <w:lang w:val="en-US" w:eastAsia="zh-CN"/>
        </w:rPr>
        <w:t>1</w:t>
      </w:r>
    </w:p>
    <w:p>
      <w:pPr>
        <w:adjustRightInd w:val="0"/>
        <w:snapToGrid w:val="0"/>
        <w:jc w:val="center"/>
        <w:rPr>
          <w:rFonts w:hint="eastAsia" w:ascii="方正小标宋简体" w:hAnsi="方正小标宋简体" w:eastAsia="方正小标宋简体" w:cs="方正小标宋简体"/>
          <w:sz w:val="44"/>
          <w:szCs w:val="44"/>
          <w:highlight w:val="none"/>
        </w:rPr>
      </w:pPr>
    </w:p>
    <w:p>
      <w:pPr>
        <w:adjustRightInd w:val="0"/>
        <w:snapToGrid w:val="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深圳</w:t>
      </w:r>
      <w:r>
        <w:rPr>
          <w:rFonts w:hint="eastAsia" w:ascii="方正小标宋简体" w:hAnsi="方正小标宋简体" w:eastAsia="方正小标宋简体" w:cs="方正小标宋简体"/>
          <w:sz w:val="44"/>
          <w:szCs w:val="44"/>
          <w:highlight w:val="none"/>
          <w:lang w:eastAsia="zh-CN"/>
        </w:rPr>
        <w:t>证券交易所公司</w:t>
      </w:r>
      <w:r>
        <w:rPr>
          <w:rFonts w:hint="eastAsia" w:ascii="方正小标宋简体" w:hAnsi="方正小标宋简体" w:eastAsia="方正小标宋简体" w:cs="方正小标宋简体"/>
          <w:sz w:val="44"/>
          <w:szCs w:val="44"/>
          <w:highlight w:val="none"/>
        </w:rPr>
        <w:t>债券</w:t>
      </w:r>
      <w:r>
        <w:rPr>
          <w:rFonts w:hint="eastAsia" w:ascii="方正小标宋简体" w:hAnsi="方正小标宋简体" w:eastAsia="方正小标宋简体" w:cs="方正小标宋简体"/>
          <w:sz w:val="44"/>
          <w:szCs w:val="44"/>
          <w:highlight w:val="none"/>
          <w:lang w:val="en-US" w:eastAsia="zh-CN"/>
        </w:rPr>
        <w:t>存续期</w:t>
      </w:r>
      <w:r>
        <w:rPr>
          <w:rFonts w:hint="eastAsia" w:ascii="方正小标宋简体" w:hAnsi="方正小标宋简体" w:eastAsia="方正小标宋简体" w:cs="方正小标宋简体"/>
          <w:sz w:val="44"/>
          <w:szCs w:val="44"/>
          <w:highlight w:val="none"/>
          <w:lang w:eastAsia="zh-CN"/>
        </w:rPr>
        <w:t>监管业务指引第</w:t>
      </w:r>
      <w:r>
        <w:rPr>
          <w:rFonts w:hint="eastAsia" w:ascii="方正小标宋简体" w:hAnsi="方正小标宋简体" w:eastAsia="方正小标宋简体" w:cs="方正小标宋简体"/>
          <w:sz w:val="44"/>
          <w:szCs w:val="44"/>
          <w:highlight w:val="none"/>
          <w:lang w:val="en-US" w:eastAsia="zh-CN"/>
        </w:rPr>
        <w:t>4号</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sz w:val="44"/>
          <w:szCs w:val="44"/>
          <w:highlight w:val="none"/>
        </w:rPr>
        <w:t>信息披露事务负责人</w:t>
      </w:r>
      <w:r>
        <w:rPr>
          <w:rFonts w:hint="eastAsia" w:ascii="方正小标宋简体" w:hAnsi="方正小标宋简体" w:eastAsia="方正小标宋简体" w:cs="方正小标宋简体"/>
          <w:sz w:val="44"/>
          <w:szCs w:val="44"/>
          <w:highlight w:val="none"/>
          <w:lang w:eastAsia="zh-CN"/>
        </w:rPr>
        <w:t>履职</w:t>
      </w:r>
    </w:p>
    <w:p>
      <w:pPr>
        <w:adjustRightInd w:val="0"/>
        <w:snapToGrid w:val="0"/>
        <w:jc w:val="center"/>
        <w:rPr>
          <w:rFonts w:hint="eastAsia" w:ascii="方正小标宋简体" w:hAnsi="方正小标宋简体" w:eastAsia="方正小标宋简体" w:cs="方正小标宋简体"/>
          <w:sz w:val="44"/>
          <w:szCs w:val="44"/>
          <w:highlight w:val="none"/>
        </w:rPr>
      </w:pP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第一条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eastAsia="zh-CN"/>
        </w:rPr>
        <w:t>了</w:t>
      </w:r>
      <w:r>
        <w:rPr>
          <w:rFonts w:hint="eastAsia" w:ascii="仿宋" w:hAnsi="仿宋" w:eastAsia="仿宋" w:cs="仿宋"/>
          <w:sz w:val="32"/>
          <w:szCs w:val="32"/>
          <w:highlight w:val="none"/>
        </w:rPr>
        <w:t>规范</w:t>
      </w:r>
      <w:r>
        <w:rPr>
          <w:rFonts w:hint="eastAsia" w:ascii="仿宋" w:hAnsi="仿宋" w:eastAsia="仿宋" w:cs="仿宋"/>
          <w:sz w:val="32"/>
          <w:szCs w:val="32"/>
          <w:highlight w:val="none"/>
          <w:lang w:eastAsia="zh-CN"/>
        </w:rPr>
        <w:t>深圳证券交易所（以下简称本所）</w:t>
      </w:r>
      <w:r>
        <w:rPr>
          <w:rFonts w:hint="eastAsia" w:ascii="仿宋" w:hAnsi="仿宋" w:eastAsia="仿宋" w:cs="仿宋"/>
          <w:sz w:val="32"/>
          <w:szCs w:val="32"/>
          <w:highlight w:val="none"/>
        </w:rPr>
        <w:t>公司债券（含企业债券）信息披露事务负责人</w:t>
      </w:r>
      <w:r>
        <w:rPr>
          <w:rFonts w:hint="eastAsia" w:ascii="仿宋" w:hAnsi="仿宋" w:eastAsia="仿宋" w:cs="仿宋"/>
          <w:sz w:val="32"/>
          <w:szCs w:val="32"/>
          <w:highlight w:val="none"/>
          <w:lang w:eastAsia="zh-CN"/>
        </w:rPr>
        <w:t>履职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提升</w:t>
      </w:r>
      <w:r>
        <w:rPr>
          <w:rFonts w:hint="eastAsia" w:ascii="仿宋" w:hAnsi="仿宋" w:eastAsia="仿宋" w:cs="仿宋"/>
          <w:sz w:val="32"/>
          <w:szCs w:val="32"/>
          <w:highlight w:val="none"/>
        </w:rPr>
        <w:t>公司债券信息披露</w:t>
      </w:r>
      <w:r>
        <w:rPr>
          <w:rFonts w:hint="eastAsia" w:ascii="仿宋" w:hAnsi="仿宋" w:eastAsia="仿宋" w:cs="仿宋"/>
          <w:sz w:val="32"/>
          <w:szCs w:val="32"/>
          <w:highlight w:val="none"/>
          <w:lang w:eastAsia="zh-CN"/>
        </w:rPr>
        <w:t>质量</w:t>
      </w:r>
      <w:r>
        <w:rPr>
          <w:rFonts w:hint="eastAsia" w:ascii="仿宋" w:hAnsi="仿宋" w:eastAsia="仿宋" w:cs="仿宋"/>
          <w:sz w:val="32"/>
          <w:szCs w:val="32"/>
          <w:highlight w:val="none"/>
        </w:rPr>
        <w:t>，保护</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投资者合法权益，根据</w:t>
      </w:r>
      <w:r>
        <w:rPr>
          <w:rFonts w:hint="eastAsia" w:ascii="仿宋" w:hAnsi="仿宋" w:eastAsia="仿宋" w:cs="仿宋"/>
          <w:sz w:val="32"/>
          <w:szCs w:val="32"/>
          <w:highlight w:val="none"/>
          <w:lang w:eastAsia="zh-CN"/>
        </w:rPr>
        <w:t>《深圳证券交易所公司债券上市规则》《深圳证券交易所非公开发行公司债券挂牌规则》</w:t>
      </w:r>
      <w:r>
        <w:rPr>
          <w:rFonts w:hint="eastAsia" w:ascii="仿宋" w:hAnsi="仿宋" w:eastAsia="仿宋" w:cs="仿宋"/>
          <w:sz w:val="32"/>
          <w:szCs w:val="32"/>
          <w:highlight w:val="none"/>
        </w:rPr>
        <w:t>等规定，制定本</w:t>
      </w:r>
      <w:r>
        <w:rPr>
          <w:rFonts w:hint="eastAsia" w:ascii="仿宋" w:hAnsi="仿宋" w:eastAsia="仿宋" w:cs="仿宋"/>
          <w:sz w:val="32"/>
          <w:szCs w:val="32"/>
          <w:highlight w:val="none"/>
          <w:lang w:val="en-US" w:eastAsia="zh-CN"/>
        </w:rPr>
        <w:t>指引</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黑体" w:hAnsi="黑体" w:eastAsia="黑体" w:cs="黑体"/>
          <w:b w:val="0"/>
          <w:bCs/>
          <w:sz w:val="32"/>
          <w:szCs w:val="32"/>
          <w:highlight w:val="none"/>
          <w:lang w:eastAsia="zh-CN"/>
        </w:rPr>
        <w:t>第二条</w:t>
      </w:r>
      <w:r>
        <w:rPr>
          <w:rFonts w:hint="eastAsia" w:ascii="仿宋" w:hAnsi="仿宋" w:eastAsia="仿宋" w:cs="仿宋"/>
          <w:b/>
          <w:sz w:val="32"/>
          <w:szCs w:val="32"/>
          <w:highlight w:val="none"/>
          <w:lang w:val="en-US" w:eastAsia="zh-CN"/>
        </w:rPr>
        <w:t xml:space="preserve">  </w:t>
      </w:r>
      <w:r>
        <w:rPr>
          <w:rFonts w:hint="eastAsia" w:ascii="仿宋" w:hAnsi="仿宋" w:eastAsia="仿宋"/>
          <w:sz w:val="32"/>
          <w:szCs w:val="32"/>
          <w:highlight w:val="none"/>
        </w:rPr>
        <w:t>本指引适用于在</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上市交易或者挂牌转让的公司债券</w:t>
      </w:r>
      <w:r>
        <w:rPr>
          <w:rFonts w:hint="eastAsia" w:ascii="仿宋" w:hAnsi="仿宋" w:eastAsia="仿宋"/>
          <w:sz w:val="32"/>
          <w:szCs w:val="32"/>
          <w:highlight w:val="none"/>
          <w:lang w:eastAsia="zh-CN"/>
        </w:rPr>
        <w:t>信息披露事务负责人的任职履职</w:t>
      </w:r>
      <w:r>
        <w:rPr>
          <w:rFonts w:hint="eastAsia" w:ascii="仿宋" w:hAnsi="仿宋" w:eastAsia="仿宋"/>
          <w:sz w:val="32"/>
          <w:szCs w:val="32"/>
          <w:highlight w:val="none"/>
        </w:rPr>
        <w:t>。</w:t>
      </w:r>
      <w:r>
        <w:rPr>
          <w:rFonts w:hint="eastAsia" w:ascii="Times New Roman" w:hAnsi="Times New Roman" w:eastAsia="仿宋_GB2312" w:cs="Times New Roman"/>
          <w:sz w:val="32"/>
          <w:szCs w:val="32"/>
          <w:highlight w:val="none"/>
        </w:rPr>
        <w:t>本指引未作规定的，适用本所其他业务规则的规定。</w:t>
      </w:r>
    </w:p>
    <w:p>
      <w:pPr>
        <w:adjustRightInd w:val="0"/>
        <w:snapToGrid w:val="0"/>
        <w:spacing w:line="560" w:lineRule="exact"/>
        <w:ind w:firstLine="640" w:firstLineChars="200"/>
        <w:rPr>
          <w:rFonts w:hint="default" w:eastAsia="宋体"/>
          <w:highlight w:val="none"/>
          <w:lang w:eastAsia="zh-CN"/>
        </w:rPr>
      </w:pP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上市公司发行的可转换公司债券的</w:t>
      </w:r>
      <w:r>
        <w:rPr>
          <w:rFonts w:hint="eastAsia" w:ascii="仿宋" w:hAnsi="仿宋" w:eastAsia="仿宋"/>
          <w:sz w:val="32"/>
          <w:szCs w:val="32"/>
          <w:highlight w:val="none"/>
          <w:lang w:eastAsia="zh-CN"/>
        </w:rPr>
        <w:t>信息披露事务负责人的任职履职</w:t>
      </w:r>
      <w:r>
        <w:rPr>
          <w:rFonts w:hint="eastAsia" w:ascii="仿宋" w:hAnsi="仿宋" w:eastAsia="仿宋"/>
          <w:sz w:val="32"/>
          <w:szCs w:val="32"/>
          <w:highlight w:val="none"/>
        </w:rPr>
        <w:t>，不适用本指引。</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Times New Roman" w:hAnsi="Times New Roman" w:eastAsia="仿宋_GB2312" w:cs="Times New Roman"/>
          <w:sz w:val="32"/>
          <w:szCs w:val="32"/>
          <w:highlight w:val="none"/>
        </w:rPr>
        <w:t>债券发行人应当设置信息披露事务负责人</w:t>
      </w:r>
      <w:r>
        <w:rPr>
          <w:rFonts w:hint="eastAsia" w:ascii="Times New Roman" w:hAnsi="Times New Roman" w:eastAsia="仿宋_GB2312" w:cs="Times New Roman"/>
          <w:sz w:val="32"/>
          <w:szCs w:val="32"/>
          <w:highlight w:val="none"/>
          <w:lang w:eastAsia="zh-CN"/>
        </w:rPr>
        <w:t>。</w:t>
      </w:r>
      <w:r>
        <w:rPr>
          <w:rFonts w:hint="eastAsia" w:ascii="仿宋" w:hAnsi="仿宋" w:eastAsia="仿宋" w:cs="仿宋"/>
          <w:sz w:val="32"/>
          <w:szCs w:val="32"/>
          <w:highlight w:val="none"/>
        </w:rPr>
        <w:t>信息披露事务负责人应当</w:t>
      </w:r>
      <w:r>
        <w:rPr>
          <w:rFonts w:hint="eastAsia" w:ascii="仿宋" w:hAnsi="仿宋" w:eastAsia="仿宋" w:cs="仿宋"/>
          <w:sz w:val="32"/>
          <w:szCs w:val="32"/>
          <w:highlight w:val="none"/>
          <w:lang w:eastAsia="zh-CN"/>
        </w:rPr>
        <w:t>遵守法律、行政法规、部门规章、规范性文件（以下统称法律法规）、本指引和本所其他业务规则规定以及相关</w:t>
      </w:r>
      <w:r>
        <w:rPr>
          <w:rFonts w:hint="eastAsia" w:ascii="仿宋" w:hAnsi="仿宋" w:eastAsia="仿宋" w:cs="仿宋"/>
          <w:sz w:val="32"/>
          <w:szCs w:val="32"/>
          <w:highlight w:val="none"/>
        </w:rPr>
        <w:t>约定</w:t>
      </w:r>
      <w:r>
        <w:rPr>
          <w:rFonts w:hint="eastAsia" w:ascii="仿宋" w:hAnsi="仿宋" w:eastAsia="仿宋" w:cs="仿宋"/>
          <w:sz w:val="32"/>
          <w:szCs w:val="32"/>
          <w:highlight w:val="none"/>
          <w:lang w:eastAsia="zh-CN"/>
        </w:rPr>
        <w:t>和承诺</w:t>
      </w:r>
      <w:r>
        <w:rPr>
          <w:rFonts w:hint="eastAsia" w:ascii="仿宋" w:hAnsi="仿宋" w:eastAsia="仿宋" w:cs="仿宋"/>
          <w:sz w:val="32"/>
          <w:szCs w:val="32"/>
          <w:highlight w:val="none"/>
        </w:rPr>
        <w:t>，对债券发行人负责，忠实、勤勉地履行职责。</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w:t>
      </w:r>
      <w:r>
        <w:rPr>
          <w:rFonts w:hint="eastAsia" w:ascii="仿宋" w:hAnsi="仿宋" w:eastAsia="仿宋" w:cs="仿宋"/>
          <w:sz w:val="32"/>
          <w:szCs w:val="32"/>
          <w:highlight w:val="none"/>
          <w:lang w:eastAsia="zh-CN"/>
        </w:rPr>
        <w:t>应当</w:t>
      </w:r>
      <w:r>
        <w:rPr>
          <w:rFonts w:hint="eastAsia" w:ascii="仿宋" w:hAnsi="仿宋" w:eastAsia="仿宋" w:cs="仿宋"/>
          <w:sz w:val="32"/>
          <w:szCs w:val="32"/>
          <w:highlight w:val="none"/>
        </w:rPr>
        <w:t>指定</w:t>
      </w:r>
      <w:r>
        <w:rPr>
          <w:rFonts w:hint="eastAsia" w:ascii="仿宋" w:hAnsi="仿宋" w:eastAsia="仿宋" w:cs="仿宋"/>
          <w:sz w:val="32"/>
          <w:szCs w:val="32"/>
          <w:highlight w:val="none"/>
          <w:lang w:eastAsia="zh-CN"/>
        </w:rPr>
        <w:t>一名</w:t>
      </w:r>
      <w:r>
        <w:rPr>
          <w:rFonts w:hint="eastAsia" w:ascii="仿宋" w:hAnsi="仿宋" w:eastAsia="仿宋" w:cs="仿宋"/>
          <w:sz w:val="32"/>
          <w:szCs w:val="32"/>
          <w:highlight w:val="none"/>
        </w:rPr>
        <w:t>信息披露事务联络人，协助信息披露事务负责人履行职责</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信息披露事务联络人应当具备相应的财务、管理、法律等专业知识。</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信息披露事务负责人应当由</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发行人的</w:t>
      </w:r>
      <w:r>
        <w:rPr>
          <w:rFonts w:hint="eastAsia" w:ascii="仿宋" w:hAnsi="仿宋" w:eastAsia="仿宋" w:cs="仿宋"/>
          <w:sz w:val="32"/>
          <w:szCs w:val="32"/>
          <w:highlight w:val="none"/>
          <w:lang w:eastAsia="zh-CN"/>
        </w:rPr>
        <w:t>董事、高级管理人员或者履行同等职责的人员担任</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下列情形之一的，不得担任信息披露事务负责人：</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中华人民共和国</w:t>
      </w:r>
      <w:r>
        <w:rPr>
          <w:rFonts w:hint="eastAsia" w:ascii="仿宋" w:hAnsi="仿宋" w:eastAsia="仿宋" w:cs="仿宋"/>
          <w:sz w:val="32"/>
          <w:szCs w:val="32"/>
          <w:highlight w:val="none"/>
        </w:rPr>
        <w:t>公司法》</w:t>
      </w:r>
      <w:r>
        <w:rPr>
          <w:rFonts w:hint="eastAsia" w:ascii="仿宋" w:hAnsi="仿宋" w:eastAsia="仿宋" w:cs="仿宋"/>
          <w:bCs/>
          <w:sz w:val="32"/>
          <w:szCs w:val="32"/>
          <w:highlight w:val="none"/>
        </w:rPr>
        <w:t>第</w:t>
      </w:r>
      <w:r>
        <w:rPr>
          <w:rFonts w:hint="eastAsia" w:ascii="仿宋" w:hAnsi="仿宋" w:eastAsia="仿宋" w:cs="仿宋"/>
          <w:sz w:val="32"/>
          <w:szCs w:val="32"/>
          <w:highlight w:val="none"/>
        </w:rPr>
        <w:t>一百七十八条规定的任一情形；</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（二）最近三年受</w:t>
      </w:r>
      <w:r>
        <w:rPr>
          <w:rFonts w:hint="eastAsia" w:ascii="仿宋" w:hAnsi="仿宋" w:eastAsia="仿宋" w:cs="仿宋"/>
          <w:sz w:val="32"/>
          <w:szCs w:val="32"/>
          <w:highlight w:val="none"/>
          <w:lang w:eastAsia="zh-CN"/>
        </w:rPr>
        <w:t>到中国证券监督管理委员会（以下简称</w:t>
      </w:r>
      <w:r>
        <w:rPr>
          <w:rFonts w:hint="eastAsia" w:ascii="仿宋" w:hAnsi="仿宋" w:eastAsia="仿宋" w:cs="仿宋"/>
          <w:sz w:val="32"/>
          <w:szCs w:val="32"/>
          <w:highlight w:val="none"/>
        </w:rPr>
        <w:t>中国证监会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行政处罚；</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（三）最近三年受</w:t>
      </w:r>
      <w:r>
        <w:rPr>
          <w:rFonts w:hint="eastAsia" w:ascii="仿宋" w:hAnsi="仿宋" w:eastAsia="仿宋" w:cs="仿宋"/>
          <w:sz w:val="32"/>
          <w:szCs w:val="32"/>
          <w:highlight w:val="none"/>
          <w:lang w:eastAsia="zh-CN"/>
        </w:rPr>
        <w:t>到</w:t>
      </w:r>
      <w:r>
        <w:rPr>
          <w:rFonts w:hint="eastAsia" w:ascii="仿宋" w:hAnsi="仿宋" w:eastAsia="仿宋" w:cs="仿宋"/>
          <w:sz w:val="32"/>
          <w:szCs w:val="32"/>
          <w:highlight w:val="none"/>
        </w:rPr>
        <w:t>证券交易所、国务院批准的其他全国性证券交易场所</w:t>
      </w:r>
      <w:r>
        <w:rPr>
          <w:rFonts w:hint="eastAsia" w:ascii="仿宋" w:hAnsi="仿宋" w:eastAsia="仿宋" w:cs="仿宋"/>
          <w:sz w:val="32"/>
          <w:szCs w:val="32"/>
          <w:highlight w:val="none"/>
          <w:lang w:val="en-US" w:eastAsia="zh-CN"/>
        </w:rPr>
        <w:t>二次以上</w:t>
      </w:r>
      <w:r>
        <w:rPr>
          <w:rFonts w:hint="eastAsia" w:ascii="仿宋" w:hAnsi="仿宋" w:eastAsia="仿宋" w:cs="仿宋"/>
          <w:sz w:val="32"/>
          <w:szCs w:val="32"/>
          <w:highlight w:val="none"/>
        </w:rPr>
        <w:t>公开谴责或者</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次以上通报批评；</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（四）被证券交易所、国务院批准的其他全国性证券交易场所公开认定为不适合担任</w:t>
      </w:r>
      <w:r>
        <w:rPr>
          <w:rFonts w:hint="eastAsia" w:ascii="仿宋" w:hAnsi="仿宋" w:eastAsia="仿宋" w:cs="仿宋"/>
          <w:sz w:val="32"/>
          <w:szCs w:val="32"/>
          <w:highlight w:val="none"/>
          <w:lang w:eastAsia="zh-CN"/>
        </w:rPr>
        <w:t>证券发行人董事、监事、高级管理人员</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cs="仿宋"/>
          <w:b/>
          <w:bCs/>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债券</w:t>
      </w:r>
      <w:r>
        <w:rPr>
          <w:rFonts w:hint="default" w:ascii="Times New Roman" w:hAnsi="Times New Roman" w:eastAsia="仿宋_GB2312" w:cs="Times New Roman"/>
          <w:sz w:val="32"/>
          <w:szCs w:val="32"/>
          <w:highlight w:val="none"/>
        </w:rPr>
        <w:t>发行人</w:t>
      </w:r>
      <w:r>
        <w:rPr>
          <w:rFonts w:hint="eastAsia" w:ascii="Times New Roman" w:hAnsi="Times New Roman" w:eastAsia="仿宋_GB2312" w:cs="Times New Roman"/>
          <w:sz w:val="32"/>
          <w:szCs w:val="32"/>
          <w:highlight w:val="none"/>
          <w:lang w:eastAsia="zh-CN"/>
        </w:rPr>
        <w:t>应当</w:t>
      </w:r>
      <w:r>
        <w:rPr>
          <w:rFonts w:hint="default" w:ascii="Times New Roman" w:hAnsi="Times New Roman" w:eastAsia="仿宋_GB2312" w:cs="Times New Roman"/>
          <w:sz w:val="32"/>
          <w:szCs w:val="32"/>
          <w:highlight w:val="none"/>
          <w:lang w:eastAsia="zh-CN"/>
        </w:rPr>
        <w:t>在</w:t>
      </w:r>
      <w:r>
        <w:rPr>
          <w:rFonts w:hint="eastAsia" w:ascii="Times New Roman" w:hAnsi="Times New Roman" w:eastAsia="仿宋_GB2312" w:cs="Times New Roman"/>
          <w:sz w:val="32"/>
          <w:szCs w:val="32"/>
          <w:highlight w:val="none"/>
          <w:lang w:eastAsia="zh-CN"/>
        </w:rPr>
        <w:t>募集说明书</w:t>
      </w:r>
      <w:r>
        <w:rPr>
          <w:rFonts w:hint="default" w:ascii="Times New Roman" w:hAnsi="Times New Roman" w:eastAsia="仿宋_GB2312" w:cs="Times New Roman"/>
          <w:sz w:val="32"/>
          <w:szCs w:val="32"/>
          <w:highlight w:val="none"/>
        </w:rPr>
        <w:t>中</w:t>
      </w:r>
      <w:r>
        <w:rPr>
          <w:rFonts w:hint="eastAsia" w:ascii="仿宋" w:hAnsi="仿宋" w:eastAsia="仿宋" w:cs="仿宋"/>
          <w:sz w:val="32"/>
          <w:szCs w:val="32"/>
          <w:highlight w:val="none"/>
        </w:rPr>
        <w:t>披露信息披露事务负责人</w:t>
      </w:r>
      <w:r>
        <w:rPr>
          <w:rFonts w:hint="eastAsia" w:ascii="仿宋" w:hAnsi="仿宋" w:eastAsia="仿宋" w:cs="仿宋"/>
          <w:sz w:val="32"/>
          <w:szCs w:val="32"/>
          <w:highlight w:val="none"/>
          <w:lang w:eastAsia="zh-CN"/>
        </w:rPr>
        <w:t>和联络人</w:t>
      </w:r>
      <w:r>
        <w:rPr>
          <w:rFonts w:hint="eastAsia" w:ascii="仿宋" w:hAnsi="仿宋" w:eastAsia="仿宋" w:cs="仿宋"/>
          <w:sz w:val="32"/>
          <w:szCs w:val="32"/>
          <w:highlight w:val="none"/>
        </w:rPr>
        <w:t>姓名、职务、联系方式等</w:t>
      </w:r>
      <w:r>
        <w:rPr>
          <w:rFonts w:hint="eastAsia" w:ascii="仿宋" w:hAnsi="仿宋" w:eastAsia="仿宋" w:cs="仿宋"/>
          <w:sz w:val="32"/>
          <w:szCs w:val="32"/>
          <w:highlight w:val="none"/>
          <w:lang w:eastAsia="zh-CN"/>
        </w:rPr>
        <w:t>信息</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lang w:eastAsia="zh-CN"/>
        </w:rPr>
        <w:t>第六条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信息披露事务负责人</w:t>
      </w:r>
      <w:r>
        <w:rPr>
          <w:rFonts w:hint="eastAsia" w:ascii="仿宋" w:hAnsi="仿宋" w:eastAsia="仿宋" w:cs="仿宋"/>
          <w:sz w:val="32"/>
          <w:szCs w:val="32"/>
          <w:highlight w:val="none"/>
          <w:lang w:eastAsia="zh-CN"/>
        </w:rPr>
        <w:t>应当签署</w:t>
      </w:r>
      <w:r>
        <w:rPr>
          <w:rFonts w:hint="eastAsia" w:ascii="仿宋" w:hAnsi="仿宋" w:eastAsia="仿宋" w:cs="仿宋"/>
          <w:sz w:val="32"/>
          <w:szCs w:val="32"/>
          <w:highlight w:val="none"/>
        </w:rPr>
        <w:t>履职承诺</w:t>
      </w:r>
      <w:r>
        <w:rPr>
          <w:rFonts w:hint="eastAsia" w:ascii="仿宋" w:hAnsi="仿宋" w:eastAsia="仿宋" w:cs="仿宋"/>
          <w:sz w:val="32"/>
          <w:szCs w:val="32"/>
          <w:highlight w:val="none"/>
          <w:lang w:eastAsia="zh-CN"/>
        </w:rPr>
        <w:t>，确认其符合任职条件，并承诺在任职期间</w:t>
      </w:r>
      <w:r>
        <w:rPr>
          <w:rFonts w:hint="eastAsia" w:ascii="仿宋" w:hAnsi="仿宋" w:eastAsia="仿宋" w:cs="仿宋"/>
          <w:sz w:val="32"/>
          <w:szCs w:val="32"/>
          <w:highlight w:val="none"/>
        </w:rPr>
        <w:t>忠实、勤勉地履行职责。</w:t>
      </w:r>
    </w:p>
    <w:p>
      <w:pPr>
        <w:adjustRightInd w:val="0"/>
        <w:snapToGrid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债券发行人应当在申请发行公司债券时提交信息披露事务负责人签署的履职承诺。信息披露事务负责人未发生变更的</w:t>
      </w:r>
      <w:r>
        <w:rPr>
          <w:rFonts w:hint="eastAsia" w:ascii="仿宋" w:hAnsi="仿宋" w:eastAsia="仿宋" w:cs="仿宋"/>
          <w:sz w:val="32"/>
          <w:szCs w:val="32"/>
          <w:highlight w:val="none"/>
          <w:lang w:val="en-US" w:eastAsia="zh-CN"/>
        </w:rPr>
        <w:t>，无需重复签署。</w:t>
      </w:r>
    </w:p>
    <w:p>
      <w:pPr>
        <w:adjustRightInd w:val="0"/>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黑体" w:hAnsi="黑体" w:eastAsia="黑体" w:cs="黑体"/>
          <w:b w:val="0"/>
          <w:bCs/>
          <w:sz w:val="32"/>
          <w:szCs w:val="32"/>
          <w:highlight w:val="none"/>
          <w:lang w:eastAsia="zh-CN"/>
        </w:rPr>
        <w:t>第七条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sz w:val="32"/>
          <w:szCs w:val="32"/>
          <w:highlight w:val="none"/>
        </w:rPr>
        <w:t xml:space="preserve"> </w:t>
      </w:r>
      <w:r>
        <w:rPr>
          <w:rFonts w:hint="eastAsia" w:ascii="仿宋" w:hAnsi="仿宋" w:eastAsia="仿宋" w:cs="仿宋"/>
          <w:color w:val="auto"/>
          <w:sz w:val="32"/>
          <w:szCs w:val="32"/>
          <w:highlight w:val="none"/>
          <w:lang w:eastAsia="zh-CN"/>
        </w:rPr>
        <w:t>信息披露事务负责人变更、空缺或者无法正常履行职责的，债券发行人</w:t>
      </w:r>
      <w:r>
        <w:rPr>
          <w:rFonts w:hint="eastAsia" w:ascii="仿宋" w:hAnsi="仿宋" w:eastAsia="仿宋" w:cs="仿宋"/>
          <w:color w:val="auto"/>
          <w:sz w:val="32"/>
          <w:szCs w:val="32"/>
          <w:highlight w:val="none"/>
        </w:rPr>
        <w:t>应当及时披露</w:t>
      </w:r>
      <w:r>
        <w:rPr>
          <w:rFonts w:hint="eastAsia" w:ascii="仿宋" w:hAnsi="仿宋" w:eastAsia="仿宋" w:cs="仿宋"/>
          <w:color w:val="auto"/>
          <w:sz w:val="32"/>
          <w:szCs w:val="32"/>
          <w:highlight w:val="none"/>
          <w:lang w:eastAsia="zh-CN"/>
        </w:rPr>
        <w:t>相关情况。</w:t>
      </w:r>
    </w:p>
    <w:p>
      <w:pPr>
        <w:adjustRightInd w:val="0"/>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发生下列情形之一的，债券发行人应当</w:t>
      </w:r>
      <w:r>
        <w:rPr>
          <w:rFonts w:hint="eastAsia" w:ascii="仿宋" w:hAnsi="仿宋" w:eastAsia="仿宋" w:cs="仿宋"/>
          <w:sz w:val="32"/>
          <w:szCs w:val="32"/>
          <w:highlight w:val="none"/>
          <w:lang w:eastAsia="zh-CN"/>
        </w:rPr>
        <w:t>尽快聘任新的信息披</w:t>
      </w:r>
      <w:r>
        <w:rPr>
          <w:rFonts w:hint="eastAsia" w:ascii="仿宋" w:hAnsi="仿宋" w:eastAsia="仿宋" w:cs="仿宋"/>
          <w:color w:val="auto"/>
          <w:sz w:val="32"/>
          <w:szCs w:val="32"/>
          <w:highlight w:val="none"/>
          <w:lang w:eastAsia="zh-CN"/>
        </w:rPr>
        <w:t>露事务负责人：</w:t>
      </w:r>
    </w:p>
    <w:p>
      <w:pPr>
        <w:numPr>
          <w:ilvl w:val="-1"/>
          <w:numId w:val="0"/>
        </w:numPr>
        <w:adjustRightInd w:val="0"/>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（一）信息披露事务负责人空缺；</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（二）信息披露事务负责人因身体、工作安排等原因无法正常履行职责达到或者预计达到</w:t>
      </w:r>
      <w:r>
        <w:rPr>
          <w:rFonts w:hint="eastAsia" w:ascii="仿宋" w:hAnsi="仿宋" w:eastAsia="仿宋" w:cs="仿宋"/>
          <w:color w:val="auto"/>
          <w:sz w:val="32"/>
          <w:szCs w:val="32"/>
          <w:highlight w:val="none"/>
          <w:lang w:val="en-US" w:eastAsia="zh-CN"/>
        </w:rPr>
        <w:t>三个月以上，或者因涉嫌违法违规被有权机关采取强制措施且影响其履行职责的</w:t>
      </w:r>
      <w:r>
        <w:rPr>
          <w:rFonts w:hint="eastAsia" w:ascii="仿宋" w:hAnsi="仿宋" w:eastAsia="仿宋" w:cs="仿宋"/>
          <w:color w:val="auto"/>
          <w:sz w:val="32"/>
          <w:szCs w:val="32"/>
          <w:highlight w:val="none"/>
          <w:lang w:eastAsia="zh-CN"/>
        </w:rPr>
        <w:t>。</w:t>
      </w:r>
    </w:p>
    <w:p>
      <w:pPr>
        <w:adjustRightInd w:val="0"/>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信息披露事务负责人空缺或者无法正常履行职责期间，债券发行人未指定代行信息披露事务负责人职责人员的，由债券发行人的</w:t>
      </w:r>
      <w:r>
        <w:rPr>
          <w:rFonts w:hint="eastAsia" w:ascii="仿宋" w:hAnsi="仿宋" w:eastAsia="仿宋" w:cs="仿宋"/>
          <w:color w:val="auto"/>
          <w:sz w:val="32"/>
          <w:szCs w:val="32"/>
          <w:highlight w:val="none"/>
          <w:lang w:val="en-US" w:eastAsia="zh-CN"/>
        </w:rPr>
        <w:t>法定代表人</w:t>
      </w:r>
      <w:r>
        <w:rPr>
          <w:rFonts w:hint="eastAsia" w:ascii="仿宋" w:hAnsi="仿宋" w:eastAsia="仿宋" w:cs="仿宋"/>
          <w:color w:val="auto"/>
          <w:sz w:val="32"/>
          <w:szCs w:val="32"/>
          <w:highlight w:val="none"/>
          <w:lang w:eastAsia="zh-CN"/>
        </w:rPr>
        <w:t>代行信息披露事务负责人职责，代行期间原则上不超过</w:t>
      </w:r>
      <w:r>
        <w:rPr>
          <w:rFonts w:hint="eastAsia" w:ascii="仿宋" w:hAnsi="仿宋" w:eastAsia="仿宋" w:cs="仿宋"/>
          <w:color w:val="auto"/>
          <w:sz w:val="32"/>
          <w:szCs w:val="32"/>
          <w:highlight w:val="none"/>
          <w:lang w:val="en-US" w:eastAsia="zh-CN"/>
        </w:rPr>
        <w:t>三个月</w:t>
      </w:r>
      <w:r>
        <w:rPr>
          <w:rFonts w:hint="eastAsia" w:ascii="仿宋" w:hAnsi="仿宋" w:eastAsia="仿宋" w:cs="仿宋"/>
          <w:color w:val="auto"/>
          <w:sz w:val="32"/>
          <w:szCs w:val="32"/>
          <w:highlight w:val="none"/>
          <w:lang w:eastAsia="zh-CN"/>
        </w:rPr>
        <w:t>。</w:t>
      </w:r>
    </w:p>
    <w:p>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八</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color w:val="auto"/>
          <w:sz w:val="32"/>
          <w:szCs w:val="32"/>
          <w:highlight w:val="none"/>
          <w:lang w:val="en-US" w:eastAsia="zh-CN"/>
        </w:rPr>
        <w:t xml:space="preserve"> 债券发行人</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照本指引第七条</w:t>
      </w:r>
      <w:r>
        <w:rPr>
          <w:rFonts w:hint="eastAsia" w:ascii="仿宋" w:hAnsi="仿宋" w:eastAsia="仿宋" w:cs="仿宋"/>
          <w:color w:val="auto"/>
          <w:sz w:val="32"/>
          <w:szCs w:val="32"/>
          <w:highlight w:val="none"/>
        </w:rPr>
        <w:t>规定确定并披露信息披露事务负责人或</w:t>
      </w:r>
      <w:r>
        <w:rPr>
          <w:rFonts w:hint="eastAsia" w:ascii="仿宋" w:hAnsi="仿宋" w:eastAsia="仿宋" w:cs="仿宋"/>
          <w:color w:val="auto"/>
          <w:sz w:val="32"/>
          <w:szCs w:val="32"/>
          <w:highlight w:val="none"/>
          <w:lang w:eastAsia="zh-CN"/>
        </w:rPr>
        <w:t>者其职责代行人员的</w:t>
      </w:r>
      <w:r>
        <w:rPr>
          <w:rFonts w:hint="eastAsia" w:ascii="仿宋" w:hAnsi="仿宋" w:eastAsia="仿宋" w:cs="仿宋"/>
          <w:color w:val="auto"/>
          <w:sz w:val="32"/>
          <w:szCs w:val="32"/>
          <w:highlight w:val="none"/>
        </w:rPr>
        <w:t>，视为由</w:t>
      </w:r>
      <w:r>
        <w:rPr>
          <w:rFonts w:hint="eastAsia" w:ascii="仿宋" w:hAnsi="仿宋" w:eastAsia="仿宋" w:cs="仿宋"/>
          <w:color w:val="auto"/>
          <w:sz w:val="32"/>
          <w:szCs w:val="32"/>
          <w:highlight w:val="none"/>
          <w:lang w:eastAsia="zh-CN"/>
        </w:rPr>
        <w:t>债券发行人的</w:t>
      </w:r>
      <w:r>
        <w:rPr>
          <w:rFonts w:hint="eastAsia" w:ascii="仿宋" w:hAnsi="仿宋" w:eastAsia="仿宋" w:cs="仿宋"/>
          <w:color w:val="auto"/>
          <w:sz w:val="32"/>
          <w:szCs w:val="32"/>
          <w:highlight w:val="none"/>
        </w:rPr>
        <w:t>法定代表人担任</w:t>
      </w:r>
      <w:r>
        <w:rPr>
          <w:rFonts w:hint="eastAsia" w:ascii="仿宋" w:hAnsi="仿宋" w:eastAsia="仿宋" w:cs="仿宋"/>
          <w:color w:val="auto"/>
          <w:sz w:val="32"/>
          <w:szCs w:val="32"/>
          <w:highlight w:val="none"/>
          <w:lang w:eastAsia="zh-CN"/>
        </w:rPr>
        <w:t>信息披露事务负责人</w:t>
      </w:r>
      <w:r>
        <w:rPr>
          <w:rFonts w:hint="eastAsia" w:ascii="仿宋" w:hAnsi="仿宋" w:eastAsia="仿宋" w:cs="仿宋"/>
          <w:color w:val="auto"/>
          <w:sz w:val="32"/>
          <w:szCs w:val="32"/>
          <w:highlight w:val="none"/>
        </w:rPr>
        <w:t>。</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九</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信息披露事务负责人</w:t>
      </w:r>
      <w:r>
        <w:rPr>
          <w:rFonts w:hint="eastAsia" w:ascii="仿宋" w:hAnsi="仿宋" w:eastAsia="仿宋" w:cs="仿宋"/>
          <w:sz w:val="32"/>
          <w:szCs w:val="32"/>
          <w:highlight w:val="none"/>
          <w:lang w:eastAsia="zh-CN"/>
        </w:rPr>
        <w:t>主要履行下列职责</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负责</w:t>
      </w:r>
      <w:r>
        <w:rPr>
          <w:rFonts w:hint="eastAsia" w:ascii="仿宋" w:hAnsi="仿宋" w:eastAsia="仿宋" w:cs="仿宋"/>
          <w:sz w:val="32"/>
          <w:szCs w:val="32"/>
          <w:highlight w:val="none"/>
        </w:rPr>
        <w:t>信息披露相关工作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组织制定信息披露事务管理制度，</w:t>
      </w:r>
      <w:r>
        <w:rPr>
          <w:rFonts w:hint="eastAsia" w:ascii="仿宋" w:hAnsi="仿宋" w:eastAsia="仿宋" w:cs="仿宋"/>
          <w:sz w:val="32"/>
          <w:szCs w:val="32"/>
          <w:highlight w:val="none"/>
          <w:lang w:eastAsia="zh-CN"/>
        </w:rPr>
        <w:t>组织编制</w:t>
      </w:r>
      <w:r>
        <w:rPr>
          <w:rFonts w:hint="eastAsia" w:ascii="仿宋" w:hAnsi="仿宋" w:eastAsia="仿宋" w:cs="仿宋"/>
          <w:sz w:val="32"/>
          <w:szCs w:val="32"/>
          <w:highlight w:val="none"/>
        </w:rPr>
        <w:t>信息披露文件</w:t>
      </w:r>
      <w:r>
        <w:rPr>
          <w:rFonts w:hint="eastAsia" w:ascii="仿宋" w:hAnsi="仿宋" w:eastAsia="仿宋" w:cs="仿宋"/>
          <w:sz w:val="32"/>
          <w:szCs w:val="32"/>
          <w:highlight w:val="none"/>
          <w:lang w:eastAsia="zh-CN"/>
        </w:rPr>
        <w:t>并对其</w:t>
      </w:r>
      <w:r>
        <w:rPr>
          <w:rFonts w:hint="eastAsia" w:ascii="仿宋" w:hAnsi="仿宋" w:eastAsia="仿宋" w:cs="仿宋"/>
          <w:sz w:val="32"/>
          <w:szCs w:val="32"/>
          <w:highlight w:val="none"/>
        </w:rPr>
        <w:t>质量</w:t>
      </w:r>
      <w:r>
        <w:rPr>
          <w:rFonts w:hint="eastAsia" w:ascii="仿宋" w:hAnsi="仿宋" w:eastAsia="仿宋" w:cs="仿宋"/>
          <w:sz w:val="32"/>
          <w:szCs w:val="32"/>
          <w:highlight w:val="none"/>
          <w:lang w:eastAsia="zh-CN"/>
        </w:rPr>
        <w:t>进行把关</w:t>
      </w:r>
      <w:r>
        <w:rPr>
          <w:rFonts w:hint="eastAsia" w:ascii="仿宋" w:hAnsi="仿宋" w:eastAsia="仿宋" w:cs="仿宋"/>
          <w:sz w:val="32"/>
          <w:szCs w:val="32"/>
          <w:highlight w:val="none"/>
        </w:rPr>
        <w:t>，督促</w:t>
      </w:r>
      <w:r>
        <w:rPr>
          <w:rFonts w:hint="eastAsia" w:ascii="仿宋" w:hAnsi="仿宋" w:eastAsia="仿宋" w:cs="仿宋"/>
          <w:sz w:val="32"/>
          <w:szCs w:val="32"/>
          <w:highlight w:val="none"/>
          <w:lang w:eastAsia="zh-CN"/>
        </w:rPr>
        <w:t>债券发行人</w:t>
      </w:r>
      <w:r>
        <w:rPr>
          <w:rFonts w:hint="eastAsia" w:ascii="仿宋" w:hAnsi="仿宋" w:eastAsia="仿宋" w:cs="仿宋"/>
          <w:sz w:val="32"/>
          <w:szCs w:val="32"/>
          <w:highlight w:val="none"/>
        </w:rPr>
        <w:t>遵守信息披露相关规定</w:t>
      </w:r>
      <w:r>
        <w:rPr>
          <w:rFonts w:hint="eastAsia" w:ascii="仿宋" w:hAnsi="仿宋" w:eastAsia="仿宋" w:cs="仿宋"/>
          <w:sz w:val="32"/>
          <w:szCs w:val="32"/>
          <w:highlight w:val="none"/>
          <w:lang w:eastAsia="zh-CN"/>
        </w:rPr>
        <w:t>等；</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负责债券投资者关系管理，</w:t>
      </w:r>
      <w:r>
        <w:rPr>
          <w:rFonts w:hint="eastAsia" w:ascii="仿宋" w:hAnsi="仿宋" w:eastAsia="仿宋" w:cs="仿宋"/>
          <w:sz w:val="32"/>
          <w:szCs w:val="32"/>
          <w:highlight w:val="none"/>
        </w:rPr>
        <w:t>接受债券投资者问询，维护良好的债券投资者关系，协调</w:t>
      </w:r>
      <w:r>
        <w:rPr>
          <w:rFonts w:hint="eastAsia" w:ascii="仿宋" w:hAnsi="仿宋" w:eastAsia="仿宋" w:cs="仿宋"/>
          <w:sz w:val="32"/>
          <w:szCs w:val="32"/>
          <w:highlight w:val="none"/>
          <w:lang w:eastAsia="zh-CN"/>
        </w:rPr>
        <w:t>债券发行人</w:t>
      </w:r>
      <w:r>
        <w:rPr>
          <w:rFonts w:hint="eastAsia" w:ascii="仿宋" w:hAnsi="仿宋" w:eastAsia="仿宋" w:cs="仿宋"/>
          <w:sz w:val="32"/>
          <w:szCs w:val="32"/>
          <w:highlight w:val="none"/>
        </w:rPr>
        <w:t>与投资者、</w:t>
      </w:r>
      <w:r>
        <w:rPr>
          <w:rFonts w:hint="eastAsia" w:ascii="仿宋" w:hAnsi="仿宋" w:eastAsia="仿宋" w:cs="仿宋"/>
          <w:sz w:val="32"/>
          <w:szCs w:val="32"/>
          <w:highlight w:val="none"/>
          <w:lang w:eastAsia="zh-CN"/>
        </w:rPr>
        <w:t>控股股东及实际控制人、</w:t>
      </w:r>
      <w:r>
        <w:rPr>
          <w:rFonts w:hint="eastAsia" w:ascii="仿宋" w:hAnsi="仿宋" w:eastAsia="仿宋" w:cs="仿宋"/>
          <w:sz w:val="32"/>
          <w:szCs w:val="32"/>
          <w:highlight w:val="none"/>
        </w:rPr>
        <w:t>中介机构、媒体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证券监管机构等之间的信息沟通</w:t>
      </w:r>
      <w:r>
        <w:rPr>
          <w:rFonts w:hint="eastAsia" w:ascii="仿宋" w:hAnsi="仿宋" w:eastAsia="仿宋" w:cs="仿宋"/>
          <w:sz w:val="32"/>
          <w:szCs w:val="32"/>
          <w:highlight w:val="none"/>
          <w:lang w:eastAsia="zh-CN"/>
        </w:rPr>
        <w:t>等；</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highlight w:val="none"/>
          <w:lang w:eastAsia="zh-CN"/>
        </w:rPr>
        <w:t>负责</w:t>
      </w:r>
      <w:r>
        <w:rPr>
          <w:rFonts w:hint="eastAsia" w:ascii="仿宋" w:hAnsi="仿宋" w:eastAsia="仿宋" w:cs="仿宋"/>
          <w:sz w:val="32"/>
          <w:szCs w:val="32"/>
          <w:highlight w:val="none"/>
        </w:rPr>
        <w:t>内幕信息保密工作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组织制定内幕信息管理规范，做好</w:t>
      </w:r>
      <w:r>
        <w:rPr>
          <w:rFonts w:hint="eastAsia" w:ascii="仿宋" w:hAnsi="仿宋" w:eastAsia="仿宋" w:cs="仿宋"/>
          <w:sz w:val="32"/>
          <w:szCs w:val="32"/>
          <w:highlight w:val="none"/>
          <w:lang w:eastAsia="zh-CN"/>
        </w:rPr>
        <w:t>债券发行人未公开重大信息的保密工作和</w:t>
      </w:r>
      <w:r>
        <w:rPr>
          <w:rFonts w:hint="eastAsia" w:ascii="仿宋" w:hAnsi="仿宋" w:eastAsia="仿宋" w:cs="仿宋"/>
          <w:sz w:val="32"/>
          <w:szCs w:val="32"/>
          <w:highlight w:val="none"/>
        </w:rPr>
        <w:t>内幕</w:t>
      </w:r>
      <w:r>
        <w:rPr>
          <w:rFonts w:hint="eastAsia" w:ascii="仿宋" w:hAnsi="仿宋" w:eastAsia="仿宋" w:cs="仿宋"/>
          <w:sz w:val="32"/>
          <w:szCs w:val="32"/>
          <w:highlight w:val="none"/>
          <w:lang w:eastAsia="zh-CN"/>
        </w:rPr>
        <w:t>信息</w:t>
      </w:r>
      <w:r>
        <w:rPr>
          <w:rFonts w:hint="eastAsia" w:ascii="仿宋" w:hAnsi="仿宋" w:eastAsia="仿宋" w:cs="仿宋"/>
          <w:sz w:val="32"/>
          <w:szCs w:val="32"/>
          <w:highlight w:val="none"/>
        </w:rPr>
        <w:t>知情人</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登记管理工作</w:t>
      </w:r>
      <w:r>
        <w:rPr>
          <w:rFonts w:hint="eastAsia" w:ascii="仿宋" w:hAnsi="仿宋" w:eastAsia="仿宋" w:cs="仿宋"/>
          <w:sz w:val="32"/>
          <w:szCs w:val="32"/>
          <w:highlight w:val="none"/>
          <w:lang w:eastAsia="zh-CN"/>
        </w:rPr>
        <w:t>等；</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w:t>
      </w:r>
      <w:r>
        <w:rPr>
          <w:rFonts w:hint="eastAsia" w:ascii="仿宋" w:hAnsi="仿宋" w:eastAsia="仿宋" w:cs="仿宋"/>
          <w:sz w:val="32"/>
          <w:szCs w:val="32"/>
          <w:highlight w:val="none"/>
          <w:lang w:eastAsia="zh-CN"/>
        </w:rPr>
        <w:t>负责</w:t>
      </w:r>
      <w:r>
        <w:rPr>
          <w:rFonts w:hint="eastAsia" w:ascii="仿宋" w:hAnsi="仿宋" w:eastAsia="仿宋" w:cs="仿宋"/>
          <w:sz w:val="32"/>
          <w:szCs w:val="32"/>
          <w:highlight w:val="none"/>
        </w:rPr>
        <w:t>信息披露相关的档案管理工作</w:t>
      </w:r>
      <w:r>
        <w:rPr>
          <w:rFonts w:hint="eastAsia" w:ascii="仿宋" w:hAnsi="仿宋" w:eastAsia="仿宋" w:cs="仿宋"/>
          <w:sz w:val="32"/>
          <w:szCs w:val="32"/>
          <w:highlight w:val="none"/>
          <w:lang w:eastAsia="zh-CN"/>
        </w:rPr>
        <w:t>，管理</w:t>
      </w:r>
      <w:r>
        <w:rPr>
          <w:rFonts w:hint="eastAsia" w:ascii="仿宋" w:hAnsi="仿宋" w:eastAsia="仿宋" w:cs="仿宋"/>
          <w:sz w:val="32"/>
          <w:szCs w:val="32"/>
          <w:highlight w:val="none"/>
        </w:rPr>
        <w:t>信息披露文件、相关决策过程或者履职记录等资料</w:t>
      </w:r>
      <w:r>
        <w:rPr>
          <w:rFonts w:hint="eastAsia" w:ascii="仿宋" w:hAnsi="仿宋" w:eastAsia="仿宋" w:cs="仿宋"/>
          <w:sz w:val="32"/>
          <w:szCs w:val="32"/>
          <w:highlight w:val="none"/>
          <w:lang w:eastAsia="zh-CN"/>
        </w:rPr>
        <w:t>；</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法律法规以及本所业务规则</w:t>
      </w:r>
      <w:r>
        <w:rPr>
          <w:rFonts w:hint="eastAsia" w:ascii="仿宋" w:hAnsi="仿宋" w:eastAsia="仿宋" w:cs="仿宋"/>
          <w:sz w:val="32"/>
          <w:szCs w:val="32"/>
          <w:highlight w:val="none"/>
        </w:rPr>
        <w:t>规定的其他职责。</w:t>
      </w:r>
    </w:p>
    <w:p>
      <w:pPr>
        <w:adjustRightInd w:val="0"/>
        <w:snapToGrid w:val="0"/>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w:t>
      </w:r>
      <w:r>
        <w:rPr>
          <w:rFonts w:hint="eastAsia" w:ascii="黑体" w:hAnsi="黑体" w:eastAsia="黑体" w:cs="黑体"/>
          <w:b w:val="0"/>
          <w:bCs/>
          <w:sz w:val="32"/>
          <w:szCs w:val="32"/>
          <w:highlight w:val="none"/>
        </w:rPr>
        <w:t>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 xml:space="preserve"> 信息披露事务负责人</w:t>
      </w:r>
      <w:r>
        <w:rPr>
          <w:rFonts w:hint="eastAsia" w:ascii="仿宋" w:hAnsi="仿宋" w:eastAsia="仿宋" w:cs="仿宋"/>
          <w:sz w:val="32"/>
          <w:szCs w:val="32"/>
          <w:highlight w:val="none"/>
          <w:lang w:eastAsia="zh-CN"/>
        </w:rPr>
        <w:t>应当积极、主动督促债券</w:t>
      </w:r>
      <w:r>
        <w:rPr>
          <w:rFonts w:hint="eastAsia" w:ascii="仿宋" w:hAnsi="仿宋" w:eastAsia="仿宋" w:cs="仿宋"/>
          <w:sz w:val="32"/>
          <w:szCs w:val="32"/>
          <w:highlight w:val="none"/>
        </w:rPr>
        <w:t>发行人按照</w:t>
      </w:r>
      <w:r>
        <w:rPr>
          <w:rFonts w:hint="eastAsia" w:ascii="仿宋" w:hAnsi="仿宋" w:eastAsia="仿宋" w:cs="仿宋"/>
          <w:sz w:val="32"/>
          <w:szCs w:val="32"/>
          <w:highlight w:val="none"/>
          <w:lang w:eastAsia="zh-CN"/>
        </w:rPr>
        <w:t>法律法规、本指引和本所其他业务规则规定</w:t>
      </w:r>
      <w:r>
        <w:rPr>
          <w:rFonts w:hint="default" w:ascii="Times New Roman" w:hAnsi="Times New Roman" w:eastAsia="仿宋_GB2312" w:cs="Times New Roman"/>
          <w:sz w:val="32"/>
          <w:szCs w:val="32"/>
          <w:highlight w:val="none"/>
        </w:rPr>
        <w:t>规范运作</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十一</w:t>
      </w:r>
      <w:r>
        <w:rPr>
          <w:rFonts w:hint="eastAsia" w:ascii="黑体" w:hAnsi="黑体" w:eastAsia="黑体" w:cs="黑体"/>
          <w:b w:val="0"/>
          <w:bCs/>
          <w:sz w:val="32"/>
          <w:szCs w:val="32"/>
          <w:highlight w:val="none"/>
        </w:rPr>
        <w:t>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 xml:space="preserve"> 信息披露事务负责人为履行职责，有权了解</w:t>
      </w:r>
      <w:r>
        <w:rPr>
          <w:rFonts w:hint="eastAsia" w:ascii="仿宋" w:hAnsi="仿宋" w:eastAsia="仿宋" w:cs="仿宋"/>
          <w:sz w:val="32"/>
          <w:szCs w:val="32"/>
          <w:highlight w:val="none"/>
          <w:lang w:eastAsia="zh-CN"/>
        </w:rPr>
        <w:t>债券发行人</w:t>
      </w:r>
      <w:r>
        <w:rPr>
          <w:rFonts w:hint="eastAsia" w:ascii="仿宋" w:hAnsi="仿宋" w:eastAsia="仿宋" w:cs="仿宋"/>
          <w:sz w:val="32"/>
          <w:szCs w:val="32"/>
          <w:highlight w:val="none"/>
        </w:rPr>
        <w:t>的财务和经营情况，查阅</w:t>
      </w:r>
      <w:r>
        <w:rPr>
          <w:rFonts w:hint="eastAsia" w:ascii="仿宋" w:hAnsi="仿宋" w:eastAsia="仿宋" w:cs="仿宋"/>
          <w:sz w:val="32"/>
          <w:szCs w:val="32"/>
          <w:highlight w:val="none"/>
          <w:lang w:eastAsia="zh-CN"/>
        </w:rPr>
        <w:t>涉及信息披露事宜的所有</w:t>
      </w:r>
      <w:r>
        <w:rPr>
          <w:rFonts w:hint="eastAsia" w:ascii="仿宋" w:hAnsi="仿宋" w:eastAsia="仿宋" w:cs="仿宋"/>
          <w:sz w:val="32"/>
          <w:szCs w:val="32"/>
          <w:highlight w:val="none"/>
        </w:rPr>
        <w:t>文件，并要求</w:t>
      </w:r>
      <w:r>
        <w:rPr>
          <w:rFonts w:hint="eastAsia" w:ascii="仿宋" w:hAnsi="仿宋" w:eastAsia="仿宋" w:cs="仿宋"/>
          <w:sz w:val="32"/>
          <w:szCs w:val="32"/>
          <w:highlight w:val="none"/>
          <w:lang w:eastAsia="zh-CN"/>
        </w:rPr>
        <w:t>债券发行人</w:t>
      </w:r>
      <w:r>
        <w:rPr>
          <w:rFonts w:hint="eastAsia" w:ascii="仿宋" w:hAnsi="仿宋" w:eastAsia="仿宋" w:cs="仿宋"/>
          <w:sz w:val="32"/>
          <w:szCs w:val="32"/>
          <w:highlight w:val="none"/>
        </w:rPr>
        <w:t>有关部门和人员及时提供相关资料和信息。</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发行人召开涉及</w:t>
      </w:r>
      <w:r>
        <w:rPr>
          <w:rFonts w:hint="eastAsia" w:ascii="仿宋" w:hAnsi="仿宋" w:eastAsia="仿宋" w:cs="仿宋"/>
          <w:sz w:val="32"/>
          <w:szCs w:val="32"/>
          <w:highlight w:val="none"/>
          <w:lang w:eastAsia="zh-CN"/>
        </w:rPr>
        <w:t>信息披露事项的</w:t>
      </w:r>
      <w:r>
        <w:rPr>
          <w:rFonts w:hint="eastAsia" w:ascii="仿宋" w:hAnsi="仿宋" w:eastAsia="仿宋" w:cs="仿宋"/>
          <w:sz w:val="32"/>
          <w:szCs w:val="32"/>
          <w:highlight w:val="none"/>
        </w:rPr>
        <w:t>股东会、董事会、总经理办公会</w:t>
      </w:r>
      <w:r>
        <w:rPr>
          <w:rFonts w:hint="eastAsia" w:ascii="仿宋" w:hAnsi="仿宋" w:eastAsia="仿宋" w:cs="仿宋"/>
          <w:sz w:val="32"/>
          <w:szCs w:val="32"/>
          <w:highlight w:val="none"/>
          <w:lang w:eastAsia="zh-CN"/>
        </w:rPr>
        <w:t>及其他重要</w:t>
      </w:r>
      <w:r>
        <w:rPr>
          <w:rFonts w:hint="eastAsia" w:ascii="仿宋" w:hAnsi="仿宋" w:eastAsia="仿宋" w:cs="仿宋"/>
          <w:sz w:val="32"/>
          <w:szCs w:val="32"/>
          <w:highlight w:val="none"/>
        </w:rPr>
        <w:t>会议</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，应当及时告知信息披露事务负责人参加，并提供会议资料。</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发行人应当</w:t>
      </w:r>
      <w:r>
        <w:rPr>
          <w:rFonts w:hint="eastAsia"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信息披露事务负责人</w:t>
      </w:r>
      <w:r>
        <w:rPr>
          <w:rFonts w:hint="eastAsia" w:ascii="仿宋" w:hAnsi="仿宋" w:eastAsia="仿宋" w:cs="仿宋"/>
          <w:sz w:val="32"/>
          <w:szCs w:val="32"/>
          <w:highlight w:val="none"/>
        </w:rPr>
        <w:t>履职提供便利条件，</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w:t>
      </w:r>
      <w:r>
        <w:rPr>
          <w:rFonts w:hint="eastAsia" w:ascii="仿宋" w:hAnsi="仿宋" w:eastAsia="仿宋" w:cs="仿宋"/>
          <w:sz w:val="32"/>
          <w:szCs w:val="32"/>
          <w:highlight w:val="none"/>
          <w:lang w:eastAsia="zh-CN"/>
        </w:rPr>
        <w:t>的法定代表人、</w:t>
      </w:r>
      <w:r>
        <w:rPr>
          <w:rFonts w:hint="eastAsia" w:ascii="仿宋" w:hAnsi="仿宋" w:eastAsia="仿宋" w:cs="仿宋"/>
          <w:sz w:val="32"/>
          <w:szCs w:val="32"/>
          <w:highlight w:val="none"/>
        </w:rPr>
        <w:t>董事、监事、高级管理人员和相关工作人员应当</w:t>
      </w:r>
      <w:r>
        <w:rPr>
          <w:rFonts w:hint="eastAsia" w:ascii="仿宋" w:hAnsi="仿宋" w:eastAsia="仿宋" w:cs="仿宋"/>
          <w:sz w:val="32"/>
          <w:szCs w:val="32"/>
          <w:highlight w:val="none"/>
          <w:lang w:eastAsia="zh-CN"/>
        </w:rPr>
        <w:t>支持</w:t>
      </w:r>
      <w:r>
        <w:rPr>
          <w:rFonts w:hint="eastAsia" w:ascii="仿宋" w:hAnsi="仿宋" w:eastAsia="仿宋" w:cs="仿宋"/>
          <w:sz w:val="32"/>
          <w:szCs w:val="32"/>
          <w:highlight w:val="none"/>
        </w:rPr>
        <w:t>配合信息披露事务负责人的履职行为。</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信息披露事务负责人在履行职责</w:t>
      </w:r>
      <w:r>
        <w:rPr>
          <w:rFonts w:hint="eastAsia" w:ascii="仿宋" w:hAnsi="仿宋" w:eastAsia="仿宋" w:cs="仿宋"/>
          <w:sz w:val="32"/>
          <w:szCs w:val="32"/>
          <w:highlight w:val="none"/>
          <w:lang w:eastAsia="zh-CN"/>
        </w:rPr>
        <w:t>时</w:t>
      </w:r>
      <w:r>
        <w:rPr>
          <w:rFonts w:hint="eastAsia" w:ascii="仿宋" w:hAnsi="仿宋" w:eastAsia="仿宋" w:cs="仿宋"/>
          <w:sz w:val="32"/>
          <w:szCs w:val="32"/>
          <w:highlight w:val="none"/>
        </w:rPr>
        <w:t>受到不当妨碍或者严重阻挠</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，可以直接向中国证监会</w:t>
      </w:r>
      <w:r>
        <w:rPr>
          <w:rFonts w:hint="eastAsia" w:ascii="仿宋" w:hAnsi="仿宋" w:eastAsia="仿宋" w:cs="仿宋"/>
          <w:sz w:val="32"/>
          <w:szCs w:val="32"/>
          <w:highlight w:val="none"/>
          <w:lang w:eastAsia="zh-CN"/>
        </w:rPr>
        <w:t>或者本所</w:t>
      </w:r>
      <w:r>
        <w:rPr>
          <w:rFonts w:hint="eastAsia" w:ascii="仿宋" w:hAnsi="仿宋" w:eastAsia="仿宋" w:cs="仿宋"/>
          <w:sz w:val="32"/>
          <w:szCs w:val="32"/>
          <w:highlight w:val="none"/>
        </w:rPr>
        <w:t>报告。</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十二</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债券发行人应当明确负责</w:t>
      </w:r>
      <w:r>
        <w:rPr>
          <w:rFonts w:hint="eastAsia" w:ascii="仿宋" w:hAnsi="仿宋" w:eastAsia="仿宋" w:cs="仿宋"/>
          <w:sz w:val="32"/>
          <w:szCs w:val="32"/>
          <w:highlight w:val="none"/>
        </w:rPr>
        <w:t>信息披露事务</w:t>
      </w:r>
      <w:r>
        <w:rPr>
          <w:rFonts w:hint="eastAsia" w:ascii="仿宋" w:hAnsi="仿宋" w:eastAsia="仿宋" w:cs="仿宋"/>
          <w:sz w:val="32"/>
          <w:szCs w:val="32"/>
          <w:highlight w:val="none"/>
          <w:lang w:eastAsia="zh-CN"/>
        </w:rPr>
        <w:t>管理的</w:t>
      </w:r>
      <w:r>
        <w:rPr>
          <w:rFonts w:hint="eastAsia" w:ascii="仿宋" w:hAnsi="仿宋" w:eastAsia="仿宋" w:cs="仿宋"/>
          <w:sz w:val="32"/>
          <w:szCs w:val="32"/>
          <w:highlight w:val="none"/>
        </w:rPr>
        <w:t>部门</w:t>
      </w:r>
      <w:r>
        <w:rPr>
          <w:rFonts w:hint="eastAsia" w:ascii="仿宋" w:hAnsi="仿宋" w:eastAsia="仿宋" w:cs="仿宋"/>
          <w:sz w:val="32"/>
          <w:szCs w:val="32"/>
          <w:highlight w:val="none"/>
          <w:lang w:eastAsia="zh-CN"/>
        </w:rPr>
        <w:t>，并由信息披露事务负责人负责管理。</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十三</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发行人应当制定信息披露事务管理制度，</w:t>
      </w:r>
      <w:r>
        <w:rPr>
          <w:rFonts w:hint="eastAsia" w:ascii="仿宋" w:hAnsi="仿宋" w:eastAsia="仿宋" w:cs="仿宋"/>
          <w:sz w:val="32"/>
          <w:szCs w:val="32"/>
          <w:highlight w:val="none"/>
          <w:lang w:eastAsia="zh-CN"/>
        </w:rPr>
        <w:t>建立</w:t>
      </w:r>
      <w:r>
        <w:rPr>
          <w:rFonts w:hint="eastAsia" w:ascii="仿宋" w:hAnsi="仿宋" w:eastAsia="仿宋" w:cs="仿宋"/>
          <w:sz w:val="32"/>
          <w:szCs w:val="32"/>
          <w:highlight w:val="none"/>
        </w:rPr>
        <w:t>信息披露业务流程，</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配备必要人员和资源，保障合规履行信息披露义务。</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发行人的信息披露事务管理制度应当明确下列事项：</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（一）信息披露事务负责人选任、具体职责及其履职保障；</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信息披露事务</w:t>
      </w:r>
      <w:r>
        <w:rPr>
          <w:rFonts w:hint="eastAsia" w:ascii="仿宋" w:hAnsi="仿宋" w:eastAsia="仿宋" w:cs="仿宋"/>
          <w:sz w:val="32"/>
          <w:szCs w:val="32"/>
          <w:highlight w:val="none"/>
          <w:lang w:eastAsia="zh-CN"/>
        </w:rPr>
        <w:t>管理</w:t>
      </w:r>
      <w:r>
        <w:rPr>
          <w:rFonts w:hint="eastAsia" w:ascii="仿宋" w:hAnsi="仿宋" w:eastAsia="仿宋" w:cs="仿宋"/>
          <w:sz w:val="32"/>
          <w:szCs w:val="32"/>
          <w:highlight w:val="none"/>
        </w:rPr>
        <w:t>部门及其</w:t>
      </w:r>
      <w:r>
        <w:rPr>
          <w:rFonts w:hint="eastAsia" w:ascii="仿宋" w:hAnsi="仿宋" w:eastAsia="仿宋" w:cs="仿宋"/>
          <w:sz w:val="32"/>
          <w:szCs w:val="32"/>
          <w:highlight w:val="none"/>
          <w:lang w:eastAsia="zh-CN"/>
        </w:rPr>
        <w:t>具体</w:t>
      </w:r>
      <w:r>
        <w:rPr>
          <w:rFonts w:hint="eastAsia" w:ascii="仿宋" w:hAnsi="仿宋" w:eastAsia="仿宋" w:cs="仿宋"/>
          <w:sz w:val="32"/>
          <w:szCs w:val="32"/>
          <w:highlight w:val="none"/>
        </w:rPr>
        <w:t>职责；</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）信息披露审核与发布规范，包括拟披露信息的传递、申请、审核、披露的流程、相应决策机构或</w:t>
      </w:r>
      <w:r>
        <w:rPr>
          <w:rFonts w:hint="eastAsia" w:ascii="仿宋" w:hAnsi="仿宋" w:eastAsia="仿宋" w:cs="仿宋"/>
          <w:color w:val="auto"/>
          <w:sz w:val="32"/>
          <w:szCs w:val="32"/>
          <w:highlight w:val="none"/>
          <w:lang w:eastAsia="zh-CN"/>
        </w:rPr>
        <w:t>者</w:t>
      </w:r>
      <w:r>
        <w:rPr>
          <w:rFonts w:hint="eastAsia" w:ascii="仿宋" w:hAnsi="仿宋" w:eastAsia="仿宋" w:cs="仿宋"/>
          <w:sz w:val="32"/>
          <w:szCs w:val="32"/>
          <w:highlight w:val="none"/>
        </w:rPr>
        <w:t>人员及其履职要求；</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）内幕信息管理规范，包括内幕信息知情人范围、保密责任、未公开信息的保密措施；</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）暂缓、豁免信息披露管理规范，包括适用情形、决策程序、档案管理规范；</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）涉及子公司的信息披露事务管理和报告制度；</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七</w:t>
      </w:r>
      <w:r>
        <w:rPr>
          <w:rFonts w:hint="eastAsia" w:ascii="仿宋" w:hAnsi="仿宋" w:eastAsia="仿宋" w:cs="仿宋"/>
          <w:sz w:val="32"/>
          <w:szCs w:val="32"/>
          <w:highlight w:val="none"/>
        </w:rPr>
        <w:t>）信息披露文件、相关决策过程或者履职记录等资料的档案管理制度。</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信息披露事务管理制度应当经</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发行人董事会或者其授权的机构审议通过。</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十四</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w:t>
      </w:r>
      <w:r>
        <w:rPr>
          <w:rFonts w:hint="eastAsia" w:ascii="仿宋" w:hAnsi="仿宋" w:eastAsia="仿宋" w:cs="仿宋"/>
          <w:sz w:val="32"/>
          <w:szCs w:val="32"/>
          <w:highlight w:val="none"/>
          <w:lang w:eastAsia="zh-CN"/>
        </w:rPr>
        <w:t>应当在募集说明书中</w:t>
      </w:r>
      <w:r>
        <w:rPr>
          <w:rFonts w:hint="eastAsia" w:ascii="仿宋" w:hAnsi="仿宋" w:eastAsia="仿宋" w:cs="仿宋"/>
          <w:sz w:val="32"/>
          <w:szCs w:val="32"/>
          <w:highlight w:val="none"/>
        </w:rPr>
        <w:t>披露信息披露事务管理制度内容</w:t>
      </w:r>
      <w:r>
        <w:rPr>
          <w:rFonts w:hint="eastAsia" w:ascii="仿宋" w:hAnsi="仿宋" w:eastAsia="仿宋" w:cs="仿宋"/>
          <w:sz w:val="32"/>
          <w:szCs w:val="32"/>
          <w:highlight w:val="none"/>
          <w:lang w:eastAsia="zh-CN"/>
        </w:rPr>
        <w:t>。</w:t>
      </w:r>
    </w:p>
    <w:p>
      <w:pPr>
        <w:adjustRightInd w:val="0"/>
        <w:snapToGrid w:val="0"/>
        <w:spacing w:line="560"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w:t>
      </w:r>
      <w:r>
        <w:rPr>
          <w:rFonts w:hint="eastAsia" w:ascii="仿宋" w:hAnsi="仿宋" w:eastAsia="仿宋" w:cs="仿宋"/>
          <w:sz w:val="32"/>
          <w:szCs w:val="32"/>
          <w:highlight w:val="none"/>
          <w:lang w:eastAsia="zh-CN"/>
        </w:rPr>
        <w:t>变更</w:t>
      </w:r>
      <w:r>
        <w:rPr>
          <w:rFonts w:hint="eastAsia" w:ascii="仿宋" w:hAnsi="仿宋" w:eastAsia="仿宋" w:cs="仿宋"/>
          <w:sz w:val="32"/>
          <w:szCs w:val="32"/>
          <w:highlight w:val="none"/>
        </w:rPr>
        <w:t>信息披露事务管理制度</w:t>
      </w:r>
      <w:r>
        <w:rPr>
          <w:rFonts w:hint="eastAsia" w:ascii="仿宋" w:hAnsi="仿宋" w:eastAsia="仿宋" w:cs="仿宋"/>
          <w:color w:val="auto"/>
          <w:sz w:val="32"/>
          <w:szCs w:val="32"/>
          <w:highlight w:val="none"/>
          <w:u w:val="none"/>
        </w:rPr>
        <w:t>的，应当披露临时</w:t>
      </w:r>
      <w:r>
        <w:rPr>
          <w:rFonts w:hint="eastAsia" w:ascii="仿宋" w:hAnsi="仿宋" w:eastAsia="仿宋" w:cs="仿宋"/>
          <w:color w:val="auto"/>
          <w:sz w:val="32"/>
          <w:szCs w:val="32"/>
          <w:highlight w:val="none"/>
          <w:u w:val="none"/>
          <w:lang w:eastAsia="zh-CN"/>
        </w:rPr>
        <w:t>报</w:t>
      </w:r>
      <w:r>
        <w:rPr>
          <w:rFonts w:hint="eastAsia" w:ascii="仿宋" w:hAnsi="仿宋" w:eastAsia="仿宋" w:cs="仿宋"/>
          <w:color w:val="auto"/>
          <w:sz w:val="32"/>
          <w:szCs w:val="32"/>
          <w:highlight w:val="none"/>
          <w:u w:val="none"/>
        </w:rPr>
        <w:t>告，说明变更情况、主要变更内容</w:t>
      </w:r>
      <w:r>
        <w:rPr>
          <w:rFonts w:hint="eastAsia" w:ascii="仿宋" w:hAnsi="仿宋" w:eastAsia="仿宋" w:cs="仿宋"/>
          <w:color w:val="auto"/>
          <w:sz w:val="32"/>
          <w:szCs w:val="32"/>
          <w:highlight w:val="none"/>
          <w:u w:val="none"/>
          <w:lang w:eastAsia="zh-CN"/>
        </w:rPr>
        <w:t>以</w:t>
      </w:r>
      <w:r>
        <w:rPr>
          <w:rFonts w:hint="eastAsia" w:ascii="仿宋" w:hAnsi="仿宋" w:eastAsia="仿宋" w:cs="仿宋"/>
          <w:color w:val="auto"/>
          <w:sz w:val="32"/>
          <w:szCs w:val="32"/>
          <w:highlight w:val="none"/>
          <w:u w:val="none"/>
        </w:rPr>
        <w:t>及变更后的信息披露事务管理制度</w:t>
      </w:r>
      <w:r>
        <w:rPr>
          <w:rFonts w:hint="eastAsia" w:ascii="Times New Roman" w:hAnsi="Times New Roman" w:eastAsia="仿宋_GB2312" w:cs="Times New Roman"/>
          <w:color w:val="auto"/>
          <w:sz w:val="32"/>
          <w:szCs w:val="32"/>
          <w:highlight w:val="none"/>
          <w:u w:val="none"/>
          <w:lang w:eastAsia="zh-CN"/>
        </w:rPr>
        <w:t>，并在定期报告中对前述事项予以披露</w:t>
      </w:r>
      <w:r>
        <w:rPr>
          <w:rFonts w:hint="eastAsia" w:ascii="仿宋" w:hAnsi="仿宋" w:eastAsia="仿宋" w:cs="仿宋"/>
          <w:color w:val="auto"/>
          <w:sz w:val="32"/>
          <w:szCs w:val="32"/>
          <w:highlight w:val="none"/>
          <w:u w:val="none"/>
        </w:rPr>
        <w:t>。</w:t>
      </w:r>
    </w:p>
    <w:p>
      <w:pPr>
        <w:adjustRightInd w:val="0"/>
        <w:snapToGrid w:val="0"/>
        <w:spacing w:line="560" w:lineRule="exact"/>
        <w:ind w:firstLine="640" w:firstLineChars="200"/>
        <w:rPr>
          <w:rFonts w:hint="eastAsia" w:ascii="仿宋" w:hAnsi="仿宋" w:eastAsia="仿宋" w:cs="仿宋"/>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十五</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受托管理人应当建立相关工作机制</w:t>
      </w:r>
      <w:r>
        <w:rPr>
          <w:rFonts w:hint="eastAsia" w:ascii="仿宋" w:hAnsi="仿宋" w:eastAsia="仿宋" w:cs="仿宋"/>
          <w:sz w:val="32"/>
          <w:szCs w:val="32"/>
          <w:highlight w:val="none"/>
          <w:lang w:eastAsia="zh-CN"/>
        </w:rPr>
        <w:t>并指定专门</w:t>
      </w:r>
      <w:r>
        <w:rPr>
          <w:rFonts w:hint="eastAsia" w:ascii="仿宋" w:hAnsi="仿宋" w:eastAsia="仿宋" w:cs="仿宋"/>
          <w:sz w:val="32"/>
          <w:szCs w:val="32"/>
          <w:highlight w:val="none"/>
        </w:rPr>
        <w:t>工作人员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督导</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发行人履行信息披露义务</w:t>
      </w:r>
      <w:r>
        <w:rPr>
          <w:rFonts w:hint="eastAsia" w:ascii="仿宋" w:hAnsi="仿宋" w:eastAsia="仿宋" w:cs="仿宋"/>
          <w:sz w:val="32"/>
          <w:szCs w:val="32"/>
          <w:highlight w:val="none"/>
          <w:lang w:eastAsia="zh-CN"/>
        </w:rPr>
        <w:t>。</w:t>
      </w:r>
    </w:p>
    <w:p>
      <w:pPr>
        <w:numPr>
          <w:ilvl w:val="0"/>
          <w:numId w:val="0"/>
        </w:numPr>
        <w:adjustRightInd w:val="0"/>
        <w:snapToGrid w:val="0"/>
        <w:spacing w:line="560" w:lineRule="exact"/>
        <w:ind w:firstLine="640"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sz w:val="32"/>
          <w:szCs w:val="32"/>
          <w:highlight w:val="none"/>
          <w:lang w:eastAsia="zh-CN"/>
        </w:rPr>
        <w:t>债券</w:t>
      </w:r>
      <w:r>
        <w:rPr>
          <w:rFonts w:hint="eastAsia" w:ascii="Times New Roman" w:hAnsi="Times New Roman" w:eastAsia="仿宋_GB2312" w:cs="Times New Roman"/>
          <w:sz w:val="32"/>
          <w:szCs w:val="32"/>
          <w:highlight w:val="none"/>
          <w:lang w:eastAsia="zh-CN"/>
        </w:rPr>
        <w:t>发行人以及</w:t>
      </w:r>
      <w:r>
        <w:rPr>
          <w:rFonts w:hint="default" w:ascii="Times New Roman" w:hAnsi="Times New Roman" w:eastAsia="仿宋_GB2312" w:cs="Times New Roman"/>
          <w:sz w:val="32"/>
          <w:szCs w:val="32"/>
          <w:highlight w:val="none"/>
        </w:rPr>
        <w:t>信息披露事务负责人应当支持受托管理人开展前</w:t>
      </w:r>
      <w:r>
        <w:rPr>
          <w:rFonts w:hint="eastAsia" w:ascii="Times New Roman" w:hAnsi="Times New Roman" w:eastAsia="仿宋_GB2312" w:cs="Times New Roman"/>
          <w:sz w:val="32"/>
          <w:szCs w:val="32"/>
          <w:highlight w:val="none"/>
          <w:lang w:eastAsia="zh-CN"/>
        </w:rPr>
        <w:t>款规定的</w:t>
      </w:r>
      <w:r>
        <w:rPr>
          <w:rFonts w:hint="default" w:ascii="Times New Roman" w:hAnsi="Times New Roman" w:eastAsia="仿宋_GB2312" w:cs="Times New Roman"/>
          <w:sz w:val="32"/>
          <w:szCs w:val="32"/>
          <w:highlight w:val="none"/>
        </w:rPr>
        <w:t>工作。</w:t>
      </w:r>
    </w:p>
    <w:p>
      <w:pPr>
        <w:numPr>
          <w:ilvl w:val="0"/>
          <w:numId w:val="0"/>
        </w:numPr>
        <w:adjustRightInd w:val="0"/>
        <w:snapToGrid w:val="0"/>
        <w:spacing w:line="560" w:lineRule="exact"/>
        <w:ind w:firstLine="640" w:firstLineChars="200"/>
        <w:rPr>
          <w:rFonts w:hint="eastAsia" w:ascii="仿宋" w:hAnsi="仿宋" w:eastAsia="仿宋" w:cs="仿宋"/>
          <w:sz w:val="32"/>
          <w:szCs w:val="32"/>
          <w:highlight w:val="none"/>
          <w:lang w:eastAsia="zh-CN"/>
        </w:rPr>
      </w:pPr>
      <w:r>
        <w:rPr>
          <w:rFonts w:hint="eastAsia" w:ascii="黑体" w:hAnsi="黑体" w:eastAsia="黑体" w:cs="黑体"/>
          <w:b w:val="0"/>
          <w:bCs/>
          <w:kern w:val="2"/>
          <w:sz w:val="32"/>
          <w:szCs w:val="32"/>
          <w:highlight w:val="none"/>
          <w:lang w:val="en-US" w:eastAsia="zh-CN" w:bidi="ar-SA"/>
        </w:rPr>
        <w:t>第十六条</w:t>
      </w:r>
      <w:r>
        <w:rPr>
          <w:rFonts w:hint="eastAsia" w:ascii="仿宋" w:hAnsi="仿宋" w:eastAsia="仿宋" w:cs="仿宋"/>
          <w:sz w:val="32"/>
          <w:szCs w:val="32"/>
          <w:highlight w:val="none"/>
        </w:rPr>
        <w:t xml:space="preserve">  </w:t>
      </w:r>
      <w:r>
        <w:rPr>
          <w:rFonts w:hint="eastAsia" w:ascii="Times New Roman" w:hAnsi="Times New Roman" w:eastAsia="仿宋_GB2312" w:cs="Times New Roman"/>
          <w:sz w:val="32"/>
          <w:szCs w:val="32"/>
          <w:highlight w:val="none"/>
          <w:lang w:eastAsia="zh-CN"/>
        </w:rPr>
        <w:t>本所将单独或者联合其他监管部门为</w:t>
      </w:r>
      <w:r>
        <w:rPr>
          <w:rFonts w:hint="default" w:ascii="Times New Roman" w:hAnsi="Times New Roman" w:eastAsia="仿宋_GB2312" w:cs="Times New Roman"/>
          <w:sz w:val="32"/>
          <w:szCs w:val="32"/>
          <w:highlight w:val="none"/>
          <w:lang w:eastAsia="zh-CN"/>
        </w:rPr>
        <w:t>信息披露事务负责人、联络人</w:t>
      </w:r>
      <w:r>
        <w:rPr>
          <w:rFonts w:hint="eastAsia" w:ascii="Times New Roman" w:hAnsi="Times New Roman" w:eastAsia="仿宋_GB2312" w:cs="Times New Roman"/>
          <w:sz w:val="32"/>
          <w:szCs w:val="32"/>
          <w:highlight w:val="none"/>
          <w:lang w:eastAsia="zh-CN"/>
        </w:rPr>
        <w:t>等提供</w:t>
      </w:r>
      <w:r>
        <w:rPr>
          <w:rFonts w:hint="default" w:ascii="Times New Roman" w:hAnsi="Times New Roman" w:eastAsia="仿宋_GB2312" w:cs="Times New Roman"/>
          <w:sz w:val="32"/>
          <w:szCs w:val="32"/>
          <w:highlight w:val="none"/>
          <w:lang w:eastAsia="zh-CN"/>
        </w:rPr>
        <w:t>培训</w:t>
      </w:r>
      <w:r>
        <w:rPr>
          <w:rFonts w:hint="eastAsia" w:ascii="Times New Roman" w:hAnsi="Times New Roman" w:eastAsia="仿宋_GB2312" w:cs="Times New Roman"/>
          <w:sz w:val="32"/>
          <w:szCs w:val="32"/>
          <w:highlight w:val="none"/>
          <w:lang w:eastAsia="zh-CN"/>
        </w:rPr>
        <w:t>服务</w:t>
      </w:r>
      <w:r>
        <w:rPr>
          <w:rFonts w:hint="default" w:ascii="Times New Roman" w:hAnsi="Times New Roman" w:eastAsia="仿宋_GB2312" w:cs="Times New Roman"/>
          <w:sz w:val="32"/>
          <w:szCs w:val="32"/>
          <w:highlight w:val="none"/>
          <w:lang w:eastAsia="zh-CN"/>
        </w:rPr>
        <w:t>，提高相关主体的信息披露规范意识和履职能力。</w:t>
      </w:r>
    </w:p>
    <w:p>
      <w:pPr>
        <w:numPr>
          <w:ilvl w:val="0"/>
          <w:numId w:val="0"/>
        </w:numPr>
        <w:adjustRightInd w:val="0"/>
        <w:snapToGrid w:val="0"/>
        <w:spacing w:line="560" w:lineRule="exact"/>
        <w:ind w:firstLine="640" w:firstLineChars="200"/>
        <w:rPr>
          <w:rFonts w:hint="eastAsia" w:ascii="仿宋" w:hAnsi="仿宋" w:eastAsia="仿宋" w:cs="仿宋"/>
          <w:b w:val="0"/>
          <w:bCs w:val="0"/>
          <w:sz w:val="32"/>
          <w:szCs w:val="32"/>
          <w:highlight w:val="none"/>
          <w:lang w:eastAsia="zh-CN"/>
        </w:rPr>
      </w:pPr>
      <w:r>
        <w:rPr>
          <w:rFonts w:hint="eastAsia" w:ascii="黑体" w:hAnsi="黑体" w:eastAsia="黑体" w:cs="黑体"/>
          <w:b w:val="0"/>
          <w:bCs/>
          <w:kern w:val="2"/>
          <w:sz w:val="32"/>
          <w:szCs w:val="32"/>
          <w:highlight w:val="none"/>
          <w:lang w:val="en-US" w:eastAsia="zh-CN" w:bidi="ar-SA"/>
        </w:rPr>
        <w:t>第十七条</w:t>
      </w:r>
      <w:r>
        <w:rPr>
          <w:rFonts w:hint="eastAsia" w:ascii="仿宋" w:hAnsi="仿宋" w:eastAsia="仿宋" w:cs="仿宋"/>
          <w:sz w:val="32"/>
          <w:szCs w:val="32"/>
          <w:highlight w:val="none"/>
        </w:rPr>
        <w:t xml:space="preserve"> </w:t>
      </w:r>
      <w:r>
        <w:rPr>
          <w:rFonts w:hint="eastAsia" w:ascii="仿宋" w:hAnsi="仿宋" w:eastAsia="仿宋" w:cs="仿宋"/>
          <w:b w:val="0"/>
          <w:bCs w:val="0"/>
          <w:sz w:val="32"/>
          <w:szCs w:val="32"/>
          <w:highlight w:val="none"/>
        </w:rPr>
        <w:t xml:space="preserve"> </w:t>
      </w:r>
      <w:r>
        <w:rPr>
          <w:rFonts w:hint="eastAsia" w:ascii="仿宋" w:hAnsi="仿宋" w:eastAsia="仿宋" w:cs="仿宋"/>
          <w:b w:val="0"/>
          <w:bCs w:val="0"/>
          <w:sz w:val="32"/>
          <w:szCs w:val="32"/>
          <w:highlight w:val="none"/>
          <w:lang w:eastAsia="zh-CN"/>
        </w:rPr>
        <w:t>本所鼓励和支持信息披露事务负责人履职。对表现优秀的信息披露事务负责人，本所可以采取书面表扬等措施，并可以依规对相关债券发行人在产品创新、市场服务等方面给予支持。</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rPr>
        <w:t>第十</w:t>
      </w:r>
      <w:r>
        <w:rPr>
          <w:rFonts w:hint="eastAsia" w:ascii="黑体" w:hAnsi="黑体" w:eastAsia="黑体" w:cs="黑体"/>
          <w:b w:val="0"/>
          <w:bCs/>
          <w:sz w:val="32"/>
          <w:szCs w:val="32"/>
          <w:highlight w:val="none"/>
          <w:lang w:eastAsia="zh-CN"/>
        </w:rPr>
        <w:t>八</w:t>
      </w:r>
      <w:r>
        <w:rPr>
          <w:rFonts w:hint="eastAsia" w:ascii="黑体" w:hAnsi="黑体" w:eastAsia="黑体" w:cs="黑体"/>
          <w:b w:val="0"/>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本所</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债券</w:t>
      </w:r>
      <w:r>
        <w:rPr>
          <w:rFonts w:hint="eastAsia" w:ascii="仿宋" w:hAnsi="仿宋" w:eastAsia="仿宋" w:cs="仿宋"/>
          <w:sz w:val="32"/>
          <w:szCs w:val="32"/>
          <w:highlight w:val="none"/>
        </w:rPr>
        <w:t>发行人及其董事、监事、高级管理人员、信息披露事务负责人</w:t>
      </w:r>
      <w:r>
        <w:rPr>
          <w:rFonts w:hint="eastAsia" w:ascii="仿宋" w:hAnsi="仿宋" w:eastAsia="仿宋" w:cs="仿宋"/>
          <w:sz w:val="32"/>
          <w:szCs w:val="32"/>
          <w:highlight w:val="none"/>
          <w:lang w:eastAsia="zh-CN"/>
        </w:rPr>
        <w:t>和联络人及其他相关主体</w:t>
      </w:r>
      <w:r>
        <w:rPr>
          <w:rFonts w:hint="eastAsia" w:ascii="仿宋" w:hAnsi="仿宋" w:eastAsia="仿宋" w:cs="仿宋"/>
          <w:sz w:val="32"/>
          <w:szCs w:val="32"/>
          <w:highlight w:val="none"/>
        </w:rPr>
        <w:t>进行自律</w:t>
      </w:r>
      <w:r>
        <w:rPr>
          <w:rFonts w:hint="eastAsia" w:ascii="仿宋" w:hAnsi="仿宋" w:eastAsia="仿宋" w:cs="仿宋"/>
          <w:sz w:val="32"/>
          <w:szCs w:val="32"/>
          <w:highlight w:val="none"/>
          <w:lang w:eastAsia="zh-CN"/>
        </w:rPr>
        <w:t>管理</w:t>
      </w:r>
      <w:r>
        <w:rPr>
          <w:rFonts w:hint="eastAsia" w:ascii="仿宋" w:hAnsi="仿宋" w:eastAsia="仿宋" w:cs="仿宋"/>
          <w:sz w:val="32"/>
          <w:szCs w:val="32"/>
          <w:highlight w:val="none"/>
        </w:rPr>
        <w:t>。</w:t>
      </w:r>
    </w:p>
    <w:p>
      <w:pPr>
        <w:adjustRightInd w:val="0"/>
        <w:snapToGrid w:val="0"/>
        <w:spacing w:line="560" w:lineRule="exact"/>
        <w:ind w:firstLine="640" w:firstLineChars="200"/>
        <w:rPr>
          <w:rFonts w:hint="eastAsia" w:ascii="仿宋" w:hAnsi="仿宋" w:eastAsia="仿宋" w:cs="仿宋"/>
          <w:b w:val="0"/>
          <w:bCs w:val="0"/>
          <w:sz w:val="32"/>
          <w:szCs w:val="32"/>
          <w:highlight w:val="none"/>
          <w:lang w:eastAsia="zh-CN"/>
        </w:rPr>
      </w:pPr>
      <w:r>
        <w:rPr>
          <w:rFonts w:hint="eastAsia" w:ascii="黑体" w:hAnsi="黑体" w:eastAsia="黑体" w:cs="黑体"/>
          <w:b w:val="0"/>
          <w:bCs/>
          <w:sz w:val="32"/>
          <w:szCs w:val="32"/>
          <w:highlight w:val="none"/>
        </w:rPr>
        <w:t>第十</w:t>
      </w:r>
      <w:r>
        <w:rPr>
          <w:rFonts w:hint="eastAsia" w:ascii="黑体" w:hAnsi="黑体" w:eastAsia="黑体" w:cs="黑体"/>
          <w:b w:val="0"/>
          <w:bCs/>
          <w:sz w:val="32"/>
          <w:szCs w:val="32"/>
          <w:highlight w:val="none"/>
          <w:lang w:eastAsia="zh-CN"/>
        </w:rPr>
        <w:t>九</w:t>
      </w:r>
      <w:r>
        <w:rPr>
          <w:rFonts w:hint="eastAsia" w:ascii="黑体" w:hAnsi="黑体" w:eastAsia="黑体" w:cs="黑体"/>
          <w:b w:val="0"/>
          <w:bCs/>
          <w:sz w:val="32"/>
          <w:szCs w:val="32"/>
          <w:highlight w:val="none"/>
        </w:rPr>
        <w:t>条</w:t>
      </w:r>
      <w:r>
        <w:rPr>
          <w:rFonts w:hint="eastAsia" w:ascii="仿宋" w:hAnsi="仿宋" w:eastAsia="仿宋" w:cs="仿宋"/>
          <w:b/>
          <w:bCs/>
          <w:sz w:val="32"/>
          <w:szCs w:val="32"/>
          <w:highlight w:val="none"/>
        </w:rPr>
        <w:t xml:space="preserve"> </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本指引由本所负责解释。</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黑体" w:hAnsi="黑体" w:eastAsia="黑体" w:cs="黑体"/>
          <w:b w:val="0"/>
          <w:bCs/>
          <w:sz w:val="32"/>
          <w:szCs w:val="32"/>
          <w:highlight w:val="none"/>
          <w:lang w:eastAsia="zh-CN"/>
        </w:rPr>
        <w:t>第</w:t>
      </w:r>
      <w:r>
        <w:rPr>
          <w:rFonts w:hint="eastAsia" w:ascii="黑体" w:hAnsi="黑体" w:eastAsia="黑体" w:cs="黑体"/>
          <w:b w:val="0"/>
          <w:bCs/>
          <w:sz w:val="32"/>
          <w:szCs w:val="32"/>
          <w:highlight w:val="none"/>
          <w:lang w:val="en-US" w:eastAsia="zh-CN"/>
        </w:rPr>
        <w:t>二十条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 xml:space="preserve"> 本</w:t>
      </w:r>
      <w:r>
        <w:rPr>
          <w:rFonts w:hint="eastAsia" w:ascii="仿宋" w:hAnsi="仿宋" w:eastAsia="仿宋" w:cs="仿宋"/>
          <w:sz w:val="32"/>
          <w:szCs w:val="32"/>
          <w:highlight w:val="none"/>
          <w:lang w:eastAsia="zh-CN"/>
        </w:rPr>
        <w:t>指引</w:t>
      </w:r>
      <w:r>
        <w:rPr>
          <w:rFonts w:hint="eastAsia" w:ascii="仿宋" w:hAnsi="仿宋" w:eastAsia="仿宋" w:cs="仿宋"/>
          <w:sz w:val="32"/>
          <w:szCs w:val="32"/>
          <w:highlight w:val="none"/>
        </w:rPr>
        <w:t>自</w:t>
      </w:r>
      <w:r>
        <w:rPr>
          <w:rFonts w:hint="eastAsia" w:ascii="仿宋" w:hAnsi="仿宋" w:eastAsia="仿宋" w:cs="仿宋"/>
          <w:sz w:val="32"/>
          <w:szCs w:val="32"/>
          <w:highlight w:val="none"/>
          <w:lang w:val="en-US" w:eastAsia="zh-CN"/>
        </w:rPr>
        <w:t>2026年5月1日</w:t>
      </w:r>
      <w:r>
        <w:rPr>
          <w:rFonts w:hint="eastAsia" w:ascii="仿宋" w:hAnsi="仿宋" w:eastAsia="仿宋" w:cs="仿宋"/>
          <w:sz w:val="32"/>
          <w:szCs w:val="32"/>
          <w:highlight w:val="none"/>
        </w:rPr>
        <w:t>起施行。</w:t>
      </w:r>
    </w:p>
    <w:p>
      <w:pPr>
        <w:adjustRightInd/>
        <w:snapToGrid/>
        <w:spacing w:line="240" w:lineRule="auto"/>
        <w:ind w:firstLine="0" w:firstLineChars="0"/>
        <w:rPr>
          <w:rFonts w:hint="eastAsia" w:ascii="仿宋" w:hAnsi="仿宋" w:eastAsia="仿宋" w:cs="仿宋"/>
          <w:sz w:val="32"/>
          <w:szCs w:val="32"/>
          <w:highlight w:val="none"/>
        </w:rPr>
      </w:pPr>
    </w:p>
    <w:p>
      <w:pPr>
        <w:adjustRightInd w:val="0"/>
        <w:snapToGrid w:val="0"/>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附件：债券信息披露事务负责人履职承诺参考文本</w:t>
      </w:r>
    </w:p>
    <w:p>
      <w:pPr>
        <w:adjustRightInd/>
        <w:snapToGrid/>
        <w:spacing w:line="240" w:lineRule="auto"/>
        <w:ind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债券信息披露事务负责人履职承诺参考文本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OLE_LINK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A（信息披露事务负责人姓名）为B（发行人全称）信息披露事务负责人。A承诺，其具备法律法规要求的债券信息披露事务负责人任职条件，</w:t>
      </w:r>
      <w:bookmarkEnd w:id="0"/>
      <w:r>
        <w:rPr>
          <w:rFonts w:hint="eastAsia" w:ascii="仿宋" w:hAnsi="仿宋" w:eastAsia="仿宋" w:cs="仿宋"/>
          <w:sz w:val="32"/>
          <w:szCs w:val="32"/>
          <w:lang w:val="en-US" w:eastAsia="zh-CN"/>
        </w:rPr>
        <w:t>担任信息披露事务负责人期间，</w:t>
      </w:r>
      <w:r>
        <w:rPr>
          <w:rFonts w:hint="eastAsia" w:ascii="仿宋" w:hAnsi="仿宋" w:eastAsia="仿宋" w:cs="仿宋"/>
          <w:sz w:val="32"/>
          <w:szCs w:val="32"/>
        </w:rPr>
        <w:t>将忠实、勤勉地履行职责。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信息披露事务负责人签字：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时间：</w:t>
      </w:r>
      <w:r>
        <w:rPr>
          <w:rFonts w:hint="eastAsia" w:ascii="仿宋" w:hAnsi="仿宋" w:eastAsia="仿宋" w:cs="仿宋"/>
          <w:sz w:val="32"/>
          <w:szCs w:val="32"/>
          <w:lang w:val="en-US" w:eastAsia="zh-CN"/>
        </w:rPr>
        <w:t>XX年XX月XX日</w:t>
      </w:r>
    </w:p>
    <w:p>
      <w:pPr>
        <w:ind w:firstLine="640" w:firstLineChars="200"/>
        <w:rPr>
          <w:rFonts w:hint="eastAsia" w:ascii="Times New Roman" w:hAnsi="Times New Roman" w:eastAsia="仿宋_GB2312" w:cs="Times New Roman"/>
          <w:sz w:val="32"/>
          <w:szCs w:val="32"/>
        </w:rPr>
      </w:pPr>
    </w:p>
    <w:p>
      <w:pPr>
        <w:pStyle w:val="4"/>
        <w:rPr>
          <w:rFonts w:hint="eastAsi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58AD3-C8D4-43FD-A162-0DF85A9D13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F7F0D56-14E2-4E4B-A4CC-B29E22DC9342}"/>
  </w:font>
  <w:font w:name="仿宋">
    <w:panose1 w:val="02010609060101010101"/>
    <w:charset w:val="86"/>
    <w:family w:val="auto"/>
    <w:pitch w:val="default"/>
    <w:sig w:usb0="800002BF" w:usb1="38CF7CFA" w:usb2="00000016" w:usb3="00000000" w:csb0="00040001" w:csb1="00000000"/>
    <w:embedRegular r:id="rId3" w:fontKey="{DDCBA4DC-1671-435B-917A-E9CF99D5B204}"/>
  </w:font>
  <w:font w:name="仿宋_GB2312">
    <w:altName w:val="仿宋"/>
    <w:panose1 w:val="02010609030101010101"/>
    <w:charset w:val="86"/>
    <w:family w:val="modern"/>
    <w:pitch w:val="default"/>
    <w:sig w:usb0="00000000" w:usb1="00000000" w:usb2="00000010" w:usb3="00000000" w:csb0="00040000" w:csb1="00000000"/>
    <w:embedRegular r:id="rId4" w:fontKey="{606B59F9-4A0C-490E-AD9E-58D2F78F00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-468630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6.9pt;height:144pt;width:144pt;mso-position-horizontal:outside;mso-position-horizontal-relative:margin;mso-wrap-style:none;z-index:251659264;mso-width-relative:page;mso-height-relative:page;" filled="f" stroked="f" coordsize="21600,21600" o:gfxdata="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yJzc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FF1540"/>
    <w:rsid w:val="005561A9"/>
    <w:rsid w:val="00782768"/>
    <w:rsid w:val="00825144"/>
    <w:rsid w:val="00AE4E92"/>
    <w:rsid w:val="00B6418E"/>
    <w:rsid w:val="013C4E8B"/>
    <w:rsid w:val="01BA1962"/>
    <w:rsid w:val="01CE3E86"/>
    <w:rsid w:val="029370C7"/>
    <w:rsid w:val="05B61813"/>
    <w:rsid w:val="06603905"/>
    <w:rsid w:val="06721621"/>
    <w:rsid w:val="072639A0"/>
    <w:rsid w:val="07702E6D"/>
    <w:rsid w:val="090A5A61"/>
    <w:rsid w:val="094415EB"/>
    <w:rsid w:val="09467E45"/>
    <w:rsid w:val="0ADBFC27"/>
    <w:rsid w:val="0E9D742B"/>
    <w:rsid w:val="0EF3492F"/>
    <w:rsid w:val="0EF3B734"/>
    <w:rsid w:val="0F426E96"/>
    <w:rsid w:val="0F8535AC"/>
    <w:rsid w:val="0FFE6371"/>
    <w:rsid w:val="101F3001"/>
    <w:rsid w:val="10815624"/>
    <w:rsid w:val="1111729C"/>
    <w:rsid w:val="11277FB0"/>
    <w:rsid w:val="119B548E"/>
    <w:rsid w:val="12EF558E"/>
    <w:rsid w:val="13FC7D13"/>
    <w:rsid w:val="14727C91"/>
    <w:rsid w:val="14F212EA"/>
    <w:rsid w:val="15701BB9"/>
    <w:rsid w:val="15887579"/>
    <w:rsid w:val="15913D5E"/>
    <w:rsid w:val="159A3870"/>
    <w:rsid w:val="169E6435"/>
    <w:rsid w:val="17A553DC"/>
    <w:rsid w:val="1886172C"/>
    <w:rsid w:val="18910E95"/>
    <w:rsid w:val="18C65815"/>
    <w:rsid w:val="19166537"/>
    <w:rsid w:val="1921640C"/>
    <w:rsid w:val="1A1E2613"/>
    <w:rsid w:val="1A980C31"/>
    <w:rsid w:val="1B7D47F7"/>
    <w:rsid w:val="1BAE4C5F"/>
    <w:rsid w:val="1BBFCB2C"/>
    <w:rsid w:val="1C1A15BE"/>
    <w:rsid w:val="1CAF212A"/>
    <w:rsid w:val="1CE56278"/>
    <w:rsid w:val="1CFFE98C"/>
    <w:rsid w:val="1D6865D1"/>
    <w:rsid w:val="1F010229"/>
    <w:rsid w:val="1F582FB2"/>
    <w:rsid w:val="1F7E6EEC"/>
    <w:rsid w:val="1F7FB2EC"/>
    <w:rsid w:val="1FFF27C7"/>
    <w:rsid w:val="21581FC0"/>
    <w:rsid w:val="218735BD"/>
    <w:rsid w:val="22172B0B"/>
    <w:rsid w:val="223144A6"/>
    <w:rsid w:val="22F22FE5"/>
    <w:rsid w:val="23051241"/>
    <w:rsid w:val="23447A86"/>
    <w:rsid w:val="23CB40E5"/>
    <w:rsid w:val="24332CB7"/>
    <w:rsid w:val="25592D3B"/>
    <w:rsid w:val="25CF6B52"/>
    <w:rsid w:val="26377F47"/>
    <w:rsid w:val="26C44D4E"/>
    <w:rsid w:val="26D0698C"/>
    <w:rsid w:val="271D7FA2"/>
    <w:rsid w:val="27DF3EF7"/>
    <w:rsid w:val="27F7A71D"/>
    <w:rsid w:val="2A476366"/>
    <w:rsid w:val="2A927EB9"/>
    <w:rsid w:val="2B953D0B"/>
    <w:rsid w:val="2BBE65D0"/>
    <w:rsid w:val="2BC558CF"/>
    <w:rsid w:val="2C7048D7"/>
    <w:rsid w:val="2D1339EC"/>
    <w:rsid w:val="2DA11878"/>
    <w:rsid w:val="2E240E4A"/>
    <w:rsid w:val="2E57DDF7"/>
    <w:rsid w:val="2FF7C911"/>
    <w:rsid w:val="301452F1"/>
    <w:rsid w:val="30240B15"/>
    <w:rsid w:val="30BF06B9"/>
    <w:rsid w:val="314630E4"/>
    <w:rsid w:val="32FB179F"/>
    <w:rsid w:val="33891634"/>
    <w:rsid w:val="338B51B6"/>
    <w:rsid w:val="33A309C5"/>
    <w:rsid w:val="33C913E0"/>
    <w:rsid w:val="34045566"/>
    <w:rsid w:val="349D6203"/>
    <w:rsid w:val="34EA4438"/>
    <w:rsid w:val="350719B3"/>
    <w:rsid w:val="35900570"/>
    <w:rsid w:val="35AF8251"/>
    <w:rsid w:val="35BF188D"/>
    <w:rsid w:val="35DC0554"/>
    <w:rsid w:val="36B02E72"/>
    <w:rsid w:val="36CA6FF3"/>
    <w:rsid w:val="36CC46F5"/>
    <w:rsid w:val="37172F82"/>
    <w:rsid w:val="379C3AC9"/>
    <w:rsid w:val="37BF89C4"/>
    <w:rsid w:val="37FD8106"/>
    <w:rsid w:val="38176C95"/>
    <w:rsid w:val="382E3037"/>
    <w:rsid w:val="3A7D8121"/>
    <w:rsid w:val="3B720C16"/>
    <w:rsid w:val="3C7A0225"/>
    <w:rsid w:val="3CA628B2"/>
    <w:rsid w:val="3CA863A8"/>
    <w:rsid w:val="3CDC01E8"/>
    <w:rsid w:val="3CF71769"/>
    <w:rsid w:val="3CFF205D"/>
    <w:rsid w:val="3D5001A7"/>
    <w:rsid w:val="3D7B6A6D"/>
    <w:rsid w:val="3D7F3523"/>
    <w:rsid w:val="3DD5465E"/>
    <w:rsid w:val="3DDE052D"/>
    <w:rsid w:val="3DEFCC93"/>
    <w:rsid w:val="3DFF2ED6"/>
    <w:rsid w:val="3E154E4B"/>
    <w:rsid w:val="3E7177D9"/>
    <w:rsid w:val="3ECDDF96"/>
    <w:rsid w:val="3EDF6965"/>
    <w:rsid w:val="3F375EAA"/>
    <w:rsid w:val="3F9B1767"/>
    <w:rsid w:val="3F9FF730"/>
    <w:rsid w:val="3FBFB902"/>
    <w:rsid w:val="3FDAC10C"/>
    <w:rsid w:val="3FEBEFE8"/>
    <w:rsid w:val="3FF96A3C"/>
    <w:rsid w:val="3FFF6915"/>
    <w:rsid w:val="402B6356"/>
    <w:rsid w:val="405E0B98"/>
    <w:rsid w:val="40786455"/>
    <w:rsid w:val="414A4AAB"/>
    <w:rsid w:val="421C2CB7"/>
    <w:rsid w:val="429C26F2"/>
    <w:rsid w:val="42BE5643"/>
    <w:rsid w:val="42D02B09"/>
    <w:rsid w:val="42DA57BA"/>
    <w:rsid w:val="42F75BBD"/>
    <w:rsid w:val="431DFC38"/>
    <w:rsid w:val="43F01F04"/>
    <w:rsid w:val="46D44065"/>
    <w:rsid w:val="47326B5E"/>
    <w:rsid w:val="47FB8F50"/>
    <w:rsid w:val="47FE19B9"/>
    <w:rsid w:val="48295D19"/>
    <w:rsid w:val="48323334"/>
    <w:rsid w:val="488F1019"/>
    <w:rsid w:val="491150F4"/>
    <w:rsid w:val="4A2F60BC"/>
    <w:rsid w:val="4A5340B6"/>
    <w:rsid w:val="4A5D3C95"/>
    <w:rsid w:val="4BFBC43A"/>
    <w:rsid w:val="4C3A742F"/>
    <w:rsid w:val="4D9FE2FD"/>
    <w:rsid w:val="4DD581CD"/>
    <w:rsid w:val="4E027CB4"/>
    <w:rsid w:val="4F67914A"/>
    <w:rsid w:val="4FDBB608"/>
    <w:rsid w:val="4FED2441"/>
    <w:rsid w:val="50082415"/>
    <w:rsid w:val="505C08F7"/>
    <w:rsid w:val="510471B0"/>
    <w:rsid w:val="524B7790"/>
    <w:rsid w:val="534B6589"/>
    <w:rsid w:val="537708D8"/>
    <w:rsid w:val="53FD0C65"/>
    <w:rsid w:val="54D37C7D"/>
    <w:rsid w:val="54DF3D7A"/>
    <w:rsid w:val="55B25BB0"/>
    <w:rsid w:val="55C33BF6"/>
    <w:rsid w:val="560A33B8"/>
    <w:rsid w:val="560D4401"/>
    <w:rsid w:val="562C7C4F"/>
    <w:rsid w:val="564F8F8B"/>
    <w:rsid w:val="5693537E"/>
    <w:rsid w:val="56ABB341"/>
    <w:rsid w:val="56BE51D8"/>
    <w:rsid w:val="56FA390F"/>
    <w:rsid w:val="57BF1C48"/>
    <w:rsid w:val="57DFA11B"/>
    <w:rsid w:val="57FC2069"/>
    <w:rsid w:val="588C4742"/>
    <w:rsid w:val="5890055A"/>
    <w:rsid w:val="59BD3090"/>
    <w:rsid w:val="5A5D394D"/>
    <w:rsid w:val="5A97417C"/>
    <w:rsid w:val="5AEF9BEE"/>
    <w:rsid w:val="5B235C95"/>
    <w:rsid w:val="5B8D6CBF"/>
    <w:rsid w:val="5B8E0D6B"/>
    <w:rsid w:val="5B9C6858"/>
    <w:rsid w:val="5BF78DF9"/>
    <w:rsid w:val="5CB6550A"/>
    <w:rsid w:val="5CC606DB"/>
    <w:rsid w:val="5D0C00B7"/>
    <w:rsid w:val="5D1F2257"/>
    <w:rsid w:val="5DF365D7"/>
    <w:rsid w:val="5DF979BC"/>
    <w:rsid w:val="5DFF2B80"/>
    <w:rsid w:val="5DFFBB4D"/>
    <w:rsid w:val="5E4B45BD"/>
    <w:rsid w:val="5E5968C1"/>
    <w:rsid w:val="5E6D188A"/>
    <w:rsid w:val="5F1E8B97"/>
    <w:rsid w:val="5F1FDAA7"/>
    <w:rsid w:val="5F3B849F"/>
    <w:rsid w:val="5F54091A"/>
    <w:rsid w:val="5F8B938F"/>
    <w:rsid w:val="5FA02694"/>
    <w:rsid w:val="5FA650F9"/>
    <w:rsid w:val="5FAF0787"/>
    <w:rsid w:val="5FDF3102"/>
    <w:rsid w:val="5FEA8E30"/>
    <w:rsid w:val="5FF74CF0"/>
    <w:rsid w:val="5FFF8602"/>
    <w:rsid w:val="60465003"/>
    <w:rsid w:val="60C223CE"/>
    <w:rsid w:val="60D300EA"/>
    <w:rsid w:val="61BF0BBD"/>
    <w:rsid w:val="62C32E18"/>
    <w:rsid w:val="637FC10E"/>
    <w:rsid w:val="63E3642B"/>
    <w:rsid w:val="642D54E3"/>
    <w:rsid w:val="648739AC"/>
    <w:rsid w:val="64DE698B"/>
    <w:rsid w:val="65755C04"/>
    <w:rsid w:val="65C13A86"/>
    <w:rsid w:val="66433CD3"/>
    <w:rsid w:val="665477F1"/>
    <w:rsid w:val="6695111E"/>
    <w:rsid w:val="66AF00C4"/>
    <w:rsid w:val="676349F0"/>
    <w:rsid w:val="679D8B04"/>
    <w:rsid w:val="67B162AA"/>
    <w:rsid w:val="67CEF96D"/>
    <w:rsid w:val="67FBFB21"/>
    <w:rsid w:val="686E5E6F"/>
    <w:rsid w:val="6889198F"/>
    <w:rsid w:val="68A13DAA"/>
    <w:rsid w:val="69095760"/>
    <w:rsid w:val="69464E58"/>
    <w:rsid w:val="69E25443"/>
    <w:rsid w:val="6A705EA7"/>
    <w:rsid w:val="6AF322DD"/>
    <w:rsid w:val="6AF5D082"/>
    <w:rsid w:val="6AFF1540"/>
    <w:rsid w:val="6B44423A"/>
    <w:rsid w:val="6B4A24D7"/>
    <w:rsid w:val="6B703951"/>
    <w:rsid w:val="6BEBB358"/>
    <w:rsid w:val="6BF34F52"/>
    <w:rsid w:val="6BFF8F6F"/>
    <w:rsid w:val="6C483634"/>
    <w:rsid w:val="6CFEE75B"/>
    <w:rsid w:val="6D7D0450"/>
    <w:rsid w:val="6DAD5A18"/>
    <w:rsid w:val="6DEF395E"/>
    <w:rsid w:val="6DF62E75"/>
    <w:rsid w:val="6E0A6B18"/>
    <w:rsid w:val="6E5591F0"/>
    <w:rsid w:val="6E8D06DC"/>
    <w:rsid w:val="6EA135B1"/>
    <w:rsid w:val="6EDF1FCE"/>
    <w:rsid w:val="6EE77406"/>
    <w:rsid w:val="6EF58459"/>
    <w:rsid w:val="6F221B63"/>
    <w:rsid w:val="6F7F717F"/>
    <w:rsid w:val="6F9A38A9"/>
    <w:rsid w:val="6F9A9793"/>
    <w:rsid w:val="6FB72C9D"/>
    <w:rsid w:val="6FBB7363"/>
    <w:rsid w:val="6FD47408"/>
    <w:rsid w:val="6FFDE03B"/>
    <w:rsid w:val="6FFE7897"/>
    <w:rsid w:val="70C01CC6"/>
    <w:rsid w:val="715E9426"/>
    <w:rsid w:val="71AFD066"/>
    <w:rsid w:val="71DFC11F"/>
    <w:rsid w:val="71E061E4"/>
    <w:rsid w:val="724418A5"/>
    <w:rsid w:val="729FC965"/>
    <w:rsid w:val="72EBDF05"/>
    <w:rsid w:val="73402703"/>
    <w:rsid w:val="734F1F92"/>
    <w:rsid w:val="73EBF5F2"/>
    <w:rsid w:val="744F7262"/>
    <w:rsid w:val="74A92BBC"/>
    <w:rsid w:val="74DE7453"/>
    <w:rsid w:val="75A67DF2"/>
    <w:rsid w:val="75BD7C9C"/>
    <w:rsid w:val="75C64E50"/>
    <w:rsid w:val="75CA3E44"/>
    <w:rsid w:val="75FE7FAC"/>
    <w:rsid w:val="762B7A6C"/>
    <w:rsid w:val="76460B14"/>
    <w:rsid w:val="76477D2B"/>
    <w:rsid w:val="76F78734"/>
    <w:rsid w:val="76FFC828"/>
    <w:rsid w:val="770F1364"/>
    <w:rsid w:val="773E4775"/>
    <w:rsid w:val="77794444"/>
    <w:rsid w:val="777D59E2"/>
    <w:rsid w:val="779D76EB"/>
    <w:rsid w:val="77BE73D6"/>
    <w:rsid w:val="77CC7198"/>
    <w:rsid w:val="782071ED"/>
    <w:rsid w:val="78461F59"/>
    <w:rsid w:val="784D099A"/>
    <w:rsid w:val="78581138"/>
    <w:rsid w:val="789A6D7F"/>
    <w:rsid w:val="78A70F68"/>
    <w:rsid w:val="79777944"/>
    <w:rsid w:val="79C74245"/>
    <w:rsid w:val="79FB23CB"/>
    <w:rsid w:val="7A3158CC"/>
    <w:rsid w:val="7AF6DC16"/>
    <w:rsid w:val="7AFECAE3"/>
    <w:rsid w:val="7AFF4DC1"/>
    <w:rsid w:val="7AFF7591"/>
    <w:rsid w:val="7B5C928A"/>
    <w:rsid w:val="7B677A2C"/>
    <w:rsid w:val="7B952796"/>
    <w:rsid w:val="7BFE90E7"/>
    <w:rsid w:val="7C556238"/>
    <w:rsid w:val="7C8BA72C"/>
    <w:rsid w:val="7CADBD49"/>
    <w:rsid w:val="7CBFA034"/>
    <w:rsid w:val="7CDB7BF1"/>
    <w:rsid w:val="7CFFF283"/>
    <w:rsid w:val="7D472BDD"/>
    <w:rsid w:val="7D6F8C61"/>
    <w:rsid w:val="7D7BFC2D"/>
    <w:rsid w:val="7D851995"/>
    <w:rsid w:val="7DBB7675"/>
    <w:rsid w:val="7DBF7C54"/>
    <w:rsid w:val="7DCCF29A"/>
    <w:rsid w:val="7DDECC36"/>
    <w:rsid w:val="7DFFE360"/>
    <w:rsid w:val="7E53034C"/>
    <w:rsid w:val="7E76CADB"/>
    <w:rsid w:val="7E7DFFC8"/>
    <w:rsid w:val="7E97CEAF"/>
    <w:rsid w:val="7EEE523A"/>
    <w:rsid w:val="7EFB52E1"/>
    <w:rsid w:val="7F358CCF"/>
    <w:rsid w:val="7F37C3E4"/>
    <w:rsid w:val="7F3814C4"/>
    <w:rsid w:val="7F3F4219"/>
    <w:rsid w:val="7F515C0B"/>
    <w:rsid w:val="7F5F31E6"/>
    <w:rsid w:val="7F7FE360"/>
    <w:rsid w:val="7FB71CAF"/>
    <w:rsid w:val="7FBA91B4"/>
    <w:rsid w:val="7FBF8542"/>
    <w:rsid w:val="7FBF85BD"/>
    <w:rsid w:val="7FBFEA83"/>
    <w:rsid w:val="7FCE892F"/>
    <w:rsid w:val="7FDEB3BB"/>
    <w:rsid w:val="7FDF8674"/>
    <w:rsid w:val="7FF5F970"/>
    <w:rsid w:val="7FFC4410"/>
    <w:rsid w:val="7FFF20F5"/>
    <w:rsid w:val="8A1FF095"/>
    <w:rsid w:val="93FD32E6"/>
    <w:rsid w:val="945F8318"/>
    <w:rsid w:val="95FE7485"/>
    <w:rsid w:val="9BF747C8"/>
    <w:rsid w:val="9BFEB65C"/>
    <w:rsid w:val="9D968409"/>
    <w:rsid w:val="9DF51E00"/>
    <w:rsid w:val="9FFDC60E"/>
    <w:rsid w:val="A3DFE19F"/>
    <w:rsid w:val="A7ED74D6"/>
    <w:rsid w:val="AAF64D04"/>
    <w:rsid w:val="AAFB9D0C"/>
    <w:rsid w:val="ADBB8354"/>
    <w:rsid w:val="AE7F5285"/>
    <w:rsid w:val="AEEFF853"/>
    <w:rsid w:val="B3DF4215"/>
    <w:rsid w:val="B56F71FF"/>
    <w:rsid w:val="B5F7BF3B"/>
    <w:rsid w:val="B6AD32B2"/>
    <w:rsid w:val="B6D00391"/>
    <w:rsid w:val="B73FA80B"/>
    <w:rsid w:val="B74B1D5F"/>
    <w:rsid w:val="B7D70927"/>
    <w:rsid w:val="B8FFE8EE"/>
    <w:rsid w:val="BBD36157"/>
    <w:rsid w:val="BBFD7E7D"/>
    <w:rsid w:val="BBFF5AD9"/>
    <w:rsid w:val="BBFF8B9C"/>
    <w:rsid w:val="BE55AB4A"/>
    <w:rsid w:val="BED3AA8A"/>
    <w:rsid w:val="BF3D33B8"/>
    <w:rsid w:val="BF5BB0F7"/>
    <w:rsid w:val="BF6E9151"/>
    <w:rsid w:val="BFAF4B10"/>
    <w:rsid w:val="BFF4D35B"/>
    <w:rsid w:val="BFFB969B"/>
    <w:rsid w:val="BFFFBA91"/>
    <w:rsid w:val="C1FD9A14"/>
    <w:rsid w:val="C57F9AB5"/>
    <w:rsid w:val="C77F8838"/>
    <w:rsid w:val="C7FFBFD3"/>
    <w:rsid w:val="CC8C0707"/>
    <w:rsid w:val="CFAB6CDB"/>
    <w:rsid w:val="CFDB486F"/>
    <w:rsid w:val="CFDD504F"/>
    <w:rsid w:val="D03FD393"/>
    <w:rsid w:val="D0FBFE16"/>
    <w:rsid w:val="D26E275F"/>
    <w:rsid w:val="D359844D"/>
    <w:rsid w:val="D5E60158"/>
    <w:rsid w:val="D5FB6F25"/>
    <w:rsid w:val="D73FA9D0"/>
    <w:rsid w:val="D7477024"/>
    <w:rsid w:val="D77D44A5"/>
    <w:rsid w:val="D79E715F"/>
    <w:rsid w:val="D9CE100C"/>
    <w:rsid w:val="D9DEFF13"/>
    <w:rsid w:val="DAFAD72C"/>
    <w:rsid w:val="DBBF2646"/>
    <w:rsid w:val="DCDE8C59"/>
    <w:rsid w:val="DDF76841"/>
    <w:rsid w:val="DDFE1C89"/>
    <w:rsid w:val="DEFF01E8"/>
    <w:rsid w:val="DF37704E"/>
    <w:rsid w:val="DF7328DA"/>
    <w:rsid w:val="DF77B012"/>
    <w:rsid w:val="DFCF5AE0"/>
    <w:rsid w:val="DFFF9555"/>
    <w:rsid w:val="E3F91CEB"/>
    <w:rsid w:val="E75CF85D"/>
    <w:rsid w:val="E7FFF49F"/>
    <w:rsid w:val="EBEEDE89"/>
    <w:rsid w:val="EBF810F2"/>
    <w:rsid w:val="EBFBC2DA"/>
    <w:rsid w:val="ED751929"/>
    <w:rsid w:val="EDFEEFAE"/>
    <w:rsid w:val="EEEF303B"/>
    <w:rsid w:val="EEFC29D2"/>
    <w:rsid w:val="EF3D499A"/>
    <w:rsid w:val="EF6D01D7"/>
    <w:rsid w:val="EF73CCE9"/>
    <w:rsid w:val="EFAED104"/>
    <w:rsid w:val="EFC983CF"/>
    <w:rsid w:val="EFCF398C"/>
    <w:rsid w:val="EFFEE853"/>
    <w:rsid w:val="EFFF4276"/>
    <w:rsid w:val="F0FE843D"/>
    <w:rsid w:val="F1E3A917"/>
    <w:rsid w:val="F2FA36E5"/>
    <w:rsid w:val="F392AD58"/>
    <w:rsid w:val="F3EC97CC"/>
    <w:rsid w:val="F3FF213F"/>
    <w:rsid w:val="F5CF4357"/>
    <w:rsid w:val="F5DF0B3F"/>
    <w:rsid w:val="F5EFA00F"/>
    <w:rsid w:val="F67F7A65"/>
    <w:rsid w:val="F67F8C1B"/>
    <w:rsid w:val="F6FBD50C"/>
    <w:rsid w:val="F737777A"/>
    <w:rsid w:val="F75F3775"/>
    <w:rsid w:val="F7674014"/>
    <w:rsid w:val="F76FDD51"/>
    <w:rsid w:val="F7750BB2"/>
    <w:rsid w:val="F77DB539"/>
    <w:rsid w:val="F77ED9E8"/>
    <w:rsid w:val="F77F331D"/>
    <w:rsid w:val="F7FABD6F"/>
    <w:rsid w:val="F7FF7C79"/>
    <w:rsid w:val="F974B67D"/>
    <w:rsid w:val="FA7A5F2C"/>
    <w:rsid w:val="FB6B5D93"/>
    <w:rsid w:val="FBD55061"/>
    <w:rsid w:val="FBD8F058"/>
    <w:rsid w:val="FBDFE855"/>
    <w:rsid w:val="FBED58F1"/>
    <w:rsid w:val="FBFD82E0"/>
    <w:rsid w:val="FC74053C"/>
    <w:rsid w:val="FCBF0580"/>
    <w:rsid w:val="FCDDE2EC"/>
    <w:rsid w:val="FD2A9BA0"/>
    <w:rsid w:val="FD6D1EB5"/>
    <w:rsid w:val="FD7FB877"/>
    <w:rsid w:val="FD9F48AA"/>
    <w:rsid w:val="FDCFF281"/>
    <w:rsid w:val="FDDF09ED"/>
    <w:rsid w:val="FDFFB8D4"/>
    <w:rsid w:val="FE3F769D"/>
    <w:rsid w:val="FE7B30CE"/>
    <w:rsid w:val="FEFF51D6"/>
    <w:rsid w:val="FEFF5F0D"/>
    <w:rsid w:val="FEFF81B2"/>
    <w:rsid w:val="FF396902"/>
    <w:rsid w:val="FF6F37D2"/>
    <w:rsid w:val="FF7DC505"/>
    <w:rsid w:val="FF7E0DFB"/>
    <w:rsid w:val="FF9799AA"/>
    <w:rsid w:val="FF9FF544"/>
    <w:rsid w:val="FFA5CB16"/>
    <w:rsid w:val="FFAB84C3"/>
    <w:rsid w:val="FFAEA653"/>
    <w:rsid w:val="FFB7D53B"/>
    <w:rsid w:val="FFBC44A8"/>
    <w:rsid w:val="FFBF1F03"/>
    <w:rsid w:val="FFDC084C"/>
    <w:rsid w:val="FFEE3FAA"/>
    <w:rsid w:val="FFEF37F4"/>
    <w:rsid w:val="FFF7B4EC"/>
    <w:rsid w:val="FFFF9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semiHidden/>
    <w:unhideWhenUsed/>
    <w:qFormat/>
    <w:uiPriority w:val="0"/>
    <w:pPr>
      <w:keepNext/>
      <w:keepLines/>
      <w:snapToGrid w:val="0"/>
      <w:ind w:firstLine="538" w:firstLineChars="200"/>
      <w:jc w:val="left"/>
      <w:outlineLvl w:val="1"/>
    </w:pPr>
    <w:rPr>
      <w:rFonts w:ascii="楷体" w:hAnsi="楷体" w:eastAsia="楷体" w:cstheme="majorBidi"/>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Calibri" w:hAnsi="Calibri" w:eastAsia="宋体" w:cs="Times New Roman"/>
      <w:kern w:val="2"/>
      <w:sz w:val="28"/>
      <w:szCs w:val="20"/>
      <w:lang w:val="en-US" w:eastAsia="zh-CN" w:bidi="ar-SA"/>
    </w:rPr>
  </w:style>
  <w:style w:type="paragraph" w:styleId="3">
    <w:name w:val="Body Text Indent"/>
    <w:basedOn w:val="1"/>
    <w:qFormat/>
    <w:uiPriority w:val="0"/>
    <w:pPr>
      <w:ind w:firstLine="568"/>
    </w:pPr>
    <w:rPr>
      <w:rFonts w:ascii="Calibri" w:hAnsi="Calibri" w:eastAsia="宋体" w:cs="Times New Roman"/>
      <w:sz w:val="28"/>
    </w:rPr>
  </w:style>
  <w:style w:type="paragraph" w:styleId="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样式3"/>
    <w:basedOn w:val="10"/>
    <w:qFormat/>
    <w:uiPriority w:val="1"/>
    <w:rPr>
      <w:rFonts w:eastAsia="宋体"/>
      <w:b/>
      <w:color w:val="FF000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2384</Words>
  <Characters>2384</Characters>
  <Lines>60</Lines>
  <Paragraphs>48</Paragraphs>
  <TotalTime>12</TotalTime>
  <ScaleCrop>false</ScaleCrop>
  <LinksUpToDate>false</LinksUpToDate>
  <CharactersWithSpaces>2457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2025-07-20T13:48:00Z</dcterms:created>
  <dc:creator>野原琪之助</dc:creator>
  <cp:lastModifiedBy>xxfb01</cp:lastModifiedBy>
  <cp:lastPrinted>2025-12-15T08:19:00Z</cp:lastPrinted>
  <dcterms:modified xsi:type="dcterms:W3CDTF">2025-12-26T05:54:19Z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8DEA564D38D24F549E8C74EEAB17BBB9</vt:lpwstr>
  </property>
  <property fmtid="{D5CDD505-2E9C-101B-9397-08002B2CF9AE}" pid="4" name="KSOTemplateDocerSaveRecord">
    <vt:lpwstr>eyJoZGlkIjoiMDg4YTA5M2E1MWY3MDQ4Y2IxNGNlOWM5ODUxZWIxNmUiLCJ1c2VySWQiOiI0MDcxNTE3NTEifQ==</vt:lpwstr>
  </property>
</Properties>
</file>