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4587">
      <w:pPr>
        <w:widowControl w:val="0"/>
        <w:snapToGrid w:val="0"/>
        <w:ind w:firstLine="0" w:firstLineChars="0"/>
        <w:jc w:val="center"/>
        <w:outlineLvl w:val="0"/>
        <w:rPr>
          <w:rFonts w:eastAsia="方正大标宋简体"/>
          <w:sz w:val="44"/>
          <w:szCs w:val="44"/>
        </w:rPr>
      </w:pPr>
      <w:bookmarkStart w:id="0" w:name="_GoBack"/>
      <w:bookmarkEnd w:id="0"/>
      <w:r>
        <w:rPr>
          <w:rFonts w:eastAsia="方正大标宋简体"/>
          <w:sz w:val="44"/>
          <w:szCs w:val="44"/>
        </w:rPr>
        <w:t>《上海证券交易所公开募集不动产投资信托基金（REITs）规则适用指引第5号——临时报告（试行）》修订说明</w:t>
      </w:r>
    </w:p>
    <w:p w14:paraId="36D6175F">
      <w:pPr>
        <w:snapToGrid w:val="0"/>
        <w:ind w:firstLine="600"/>
        <w:rPr>
          <w:rFonts w:eastAsia="方正仿宋简体"/>
          <w:sz w:val="30"/>
        </w:rPr>
      </w:pPr>
    </w:p>
    <w:p w14:paraId="1C397BBA">
      <w:pPr>
        <w:rPr>
          <w:rFonts w:hint="eastAsia" w:eastAsia="仿宋_GB2312"/>
          <w:szCs w:val="32"/>
        </w:rPr>
      </w:pPr>
      <w:r>
        <w:rPr>
          <w:rFonts w:eastAsia="仿宋_GB2312"/>
          <w:szCs w:val="32"/>
        </w:rPr>
        <w:t>为贯彻落实</w:t>
      </w:r>
      <w:r>
        <w:rPr>
          <w:rFonts w:hint="eastAsia" w:eastAsia="仿宋_GB2312"/>
          <w:szCs w:val="32"/>
        </w:rPr>
        <w:t>《国务院关于加强监管防范风险推动资本市场高质量发展的若干意见》（国发〔2024〕10号）部署和《中国证监会关于推出商业不动产投资信托基金试点的公告》（以下简称《公告》）的工作要求，本所在中国证监会的统筹部署下，修订形成了《上海证券交易所公开募集不动产投资信托基金（REITs）规则适用指引第5号</w:t>
      </w:r>
      <w:r>
        <w:rPr>
          <w:rFonts w:eastAsia="仿宋_GB2312"/>
          <w:szCs w:val="32"/>
        </w:rPr>
        <w:t>——</w:t>
      </w:r>
      <w:r>
        <w:rPr>
          <w:rFonts w:hint="eastAsia" w:eastAsia="仿宋_GB2312"/>
          <w:szCs w:val="32"/>
        </w:rPr>
        <w:t>临时报告（试行）》（以下简称</w:t>
      </w:r>
      <w:r>
        <w:rPr>
          <w:rFonts w:hint="eastAsia" w:eastAsia="仿宋_GB2312"/>
          <w:color w:val="000000"/>
          <w:szCs w:val="32"/>
          <w:shd w:val="clear" w:color="auto" w:fill="FFFFFF"/>
        </w:rPr>
        <w:t>《临时报告指引》</w:t>
      </w:r>
      <w:r>
        <w:rPr>
          <w:rFonts w:hint="eastAsia" w:eastAsia="仿宋_GB2312"/>
          <w:szCs w:val="32"/>
        </w:rPr>
        <w:t>），现将相关情况说明如下：</w:t>
      </w:r>
    </w:p>
    <w:p w14:paraId="74B9DA31">
      <w:pPr>
        <w:outlineLvl w:val="0"/>
        <w:rPr>
          <w:rFonts w:hint="eastAsia" w:eastAsia="黑体"/>
          <w:bCs/>
          <w:szCs w:val="32"/>
        </w:rPr>
      </w:pPr>
      <w:r>
        <w:rPr>
          <w:rFonts w:hint="eastAsia" w:eastAsia="黑体"/>
          <w:bCs/>
          <w:szCs w:val="32"/>
        </w:rPr>
        <w:t>一、修订背景</w:t>
      </w:r>
    </w:p>
    <w:p w14:paraId="44A30DD3">
      <w:pPr>
        <w:pStyle w:val="6"/>
        <w:widowControl w:val="0"/>
        <w:ind w:firstLine="640" w:firstLineChars="200"/>
        <w:rPr>
          <w:rFonts w:ascii="Times New Roman" w:hAnsi="Times New Roman" w:eastAsia="仿宋_GB2312"/>
          <w:szCs w:val="32"/>
          <w:lang w:eastAsia="zh-CN"/>
        </w:rPr>
      </w:pPr>
      <w:r>
        <w:rPr>
          <w:rFonts w:hint="eastAsia" w:ascii="Times New Roman" w:hAnsi="Times New Roman" w:eastAsia="仿宋_GB2312"/>
          <w:szCs w:val="32"/>
          <w:lang w:eastAsia="zh-CN"/>
        </w:rPr>
        <w:t>2025年12月31日，中国证监会发布</w:t>
      </w:r>
      <w:r>
        <w:rPr>
          <w:rFonts w:ascii="Times New Roman" w:hAnsi="Times New Roman" w:eastAsia="仿宋_GB2312"/>
          <w:szCs w:val="32"/>
          <w:lang w:eastAsia="zh-CN"/>
        </w:rPr>
        <w:t>《公告》，明确</w:t>
      </w:r>
      <w:r>
        <w:rPr>
          <w:rFonts w:hint="eastAsia" w:ascii="Times New Roman" w:hAnsi="Times New Roman" w:eastAsia="仿宋_GB2312"/>
          <w:szCs w:val="32"/>
          <w:lang w:eastAsia="zh-CN"/>
        </w:rPr>
        <w:t>了</w:t>
      </w:r>
      <w:r>
        <w:rPr>
          <w:rFonts w:ascii="Times New Roman" w:hAnsi="Times New Roman" w:eastAsia="仿宋_GB2312"/>
          <w:szCs w:val="32"/>
          <w:lang w:eastAsia="zh-CN"/>
        </w:rPr>
        <w:t>商业不动产投资信托基金</w:t>
      </w:r>
      <w:r>
        <w:rPr>
          <w:rFonts w:hint="eastAsia" w:ascii="Times New Roman" w:hAnsi="Times New Roman" w:eastAsia="仿宋_GB2312"/>
          <w:szCs w:val="32"/>
          <w:lang w:eastAsia="zh-CN"/>
        </w:rPr>
        <w:t>（以下简称商业不动产REITs）产品定义，提出了基金注册及运营管理、发挥基金管理人和专业机构作用、强化监管责任等方面要求</w:t>
      </w:r>
      <w:r>
        <w:rPr>
          <w:rFonts w:ascii="Times New Roman" w:hAnsi="Times New Roman" w:eastAsia="仿宋_GB2312"/>
          <w:szCs w:val="32"/>
          <w:lang w:eastAsia="zh-CN"/>
        </w:rPr>
        <w:t>。</w:t>
      </w:r>
    </w:p>
    <w:p w14:paraId="7A410372">
      <w:pPr>
        <w:pStyle w:val="6"/>
        <w:widowControl w:val="0"/>
        <w:ind w:firstLine="640" w:firstLineChars="200"/>
        <w:rPr>
          <w:rFonts w:hint="eastAsia" w:ascii="Times New Roman" w:hAnsi="Times New Roman" w:eastAsia="仿宋_GB2312"/>
          <w:szCs w:val="32"/>
          <w:lang w:eastAsia="zh-CN"/>
        </w:rPr>
      </w:pPr>
      <w:r>
        <w:rPr>
          <w:rFonts w:hint="eastAsia" w:ascii="Times New Roman" w:hAnsi="Times New Roman" w:eastAsia="仿宋_GB2312"/>
          <w:szCs w:val="32"/>
          <w:lang w:eastAsia="zh-CN"/>
        </w:rPr>
        <w:t>本所结合前期监管实践经验和市场实际情况，修订形成了《临时报告指引》，旨在扩充指引适用范围至不动产投资信托基金，进一步增强临时报告的及时性、有效性，提高信息披露质量，促进REITs市场健康发展。</w:t>
      </w:r>
    </w:p>
    <w:p w14:paraId="4EB9A1AB">
      <w:pPr>
        <w:pStyle w:val="6"/>
        <w:widowControl w:val="0"/>
        <w:ind w:firstLine="640" w:firstLineChars="200"/>
        <w:rPr>
          <w:rFonts w:hint="eastAsia" w:ascii="Times New Roman" w:hAnsi="Times New Roman" w:eastAsia="黑体" w:cs="黑体"/>
          <w:lang w:eastAsia="zh-CN"/>
        </w:rPr>
      </w:pPr>
      <w:r>
        <w:rPr>
          <w:rFonts w:hint="eastAsia" w:ascii="Times New Roman" w:hAnsi="Times New Roman" w:eastAsia="黑体" w:cs="黑体"/>
          <w:lang w:eastAsia="zh-CN"/>
        </w:rPr>
        <w:t>二、主要修订内容</w:t>
      </w:r>
    </w:p>
    <w:p w14:paraId="239EF572">
      <w:pPr>
        <w:rPr>
          <w:rFonts w:hint="eastAsia" w:eastAsia="仿宋_GB2312" w:cs="仿宋_GB2312"/>
        </w:rPr>
      </w:pPr>
      <w:r>
        <w:rPr>
          <w:rFonts w:hint="eastAsia" w:eastAsia="仿宋_GB2312" w:cs="仿宋_GB2312"/>
        </w:rPr>
        <w:t>本次修订主要包括以下几方面内容：</w:t>
      </w:r>
    </w:p>
    <w:p w14:paraId="42497BAE">
      <w:pPr>
        <w:rPr>
          <w:rFonts w:eastAsia="仿宋_GB2312"/>
          <w:b/>
          <w:szCs w:val="32"/>
        </w:rPr>
      </w:pPr>
      <w:r>
        <w:rPr>
          <w:rFonts w:eastAsia="仿宋_GB2312"/>
          <w:bCs/>
          <w:szCs w:val="32"/>
        </w:rPr>
        <w:t>一是扩充业务指引适用范围。</w:t>
      </w:r>
      <w:r>
        <w:rPr>
          <w:rFonts w:eastAsia="仿宋_GB2312"/>
          <w:szCs w:val="32"/>
        </w:rPr>
        <w:t>根据《公告》，将商业不动产REITs纳入《临时报告指引》适用范围，调整相关表述，包括将</w:t>
      </w:r>
      <w:r>
        <w:rPr>
          <w:rFonts w:hint="eastAsia" w:eastAsia="仿宋_GB2312"/>
          <w:szCs w:val="32"/>
        </w:rPr>
        <w:t>“</w:t>
      </w:r>
      <w:r>
        <w:rPr>
          <w:rFonts w:eastAsia="仿宋_GB2312"/>
          <w:szCs w:val="32"/>
        </w:rPr>
        <w:t>基础设施基金</w:t>
      </w:r>
      <w:r>
        <w:rPr>
          <w:rFonts w:hint="eastAsia" w:eastAsia="仿宋_GB2312"/>
          <w:szCs w:val="32"/>
        </w:rPr>
        <w:t>”“</w:t>
      </w:r>
      <w:r>
        <w:rPr>
          <w:rFonts w:eastAsia="仿宋_GB2312"/>
          <w:szCs w:val="32"/>
        </w:rPr>
        <w:t>基础设施资产支持证券</w:t>
      </w:r>
      <w:r>
        <w:rPr>
          <w:rFonts w:hint="eastAsia" w:eastAsia="仿宋_GB2312"/>
          <w:szCs w:val="32"/>
        </w:rPr>
        <w:t>”“</w:t>
      </w:r>
      <w:r>
        <w:rPr>
          <w:rFonts w:eastAsia="仿宋_GB2312"/>
          <w:szCs w:val="32"/>
        </w:rPr>
        <w:t>基础设施项目</w:t>
      </w:r>
      <w:r>
        <w:rPr>
          <w:rFonts w:hint="eastAsia" w:eastAsia="仿宋_GB2312"/>
          <w:szCs w:val="32"/>
        </w:rPr>
        <w:t>”</w:t>
      </w:r>
      <w:r>
        <w:rPr>
          <w:rFonts w:eastAsia="仿宋_GB2312"/>
          <w:szCs w:val="32"/>
        </w:rPr>
        <w:t>调整为</w:t>
      </w:r>
      <w:r>
        <w:rPr>
          <w:rFonts w:hint="eastAsia" w:eastAsia="仿宋_GB2312"/>
          <w:szCs w:val="32"/>
        </w:rPr>
        <w:t>“</w:t>
      </w:r>
      <w:r>
        <w:rPr>
          <w:rFonts w:eastAsia="仿宋_GB2312"/>
          <w:szCs w:val="32"/>
        </w:rPr>
        <w:t>不动产基金</w:t>
      </w:r>
      <w:r>
        <w:rPr>
          <w:rFonts w:hint="eastAsia" w:eastAsia="仿宋_GB2312"/>
          <w:szCs w:val="32"/>
        </w:rPr>
        <w:t>”“</w:t>
      </w:r>
      <w:r>
        <w:rPr>
          <w:rFonts w:eastAsia="仿宋_GB2312"/>
          <w:szCs w:val="32"/>
        </w:rPr>
        <w:t>不动产资产支持证券</w:t>
      </w:r>
      <w:r>
        <w:rPr>
          <w:rFonts w:hint="eastAsia" w:eastAsia="仿宋_GB2312"/>
          <w:szCs w:val="32"/>
        </w:rPr>
        <w:t>”“</w:t>
      </w:r>
      <w:r>
        <w:rPr>
          <w:rFonts w:eastAsia="仿宋_GB2312"/>
          <w:szCs w:val="32"/>
        </w:rPr>
        <w:t>不动产项目</w:t>
      </w:r>
      <w:r>
        <w:rPr>
          <w:rFonts w:hint="eastAsia" w:eastAsia="仿宋_GB2312"/>
          <w:szCs w:val="32"/>
        </w:rPr>
        <w:t>”</w:t>
      </w:r>
      <w:r>
        <w:rPr>
          <w:rFonts w:eastAsia="仿宋_GB2312"/>
          <w:szCs w:val="32"/>
        </w:rPr>
        <w:t>等。</w:t>
      </w:r>
    </w:p>
    <w:p w14:paraId="201F06C2">
      <w:pPr>
        <w:adjustRightInd w:val="0"/>
        <w:snapToGrid w:val="0"/>
        <w:rPr>
          <w:rFonts w:eastAsia="仿宋_GB2312"/>
          <w:szCs w:val="32"/>
        </w:rPr>
      </w:pPr>
      <w:r>
        <w:rPr>
          <w:rFonts w:eastAsia="仿宋_GB2312"/>
          <w:bCs/>
          <w:szCs w:val="32"/>
        </w:rPr>
        <w:t>二是完善不动产项目运营情况披露要求。</w:t>
      </w:r>
      <w:r>
        <w:rPr>
          <w:rFonts w:eastAsia="仿宋_GB2312"/>
          <w:szCs w:val="32"/>
        </w:rPr>
        <w:t>结合前期REITs业务实践经验和行业特点，优化不动产项目重大变化披露规范，明确依托租金收入不动产项目</w:t>
      </w:r>
      <w:r>
        <w:rPr>
          <w:rFonts w:eastAsia="仿宋_GB2312"/>
          <w:color w:val="000000"/>
          <w:kern w:val="0"/>
          <w:szCs w:val="32"/>
        </w:rPr>
        <w:t>运营发生重大变化的披露要求，完善能源类不动产项目运营发生重大变化的披露要求。</w:t>
      </w:r>
    </w:p>
    <w:p w14:paraId="5E3C0177">
      <w:pPr>
        <w:adjustRightInd w:val="0"/>
        <w:snapToGrid w:val="0"/>
        <w:rPr>
          <w:rFonts w:eastAsia="仿宋_GB2312"/>
          <w:color w:val="000000"/>
          <w:kern w:val="0"/>
          <w:szCs w:val="32"/>
        </w:rPr>
      </w:pPr>
      <w:r>
        <w:rPr>
          <w:rFonts w:eastAsia="仿宋_GB2312"/>
          <w:bCs/>
          <w:szCs w:val="32"/>
        </w:rPr>
        <w:t>三是细化交易相关提示公告和停牌公告的具体要求。根据监管实践，对于触发连续20个交易日收盘价累计涨跌幅达到20%的，</w:t>
      </w:r>
      <w:r>
        <w:rPr>
          <w:rFonts w:hint="eastAsia" w:eastAsia="仿宋_GB2312"/>
          <w:bCs/>
          <w:szCs w:val="32"/>
        </w:rPr>
        <w:t>明确</w:t>
      </w:r>
      <w:r>
        <w:rPr>
          <w:rFonts w:eastAsia="仿宋_GB2312"/>
          <w:bCs/>
          <w:szCs w:val="32"/>
        </w:rPr>
        <w:t>累计涨跌幅计算从披露之日起重新起算；明确收盘价达到涨跌幅限制价格的停牌要求；</w:t>
      </w:r>
      <w:r>
        <w:rPr>
          <w:rFonts w:eastAsia="仿宋_GB2312"/>
          <w:color w:val="000000"/>
          <w:kern w:val="0"/>
          <w:szCs w:val="32"/>
        </w:rPr>
        <w:t>明确计算基金单日涨跌幅和连续3个交易日涨跌幅时，收盘价格应考虑期间内除权除息的影响并做相应调整。</w:t>
      </w:r>
    </w:p>
    <w:p w14:paraId="00A89A68">
      <w:pPr>
        <w:adjustRightInd w:val="0"/>
        <w:snapToGrid w:val="0"/>
        <w:rPr>
          <w:rFonts w:eastAsia="仿宋_GB2312"/>
          <w:szCs w:val="32"/>
        </w:rPr>
      </w:pPr>
      <w:r>
        <w:rPr>
          <w:rFonts w:eastAsia="仿宋_GB2312"/>
          <w:bCs/>
          <w:szCs w:val="32"/>
        </w:rPr>
        <w:t>四是简化自律监管章节设置。</w:t>
      </w:r>
      <w:r>
        <w:rPr>
          <w:rFonts w:eastAsia="仿宋_GB2312"/>
          <w:szCs w:val="32"/>
        </w:rPr>
        <w:t>将自律监管章节相关内容整合至</w:t>
      </w:r>
      <w:r>
        <w:rPr>
          <w:rFonts w:eastAsia="仿宋_GB2312"/>
          <w:kern w:val="0"/>
          <w:szCs w:val="32"/>
        </w:rPr>
        <w:t>《上海证券交易所公开募集不动产投资信托基金（REITs）业务办法（试行）》</w:t>
      </w:r>
      <w:r>
        <w:rPr>
          <w:rFonts w:eastAsia="仿宋_GB2312"/>
          <w:szCs w:val="32"/>
        </w:rPr>
        <w:t>，在附则章节中明确对不动产基金业务参与人及其人员采取自律监管措施或者纪律处分的适用情形。</w:t>
      </w:r>
    </w:p>
    <w:p w14:paraId="48C4A0DE">
      <w:pPr>
        <w:adjustRightInd w:val="0"/>
        <w:snapToGrid w:val="0"/>
        <w:rPr>
          <w:rFonts w:eastAsia="仿宋_GB2312"/>
        </w:rPr>
      </w:pPr>
      <w:r>
        <w:rPr>
          <w:rFonts w:eastAsia="仿宋_GB2312"/>
          <w:bCs/>
          <w:szCs w:val="32"/>
        </w:rPr>
        <w:t>五是其他细节修订。</w:t>
      </w:r>
      <w:r>
        <w:rPr>
          <w:rFonts w:eastAsia="仿宋_GB2312"/>
          <w:szCs w:val="32"/>
          <w:lang w:bidi="ar"/>
        </w:rPr>
        <w:t>根据监管实践，强调运营管理机构配合基金管理人履行信息披露的具体义务，明确基金管理人高管、过半数董事以及基金经理变动或无法履职的披露要求，明确重大事项进展公告的披露要求，明确信息披露义务人披露补充或者更正公告的要求等。</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modern"/>
    <w:pitch w:val="default"/>
    <w:sig w:usb0="800002BF" w:usb1="38CF7CFA" w:usb2="00000016" w:usb3="00000000" w:csb0="00040001" w:csb1="00000000"/>
  </w:font>
  <w:font w:name="方正仿宋简体">
    <w:panose1 w:val="02000500000000000000"/>
    <w:charset w:val="86"/>
    <w:family w:val="auto"/>
    <w:pitch w:val="default"/>
    <w:sig w:usb0="A00002BF" w:usb1="5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4BEA">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6AB9AD">
                          <w:pPr>
                            <w:pStyle w:val="4"/>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66AB9AD">
                    <w:pPr>
                      <w:pStyle w:val="4"/>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8F0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376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ECF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035F">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D71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D76D0"/>
    <w:rsid w:val="000267C1"/>
    <w:rsid w:val="002957F0"/>
    <w:rsid w:val="00615895"/>
    <w:rsid w:val="007A65CF"/>
    <w:rsid w:val="00BE5068"/>
    <w:rsid w:val="00D44F8D"/>
    <w:rsid w:val="00D70ED9"/>
    <w:rsid w:val="00DA345B"/>
    <w:rsid w:val="1DBFE66D"/>
    <w:rsid w:val="2F7B595C"/>
    <w:rsid w:val="2FE78B0B"/>
    <w:rsid w:val="377DB379"/>
    <w:rsid w:val="3F176491"/>
    <w:rsid w:val="3FAD76D0"/>
    <w:rsid w:val="4FEBD2CB"/>
    <w:rsid w:val="5777A994"/>
    <w:rsid w:val="5BDF755E"/>
    <w:rsid w:val="5BFF3AAF"/>
    <w:rsid w:val="5F6753CA"/>
    <w:rsid w:val="67B9803E"/>
    <w:rsid w:val="6A77224D"/>
    <w:rsid w:val="6BEEC951"/>
    <w:rsid w:val="6FF5CBD4"/>
    <w:rsid w:val="75FEA429"/>
    <w:rsid w:val="75FFE5D4"/>
    <w:rsid w:val="769E51BF"/>
    <w:rsid w:val="779BAC58"/>
    <w:rsid w:val="77BEAA4F"/>
    <w:rsid w:val="7A5FF6F4"/>
    <w:rsid w:val="7AEF5FAA"/>
    <w:rsid w:val="7B9B9E94"/>
    <w:rsid w:val="7BBF32F7"/>
    <w:rsid w:val="7C63EAE8"/>
    <w:rsid w:val="7D836296"/>
    <w:rsid w:val="7EE7F686"/>
    <w:rsid w:val="7EEF88F4"/>
    <w:rsid w:val="7F2D6035"/>
    <w:rsid w:val="7F7BA5A2"/>
    <w:rsid w:val="7FF4C7D6"/>
    <w:rsid w:val="7FFB9E56"/>
    <w:rsid w:val="868ECCC1"/>
    <w:rsid w:val="96FA8096"/>
    <w:rsid w:val="9BFF724A"/>
    <w:rsid w:val="B8FE96EB"/>
    <w:rsid w:val="BAFB380F"/>
    <w:rsid w:val="BDBB0194"/>
    <w:rsid w:val="BEFFD39F"/>
    <w:rsid w:val="D99BD088"/>
    <w:rsid w:val="DBFE0C29"/>
    <w:rsid w:val="DFFFDF3D"/>
    <w:rsid w:val="F3EFF4CE"/>
    <w:rsid w:val="FDED3CF5"/>
    <w:rsid w:val="FDF79C26"/>
    <w:rsid w:val="FE5F9562"/>
    <w:rsid w:val="FF3F9317"/>
    <w:rsid w:val="FFF7C270"/>
    <w:rsid w:val="FFFE9D38"/>
    <w:rsid w:val="FFFF98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0" w:firstLineChars="200"/>
      <w:jc w:val="both"/>
    </w:pPr>
    <w:rPr>
      <w:rFonts w:ascii="Times New Roman" w:hAnsi="Times New Roman" w:eastAsia="仿宋"/>
      <w:kern w:val="2"/>
      <w:sz w:val="32"/>
      <w:szCs w:val="3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qFormat/>
    <w:uiPriority w:val="0"/>
    <w:rPr>
      <w:rFonts w:ascii="宋体" w:hAnsi="宋体" w:eastAsia="仿宋"/>
      <w:sz w:val="32"/>
      <w:szCs w:val="24"/>
      <w:lang w:eastAsia="en-US"/>
    </w:rPr>
  </w:style>
  <w:style w:type="paragraph" w:styleId="3">
    <w:name w:val="Body Text Indent"/>
    <w:basedOn w:val="1"/>
    <w:qFormat/>
    <w:uiPriority w:val="0"/>
    <w:pPr>
      <w:ind w:firstLine="568"/>
    </w:pPr>
    <w:rPr>
      <w:rFonts w:ascii="Calibri" w:hAnsi="Calibri" w:eastAsia="宋体" w:cs="Times New Roman"/>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uiPriority w:val="0"/>
    <w:pPr>
      <w:tabs>
        <w:tab w:val="center" w:pos="4153"/>
        <w:tab w:val="right" w:pos="8306"/>
      </w:tabs>
      <w:snapToGrid w:val="0"/>
      <w:spacing w:line="240" w:lineRule="atLeast"/>
      <w:jc w:val="center"/>
    </w:pPr>
    <w:rPr>
      <w:sz w:val="18"/>
      <w:szCs w:val="18"/>
    </w:rPr>
  </w:style>
  <w:style w:type="paragraph" w:styleId="6">
    <w:name w:val="Body Text First Indent"/>
    <w:basedOn w:val="2"/>
    <w:qFormat/>
    <w:uiPriority w:val="0"/>
    <w:pPr>
      <w:ind w:firstLine="420" w:firstLineChars="100"/>
    </w:pPr>
  </w:style>
  <w:style w:type="paragraph" w:styleId="7">
    <w:name w:val="Body Text First Indent 2"/>
    <w:basedOn w:val="3"/>
    <w:qFormat/>
    <w:uiPriority w:val="0"/>
    <w:pPr>
      <w:widowControl w:val="0"/>
      <w:ind w:firstLine="420"/>
      <w:jc w:val="both"/>
    </w:pPr>
    <w:rPr>
      <w:rFonts w:ascii="Calibri" w:hAnsi="Calibri" w:eastAsia="宋体" w:cs="Times New Roman"/>
      <w:kern w:val="2"/>
      <w:sz w:val="28"/>
      <w:szCs w:val="20"/>
      <w:lang w:val="en-US" w:eastAsia="zh-CN" w:bidi="ar-SA"/>
    </w:rPr>
  </w:style>
  <w:style w:type="character" w:customStyle="1" w:styleId="10">
    <w:name w:val="页眉 字符"/>
    <w:link w:val="5"/>
    <w:uiPriority w:val="0"/>
    <w:rPr>
      <w:rFonts w:ascii="Times New Roman" w:hAnsi="Times New Roman" w:eastAsia="仿宋"/>
      <w:kern w:val="2"/>
      <w:sz w:val="18"/>
      <w:szCs w:val="18"/>
    </w:rPr>
  </w:style>
  <w:style w:type="paragraph" w:styleId="11">
    <w:name w:val=""/>
    <w:unhideWhenUsed/>
    <w:uiPriority w:val="99"/>
    <w:rPr>
      <w:rFonts w:ascii="Times New Roman" w:hAnsi="Times New Roman" w:eastAsia="仿宋"/>
      <w:kern w:val="2"/>
      <w:sz w:val="32"/>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1014</Words>
  <Characters>1056</Characters>
  <Lines>7</Lines>
  <Paragraphs>2</Paragraphs>
  <TotalTime>0</TotalTime>
  <ScaleCrop>false</ScaleCrop>
  <LinksUpToDate>false</LinksUpToDate>
  <CharactersWithSpaces>1056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2025-12-31T18:26:00Z</dcterms:created>
  <dc:creator>sse</dc:creator>
  <cp:lastModifiedBy>whxu</cp:lastModifiedBy>
  <cp:lastPrinted>2025-12-14T21:43:00Z</cp:lastPrinted>
  <dcterms:modified xsi:type="dcterms:W3CDTF">2025-12-31T15:06:38Z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2D9047F152AE0B707ECB5469BAE119EA_43</vt:lpwstr>
  </property>
</Properties>
</file>