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EE52B">
      <w:pPr>
        <w:snapToGrid w:val="0"/>
        <w:ind w:firstLine="600"/>
        <w:rPr>
          <w:rFonts w:eastAsia="仿宋_GB2312"/>
          <w:sz w:val="30"/>
        </w:rPr>
      </w:pPr>
    </w:p>
    <w:p w14:paraId="6E8A90EA">
      <w:pPr>
        <w:widowControl w:val="0"/>
        <w:snapToGrid w:val="0"/>
        <w:ind w:firstLine="0" w:firstLineChars="0"/>
        <w:jc w:val="center"/>
        <w:outlineLvl w:val="0"/>
        <w:rPr>
          <w:rFonts w:eastAsia="方正大标宋简体"/>
          <w:sz w:val="44"/>
          <w:szCs w:val="44"/>
        </w:rPr>
      </w:pPr>
      <w:r>
        <w:rPr>
          <w:rFonts w:eastAsia="方正大标宋简体"/>
          <w:sz w:val="44"/>
          <w:szCs w:val="44"/>
        </w:rPr>
        <w:t>《上海证券交易所公开募集不动产投资信托基金（REITs）规则适用指引第6号——年度报告（试行）》等两项指引修订说明</w:t>
      </w:r>
    </w:p>
    <w:p w14:paraId="54E6493B">
      <w:pPr>
        <w:pStyle w:val="9"/>
        <w:widowControl w:val="0"/>
        <w:snapToGrid w:val="0"/>
        <w:ind w:firstLine="640" w:firstLineChars="200"/>
        <w:rPr>
          <w:rFonts w:ascii="Times New Roman" w:hAnsi="Times New Roman" w:eastAsia="仿宋_GB2312"/>
          <w:szCs w:val="32"/>
          <w:lang w:eastAsia="zh-CN"/>
        </w:rPr>
      </w:pPr>
    </w:p>
    <w:p w14:paraId="21944FC0">
      <w:pPr>
        <w:snapToGrid w:val="0"/>
        <w:rPr>
          <w:rFonts w:eastAsia="仿宋_GB2312"/>
          <w:szCs w:val="32"/>
        </w:rPr>
      </w:pPr>
      <w:r>
        <w:rPr>
          <w:rFonts w:eastAsia="仿宋_GB2312"/>
          <w:szCs w:val="32"/>
        </w:rPr>
        <w:t>为贯彻落实</w:t>
      </w:r>
      <w:r>
        <w:rPr>
          <w:rFonts w:hint="eastAsia" w:eastAsia="仿宋_GB2312"/>
          <w:szCs w:val="32"/>
        </w:rPr>
        <w:t>《国务院关于加强监管防范风险推动资本市场高质量发展的若干意见》（国发〔2024〕10号）部署和《中国证监会关于推出商业不动产投资信托基金试点的公告》（以下简称《公告》）的工作要求，本所在中国证监会的统筹部署下，修订形成了《上海证券交易所公开募集不动产投资信托基金（REITs）规则适用指引第6号</w:t>
      </w:r>
      <w:r>
        <w:rPr>
          <w:rFonts w:eastAsia="仿宋_GB2312"/>
          <w:szCs w:val="32"/>
        </w:rPr>
        <w:t>——</w:t>
      </w:r>
      <w:r>
        <w:rPr>
          <w:rFonts w:hint="eastAsia" w:eastAsia="仿宋_GB2312"/>
          <w:szCs w:val="32"/>
        </w:rPr>
        <w:t>年度报告（试行）》《上海证券交易所公开募集不动产投资信托基金（REITs）规则适用指引第7号</w:t>
      </w:r>
      <w:r>
        <w:rPr>
          <w:rFonts w:eastAsia="仿宋_GB2312"/>
          <w:szCs w:val="32"/>
        </w:rPr>
        <w:t>——</w:t>
      </w:r>
      <w:r>
        <w:rPr>
          <w:rFonts w:hint="eastAsia" w:eastAsia="仿宋_GB2312"/>
          <w:szCs w:val="32"/>
        </w:rPr>
        <w:t>中期报告和季度报告（试行）》（以下分别简称</w:t>
      </w:r>
      <w:r>
        <w:rPr>
          <w:rFonts w:hint="eastAsia" w:eastAsia="仿宋_GB2312"/>
          <w:color w:val="000000"/>
          <w:szCs w:val="32"/>
          <w:shd w:val="clear" w:color="auto" w:fill="FFFFFF"/>
        </w:rPr>
        <w:t>《年报指引》《中报和季报指引》</w:t>
      </w:r>
      <w:r>
        <w:rPr>
          <w:rFonts w:hint="eastAsia" w:eastAsia="仿宋_GB2312"/>
          <w:szCs w:val="32"/>
        </w:rPr>
        <w:t>），现将相关情况说明如下：</w:t>
      </w:r>
    </w:p>
    <w:p w14:paraId="51C44121">
      <w:pPr>
        <w:snapToGrid w:val="0"/>
        <w:outlineLvl w:val="0"/>
        <w:rPr>
          <w:rFonts w:eastAsia="黑体"/>
          <w:bCs/>
          <w:szCs w:val="32"/>
        </w:rPr>
      </w:pPr>
      <w:r>
        <w:rPr>
          <w:rFonts w:eastAsia="黑体"/>
          <w:bCs/>
          <w:szCs w:val="32"/>
        </w:rPr>
        <w:t>一、修订背景</w:t>
      </w:r>
    </w:p>
    <w:p w14:paraId="71037AA8">
      <w:pPr>
        <w:pStyle w:val="9"/>
        <w:widowControl w:val="0"/>
        <w:snapToGrid w:val="0"/>
        <w:ind w:firstLine="640" w:firstLineChars="200"/>
        <w:rPr>
          <w:rFonts w:ascii="Times New Roman" w:hAnsi="Times New Roman" w:eastAsia="仿宋_GB2312"/>
          <w:szCs w:val="32"/>
          <w:lang w:eastAsia="zh-CN"/>
        </w:rPr>
      </w:pPr>
      <w:r>
        <w:rPr>
          <w:rFonts w:hint="eastAsia" w:ascii="Times New Roman" w:hAnsi="Times New Roman" w:eastAsia="仿宋_GB2312" w:cs="仿宋_GB2312"/>
          <w:szCs w:val="32"/>
          <w:lang w:eastAsia="zh-CN"/>
        </w:rPr>
        <w:t>2025年12月31日，中国证监会发布</w:t>
      </w:r>
      <w:r>
        <w:rPr>
          <w:rFonts w:ascii="Times New Roman" w:hAnsi="Times New Roman" w:eastAsia="仿宋_GB2312"/>
          <w:szCs w:val="32"/>
          <w:lang w:eastAsia="zh-CN"/>
        </w:rPr>
        <w:t>《公告》，明确</w:t>
      </w:r>
      <w:r>
        <w:rPr>
          <w:rFonts w:hint="eastAsia" w:ascii="Times New Roman" w:hAnsi="Times New Roman" w:eastAsia="仿宋_GB2312"/>
          <w:szCs w:val="32"/>
          <w:lang w:eastAsia="zh-CN"/>
        </w:rPr>
        <w:t>了</w:t>
      </w:r>
      <w:r>
        <w:rPr>
          <w:rFonts w:ascii="Times New Roman" w:hAnsi="Times New Roman" w:eastAsia="仿宋_GB2312"/>
          <w:szCs w:val="32"/>
          <w:lang w:eastAsia="zh-CN"/>
        </w:rPr>
        <w:t>商业不动产投资信托基金</w:t>
      </w:r>
      <w:r>
        <w:rPr>
          <w:rFonts w:hint="eastAsia" w:ascii="Times New Roman" w:hAnsi="Times New Roman" w:eastAsia="仿宋_GB2312"/>
          <w:szCs w:val="32"/>
          <w:lang w:eastAsia="zh-CN"/>
        </w:rPr>
        <w:t>（以下简称商业不动产REITs）产品定义，提出了基金注册及运营管理、发挥基金管理人和专业机构作用、强化监管责任等方面要求</w:t>
      </w:r>
      <w:r>
        <w:rPr>
          <w:rFonts w:ascii="Times New Roman" w:hAnsi="Times New Roman" w:eastAsia="仿宋_GB2312"/>
          <w:szCs w:val="32"/>
          <w:lang w:eastAsia="zh-CN"/>
        </w:rPr>
        <w:t>。</w:t>
      </w:r>
    </w:p>
    <w:p w14:paraId="2D857FE9">
      <w:pPr>
        <w:pStyle w:val="9"/>
        <w:widowControl w:val="0"/>
        <w:snapToGrid w:val="0"/>
        <w:ind w:firstLine="640" w:firstLineChars="200"/>
        <w:rPr>
          <w:rFonts w:ascii="Times New Roman" w:hAnsi="Times New Roman" w:eastAsia="仿宋_GB2312" w:cs="仿宋_GB2312"/>
          <w:lang w:eastAsia="zh-CN"/>
        </w:rPr>
      </w:pPr>
      <w:r>
        <w:rPr>
          <w:rFonts w:hint="eastAsia" w:ascii="Times New Roman" w:hAnsi="Times New Roman" w:eastAsia="仿宋_GB2312"/>
          <w:szCs w:val="32"/>
          <w:lang w:eastAsia="zh-CN"/>
        </w:rPr>
        <w:t>本所结合前期监管实践经验和市场实际情况，修订形成了</w:t>
      </w:r>
      <w:r>
        <w:rPr>
          <w:rFonts w:hint="eastAsia" w:ascii="Times New Roman" w:hAnsi="Times New Roman" w:eastAsia="仿宋_GB2312"/>
          <w:color w:val="000000"/>
          <w:szCs w:val="32"/>
          <w:shd w:val="clear" w:color="auto" w:fill="FFFFFF"/>
          <w:lang w:eastAsia="zh-CN"/>
        </w:rPr>
        <w:t>《年报指引》《中报和季报指引》</w:t>
      </w:r>
      <w:r>
        <w:rPr>
          <w:rFonts w:ascii="Times New Roman" w:hAnsi="Times New Roman" w:eastAsia="仿宋_GB2312"/>
          <w:szCs w:val="32"/>
          <w:lang w:eastAsia="zh-CN"/>
        </w:rPr>
        <w:t>，</w:t>
      </w:r>
      <w:r>
        <w:rPr>
          <w:rFonts w:hint="eastAsia" w:ascii="Times New Roman" w:hAnsi="Times New Roman" w:eastAsia="仿宋_GB2312"/>
          <w:szCs w:val="32"/>
          <w:lang w:eastAsia="zh-CN"/>
        </w:rPr>
        <w:t>旨在扩充指引适用范围至不动产投资信托基金，进一步增强定期报告的规范性，</w:t>
      </w:r>
      <w:r>
        <w:rPr>
          <w:rFonts w:hint="eastAsia" w:ascii="Times New Roman" w:hAnsi="Times New Roman" w:eastAsia="仿宋_GB2312" w:cs="仿宋_GB2312"/>
          <w:szCs w:val="32"/>
          <w:lang w:eastAsia="zh-CN"/>
        </w:rPr>
        <w:t>提高信息披露质量</w:t>
      </w:r>
      <w:r>
        <w:rPr>
          <w:rFonts w:hint="eastAsia" w:ascii="Times New Roman" w:hAnsi="Times New Roman" w:eastAsia="仿宋_GB2312" w:cs="仿宋_GB2312"/>
          <w:lang w:eastAsia="zh-CN"/>
        </w:rPr>
        <w:t>，促进REITs市场健康发展</w:t>
      </w:r>
      <w:r>
        <w:rPr>
          <w:rFonts w:hint="eastAsia" w:ascii="Times New Roman" w:hAnsi="Times New Roman" w:eastAsia="仿宋_GB2312" w:cs="仿宋_GB2312"/>
          <w:szCs w:val="32"/>
          <w:lang w:eastAsia="zh-CN"/>
        </w:rPr>
        <w:t>。</w:t>
      </w:r>
    </w:p>
    <w:p w14:paraId="7588D14D">
      <w:pPr>
        <w:pStyle w:val="9"/>
        <w:widowControl w:val="0"/>
        <w:snapToGrid w:val="0"/>
        <w:ind w:firstLine="640" w:firstLineChars="200"/>
        <w:rPr>
          <w:rFonts w:ascii="Times New Roman" w:hAnsi="Times New Roman" w:eastAsia="黑体"/>
          <w:lang w:eastAsia="zh-CN"/>
        </w:rPr>
      </w:pPr>
      <w:r>
        <w:rPr>
          <w:rFonts w:ascii="Times New Roman" w:hAnsi="Times New Roman" w:eastAsia="黑体"/>
          <w:lang w:eastAsia="zh-CN"/>
        </w:rPr>
        <w:t>二、主要修订内容</w:t>
      </w:r>
    </w:p>
    <w:p w14:paraId="1CD27800">
      <w:pPr>
        <w:snapToGrid w:val="0"/>
        <w:rPr>
          <w:rFonts w:eastAsia="仿宋_GB2312"/>
        </w:rPr>
      </w:pPr>
      <w:r>
        <w:rPr>
          <w:rFonts w:eastAsia="仿宋_GB2312"/>
        </w:rPr>
        <w:t>本次修订主要包括以下几方面内容：</w:t>
      </w:r>
    </w:p>
    <w:p w14:paraId="515269BF">
      <w:pPr>
        <w:snapToGrid w:val="0"/>
        <w:rPr>
          <w:rFonts w:eastAsia="仿宋_GB2312"/>
          <w:szCs w:val="32"/>
        </w:rPr>
      </w:pPr>
      <w:r>
        <w:rPr>
          <w:rFonts w:eastAsia="仿宋_GB2312"/>
          <w:bCs/>
          <w:szCs w:val="32"/>
        </w:rPr>
        <w:t>一是扩充业务指引适用范围。</w:t>
      </w:r>
      <w:r>
        <w:rPr>
          <w:rFonts w:eastAsia="仿宋_GB2312"/>
          <w:szCs w:val="32"/>
        </w:rPr>
        <w:t>根据《公告》，将商业不动产REITs纳入《年报指引》《中报和季报指引》适用范围，调整相关表述，包括将</w:t>
      </w:r>
      <w:r>
        <w:rPr>
          <w:rFonts w:hint="eastAsia" w:eastAsia="仿宋_GB2312"/>
          <w:szCs w:val="32"/>
        </w:rPr>
        <w:t>“</w:t>
      </w:r>
      <w:r>
        <w:rPr>
          <w:rFonts w:eastAsia="仿宋_GB2312"/>
          <w:szCs w:val="32"/>
        </w:rPr>
        <w:t>基础设施基金</w:t>
      </w:r>
      <w:r>
        <w:rPr>
          <w:rFonts w:hint="eastAsia" w:eastAsia="仿宋_GB2312"/>
          <w:szCs w:val="32"/>
        </w:rPr>
        <w:t>”“</w:t>
      </w:r>
      <w:r>
        <w:rPr>
          <w:rFonts w:eastAsia="仿宋_GB2312"/>
          <w:szCs w:val="32"/>
        </w:rPr>
        <w:t>基础设施资产支持证券</w:t>
      </w:r>
      <w:r>
        <w:rPr>
          <w:rFonts w:hint="eastAsia" w:eastAsia="仿宋_GB2312"/>
          <w:szCs w:val="32"/>
        </w:rPr>
        <w:t>”“</w:t>
      </w:r>
      <w:r>
        <w:rPr>
          <w:rFonts w:eastAsia="仿宋_GB2312"/>
          <w:szCs w:val="32"/>
        </w:rPr>
        <w:t>基础设施项目</w:t>
      </w:r>
      <w:r>
        <w:rPr>
          <w:rFonts w:hint="eastAsia" w:eastAsia="仿宋_GB2312"/>
          <w:szCs w:val="32"/>
        </w:rPr>
        <w:t>”</w:t>
      </w:r>
      <w:r>
        <w:rPr>
          <w:rFonts w:eastAsia="仿宋_GB2312"/>
          <w:szCs w:val="32"/>
        </w:rPr>
        <w:t>调整为</w:t>
      </w:r>
      <w:r>
        <w:rPr>
          <w:rFonts w:hint="eastAsia" w:eastAsia="仿宋_GB2312"/>
          <w:szCs w:val="32"/>
        </w:rPr>
        <w:t>“</w:t>
      </w:r>
      <w:r>
        <w:rPr>
          <w:rFonts w:eastAsia="仿宋_GB2312"/>
          <w:szCs w:val="32"/>
        </w:rPr>
        <w:t>不动产基金</w:t>
      </w:r>
      <w:r>
        <w:rPr>
          <w:rFonts w:hint="eastAsia" w:eastAsia="仿宋_GB2312"/>
          <w:szCs w:val="32"/>
        </w:rPr>
        <w:t>”“</w:t>
      </w:r>
      <w:r>
        <w:rPr>
          <w:rFonts w:eastAsia="仿宋_GB2312"/>
          <w:szCs w:val="32"/>
        </w:rPr>
        <w:t>不动产资产支持证券</w:t>
      </w:r>
      <w:r>
        <w:rPr>
          <w:rFonts w:hint="eastAsia" w:eastAsia="仿宋_GB2312"/>
          <w:szCs w:val="32"/>
        </w:rPr>
        <w:t>”“</w:t>
      </w:r>
      <w:r>
        <w:rPr>
          <w:rFonts w:eastAsia="仿宋_GB2312"/>
          <w:szCs w:val="32"/>
        </w:rPr>
        <w:t>不动产项目</w:t>
      </w:r>
      <w:r>
        <w:rPr>
          <w:rFonts w:hint="eastAsia" w:eastAsia="仿宋_GB2312"/>
          <w:szCs w:val="32"/>
        </w:rPr>
        <w:t>”</w:t>
      </w:r>
      <w:r>
        <w:rPr>
          <w:rFonts w:eastAsia="仿宋_GB2312"/>
          <w:szCs w:val="32"/>
        </w:rPr>
        <w:t>等。</w:t>
      </w:r>
    </w:p>
    <w:p w14:paraId="61AFA4BE">
      <w:pPr>
        <w:adjustRightInd w:val="0"/>
        <w:snapToGrid w:val="0"/>
        <w:rPr>
          <w:rFonts w:eastAsia="仿宋_GB2312"/>
          <w:szCs w:val="32"/>
        </w:rPr>
      </w:pPr>
      <w:r>
        <w:rPr>
          <w:rFonts w:eastAsia="仿宋_GB2312"/>
          <w:bCs/>
          <w:szCs w:val="32"/>
        </w:rPr>
        <w:t>二是完善不动产项目运营情况披露要求。</w:t>
      </w:r>
      <w:r>
        <w:rPr>
          <w:rFonts w:eastAsia="仿宋_GB2312"/>
          <w:szCs w:val="32"/>
        </w:rPr>
        <w:t>结合前期REITs业务实践经验和行业特点，明确商业零售、办公和酒店等商业不动产业态的运营情况、财务指标、重要变化等披露要求；要求</w:t>
      </w:r>
      <w:r>
        <w:rPr>
          <w:rFonts w:eastAsia="仿宋_GB2312"/>
          <w:szCs w:val="32"/>
          <w:lang w:bidi="ar"/>
        </w:rPr>
        <w:t>商业不动产涉及商业综合体等多业态的，还需要披露各业态构成。</w:t>
      </w:r>
    </w:p>
    <w:p w14:paraId="2A4FFD7E">
      <w:pPr>
        <w:adjustRightInd w:val="0"/>
        <w:snapToGrid w:val="0"/>
        <w:rPr>
          <w:rFonts w:eastAsia="仿宋_GB2312"/>
          <w:szCs w:val="32"/>
        </w:rPr>
      </w:pPr>
      <w:r>
        <w:rPr>
          <w:rFonts w:eastAsia="仿宋_GB2312"/>
          <w:bCs/>
          <w:szCs w:val="32"/>
        </w:rPr>
        <w:t>三是优化回收资金信息披露要求。进一步提高信息披露针对性、有效性，要求基金管理人</w:t>
      </w:r>
      <w:r>
        <w:rPr>
          <w:rFonts w:eastAsia="仿宋_GB2312"/>
          <w:szCs w:val="32"/>
        </w:rPr>
        <w:t>披露</w:t>
      </w:r>
      <w:r>
        <w:rPr>
          <w:rFonts w:eastAsia="仿宋_GB2312"/>
          <w:szCs w:val="32"/>
          <w:lang w:bidi="ar"/>
        </w:rPr>
        <w:t>原始权益人回收资金使用是否合规以及回收资金用途发生变更情况</w:t>
      </w:r>
      <w:r>
        <w:rPr>
          <w:rFonts w:eastAsia="仿宋_GB2312"/>
          <w:szCs w:val="32"/>
        </w:rPr>
        <w:t>。</w:t>
      </w:r>
    </w:p>
    <w:p w14:paraId="59BC96E6">
      <w:pPr>
        <w:adjustRightInd w:val="0"/>
        <w:snapToGrid w:val="0"/>
        <w:rPr>
          <w:rFonts w:eastAsia="仿宋_GB2312"/>
          <w:szCs w:val="32"/>
        </w:rPr>
      </w:pPr>
      <w:r>
        <w:rPr>
          <w:rFonts w:eastAsia="仿宋_GB2312"/>
          <w:bCs/>
          <w:szCs w:val="32"/>
        </w:rPr>
        <w:t>四是简化自律监管章节设置</w:t>
      </w:r>
      <w:bookmarkStart w:id="0" w:name="_GoBack"/>
      <w:bookmarkEnd w:id="0"/>
      <w:r>
        <w:rPr>
          <w:rFonts w:eastAsia="仿宋_GB2312"/>
          <w:bCs/>
          <w:szCs w:val="32"/>
        </w:rPr>
        <w:t>。</w:t>
      </w:r>
      <w:r>
        <w:rPr>
          <w:rFonts w:eastAsia="仿宋_GB2312"/>
          <w:szCs w:val="32"/>
        </w:rPr>
        <w:t>将自律监管章节相关内容整合至《上海证券交易所公开募集不动产投资信托基金（REITs）业务办法（试行）》中，在附则章节明确对不动产基金业务参与人及其人员采取自律监管措施或者纪律处分情形。</w:t>
      </w:r>
    </w:p>
    <w:p w14:paraId="32F5E460">
      <w:pPr>
        <w:pStyle w:val="10"/>
        <w:snapToGrid w:val="0"/>
        <w:ind w:firstLine="640"/>
        <w:rPr>
          <w:rFonts w:ascii="Times New Roman" w:hAnsi="Times New Roman" w:eastAsia="仿宋_GB2312"/>
          <w:highlight w:val="yellow"/>
        </w:rPr>
      </w:pPr>
      <w:r>
        <w:rPr>
          <w:rFonts w:ascii="Times New Roman" w:hAnsi="Times New Roman" w:eastAsia="仿宋_GB2312"/>
          <w:bCs/>
          <w:sz w:val="32"/>
          <w:szCs w:val="32"/>
        </w:rPr>
        <w:t>五是其他细节修订。</w:t>
      </w:r>
      <w:r>
        <w:rPr>
          <w:rFonts w:ascii="Times New Roman" w:hAnsi="Times New Roman" w:eastAsia="仿宋_GB2312"/>
          <w:sz w:val="32"/>
          <w:szCs w:val="32"/>
          <w:lang w:bidi="ar"/>
        </w:rPr>
        <w:t>根据产品特性，完善可供分配金额涉及调整项的相关披露要求，明确不同</w:t>
      </w:r>
      <w:r>
        <w:rPr>
          <w:rFonts w:hint="eastAsia" w:ascii="Times New Roman" w:hAnsi="Times New Roman" w:eastAsia="仿宋_GB2312"/>
          <w:sz w:val="32"/>
          <w:szCs w:val="32"/>
          <w:lang w:bidi="ar"/>
        </w:rPr>
        <w:t>评估</w:t>
      </w:r>
      <w:r>
        <w:rPr>
          <w:rFonts w:ascii="Times New Roman" w:hAnsi="Times New Roman" w:eastAsia="仿宋_GB2312"/>
          <w:sz w:val="32"/>
          <w:szCs w:val="32"/>
          <w:lang w:bidi="ar"/>
        </w:rPr>
        <w:t>方法进行校验的披露要求，删除基金产品概况信息中不动产REITs并不适用的</w:t>
      </w:r>
      <w:r>
        <w:rPr>
          <w:rFonts w:hint="eastAsia" w:ascii="Times New Roman" w:hAnsi="Times New Roman" w:eastAsia="仿宋_GB2312"/>
          <w:sz w:val="32"/>
          <w:szCs w:val="32"/>
          <w:lang w:bidi="ar"/>
        </w:rPr>
        <w:t>“</w:t>
      </w:r>
      <w:r>
        <w:rPr>
          <w:rFonts w:ascii="Times New Roman" w:hAnsi="Times New Roman" w:eastAsia="仿宋_GB2312"/>
          <w:sz w:val="32"/>
          <w:szCs w:val="32"/>
          <w:lang w:bidi="ar"/>
        </w:rPr>
        <w:t>业绩比较基准（如有）</w:t>
      </w:r>
      <w:r>
        <w:rPr>
          <w:rFonts w:hint="eastAsia" w:ascii="Times New Roman" w:hAnsi="Times New Roman" w:eastAsia="仿宋_GB2312"/>
          <w:sz w:val="32"/>
          <w:szCs w:val="32"/>
          <w:lang w:bidi="ar"/>
        </w:rPr>
        <w:t>”</w:t>
      </w:r>
      <w:r>
        <w:rPr>
          <w:rFonts w:ascii="Times New Roman" w:hAnsi="Times New Roman" w:eastAsia="仿宋_GB2312"/>
          <w:sz w:val="32"/>
          <w:szCs w:val="32"/>
          <w:lang w:bidi="ar"/>
        </w:rPr>
        <w:t>披露要求等。</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Courier New">
    <w:altName w:val="DejaVu Sans"/>
    <w:panose1 w:val="02070309020205020404"/>
    <w:charset w:val="00"/>
    <w:family w:val="modern"/>
    <w:pitch w:val="default"/>
    <w:sig w:usb0="00000000" w:usb1="00000000" w:usb2="00000009" w:usb3="00000000" w:csb0="000001F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E97E4">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9A652">
                          <w:pPr>
                            <w:pStyle w:val="6"/>
                            <w:ind w:firstLine="5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579A652">
                    <w:pPr>
                      <w:pStyle w:val="6"/>
                      <w:ind w:firstLine="5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B503D">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D37A2">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623E4">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D7298">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5BA69">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F1FD9"/>
    <w:rsid w:val="00007F06"/>
    <w:rsid w:val="001C4BBA"/>
    <w:rsid w:val="002B1C88"/>
    <w:rsid w:val="00557CF3"/>
    <w:rsid w:val="0063755E"/>
    <w:rsid w:val="00713658"/>
    <w:rsid w:val="00807415"/>
    <w:rsid w:val="00962151"/>
    <w:rsid w:val="0098132D"/>
    <w:rsid w:val="00A048E2"/>
    <w:rsid w:val="00A12267"/>
    <w:rsid w:val="00A518C1"/>
    <w:rsid w:val="00AE7644"/>
    <w:rsid w:val="00E06F92"/>
    <w:rsid w:val="00E16874"/>
    <w:rsid w:val="012A2355"/>
    <w:rsid w:val="023621AC"/>
    <w:rsid w:val="02C43119"/>
    <w:rsid w:val="043D1681"/>
    <w:rsid w:val="04542F37"/>
    <w:rsid w:val="04DD1978"/>
    <w:rsid w:val="05032EEC"/>
    <w:rsid w:val="06D23A60"/>
    <w:rsid w:val="077D0034"/>
    <w:rsid w:val="09357D6C"/>
    <w:rsid w:val="09631A57"/>
    <w:rsid w:val="0A75331F"/>
    <w:rsid w:val="0A8F6925"/>
    <w:rsid w:val="0BAA1044"/>
    <w:rsid w:val="0BBA41CE"/>
    <w:rsid w:val="0C8A6FA5"/>
    <w:rsid w:val="0D25230E"/>
    <w:rsid w:val="0D6A5EE4"/>
    <w:rsid w:val="0D73200B"/>
    <w:rsid w:val="0E4D6756"/>
    <w:rsid w:val="0ED829CD"/>
    <w:rsid w:val="0EF81681"/>
    <w:rsid w:val="0F9763F7"/>
    <w:rsid w:val="0FA064A8"/>
    <w:rsid w:val="0FFDED66"/>
    <w:rsid w:val="10BB3EBB"/>
    <w:rsid w:val="1111121D"/>
    <w:rsid w:val="114143DD"/>
    <w:rsid w:val="12FE1894"/>
    <w:rsid w:val="134B27C0"/>
    <w:rsid w:val="141A488D"/>
    <w:rsid w:val="14250D7F"/>
    <w:rsid w:val="148F5C6A"/>
    <w:rsid w:val="14BC4694"/>
    <w:rsid w:val="15FE0979"/>
    <w:rsid w:val="16B95497"/>
    <w:rsid w:val="17984446"/>
    <w:rsid w:val="18877F4D"/>
    <w:rsid w:val="18B39297"/>
    <w:rsid w:val="197C02F3"/>
    <w:rsid w:val="1B980DB4"/>
    <w:rsid w:val="1CAD289B"/>
    <w:rsid w:val="1D6837E8"/>
    <w:rsid w:val="1E5C43E5"/>
    <w:rsid w:val="1EF03110"/>
    <w:rsid w:val="1F3A3970"/>
    <w:rsid w:val="1F3C1519"/>
    <w:rsid w:val="1F60146B"/>
    <w:rsid w:val="203E54A4"/>
    <w:rsid w:val="204B4B47"/>
    <w:rsid w:val="20A34A1A"/>
    <w:rsid w:val="212B7C95"/>
    <w:rsid w:val="215F1FD9"/>
    <w:rsid w:val="221C5C35"/>
    <w:rsid w:val="24C11314"/>
    <w:rsid w:val="256B15EB"/>
    <w:rsid w:val="2676612A"/>
    <w:rsid w:val="26F77177"/>
    <w:rsid w:val="27BF5A1F"/>
    <w:rsid w:val="297273C1"/>
    <w:rsid w:val="29C84A14"/>
    <w:rsid w:val="2A6D37AC"/>
    <w:rsid w:val="2A766001"/>
    <w:rsid w:val="2AE568ED"/>
    <w:rsid w:val="2B100B9F"/>
    <w:rsid w:val="2B5B7BB1"/>
    <w:rsid w:val="2D375369"/>
    <w:rsid w:val="2D4C4F1F"/>
    <w:rsid w:val="2D5174AD"/>
    <w:rsid w:val="2E5549E7"/>
    <w:rsid w:val="2EAE2025"/>
    <w:rsid w:val="2EDB42EF"/>
    <w:rsid w:val="2F834F3A"/>
    <w:rsid w:val="2F9B3896"/>
    <w:rsid w:val="303867AA"/>
    <w:rsid w:val="30670AB9"/>
    <w:rsid w:val="32517F20"/>
    <w:rsid w:val="325E0077"/>
    <w:rsid w:val="32724DD0"/>
    <w:rsid w:val="3315636E"/>
    <w:rsid w:val="33666962"/>
    <w:rsid w:val="34E96ADE"/>
    <w:rsid w:val="351C2185"/>
    <w:rsid w:val="359845A2"/>
    <w:rsid w:val="35A3341D"/>
    <w:rsid w:val="37B728F6"/>
    <w:rsid w:val="38E81ADE"/>
    <w:rsid w:val="39574E9E"/>
    <w:rsid w:val="396F4A24"/>
    <w:rsid w:val="3A615E5E"/>
    <w:rsid w:val="3A8E13DE"/>
    <w:rsid w:val="3AA35FBF"/>
    <w:rsid w:val="3B1A15DE"/>
    <w:rsid w:val="3B3A5239"/>
    <w:rsid w:val="3B3F6922"/>
    <w:rsid w:val="3C052967"/>
    <w:rsid w:val="3CC73EAA"/>
    <w:rsid w:val="3D25605E"/>
    <w:rsid w:val="3D736CAA"/>
    <w:rsid w:val="3D907F68"/>
    <w:rsid w:val="3E2B338D"/>
    <w:rsid w:val="3E416C59"/>
    <w:rsid w:val="3EEF1773"/>
    <w:rsid w:val="3F0227F8"/>
    <w:rsid w:val="3FAD7DB4"/>
    <w:rsid w:val="3FB9189A"/>
    <w:rsid w:val="3FFEC119"/>
    <w:rsid w:val="3FFF7894"/>
    <w:rsid w:val="401D4AB1"/>
    <w:rsid w:val="4273590D"/>
    <w:rsid w:val="43BD29AF"/>
    <w:rsid w:val="43CA656D"/>
    <w:rsid w:val="446175AE"/>
    <w:rsid w:val="446A6702"/>
    <w:rsid w:val="45652C48"/>
    <w:rsid w:val="459403B6"/>
    <w:rsid w:val="459E6747"/>
    <w:rsid w:val="46921457"/>
    <w:rsid w:val="48EE6469"/>
    <w:rsid w:val="499D1910"/>
    <w:rsid w:val="4A271687"/>
    <w:rsid w:val="4AAF63AE"/>
    <w:rsid w:val="4CB81A0E"/>
    <w:rsid w:val="4DBA3214"/>
    <w:rsid w:val="4F442D1B"/>
    <w:rsid w:val="506E0C99"/>
    <w:rsid w:val="50B51690"/>
    <w:rsid w:val="50EC3332"/>
    <w:rsid w:val="516E33AF"/>
    <w:rsid w:val="51EC0D4D"/>
    <w:rsid w:val="52414F51"/>
    <w:rsid w:val="52EA4BA0"/>
    <w:rsid w:val="53D41815"/>
    <w:rsid w:val="53F94B0D"/>
    <w:rsid w:val="54445599"/>
    <w:rsid w:val="54840261"/>
    <w:rsid w:val="5601768A"/>
    <w:rsid w:val="566F612A"/>
    <w:rsid w:val="571E10DF"/>
    <w:rsid w:val="572A730E"/>
    <w:rsid w:val="57427524"/>
    <w:rsid w:val="57575EE8"/>
    <w:rsid w:val="57806831"/>
    <w:rsid w:val="57CFD0BF"/>
    <w:rsid w:val="57F12FF3"/>
    <w:rsid w:val="5829582B"/>
    <w:rsid w:val="58B34C17"/>
    <w:rsid w:val="59B75514"/>
    <w:rsid w:val="59EF1360"/>
    <w:rsid w:val="5AF84F59"/>
    <w:rsid w:val="5AFA409D"/>
    <w:rsid w:val="5BA96ECB"/>
    <w:rsid w:val="5BEC315F"/>
    <w:rsid w:val="5C5D3F04"/>
    <w:rsid w:val="5CDA3CE1"/>
    <w:rsid w:val="5DBC6C31"/>
    <w:rsid w:val="5EA2783A"/>
    <w:rsid w:val="5F9673AA"/>
    <w:rsid w:val="5FB27C43"/>
    <w:rsid w:val="5FB7DDAF"/>
    <w:rsid w:val="60C9662D"/>
    <w:rsid w:val="60D03D27"/>
    <w:rsid w:val="61B468BE"/>
    <w:rsid w:val="61CF2CD6"/>
    <w:rsid w:val="61DE0EB4"/>
    <w:rsid w:val="634C4FDB"/>
    <w:rsid w:val="639000AD"/>
    <w:rsid w:val="65521477"/>
    <w:rsid w:val="657F27CC"/>
    <w:rsid w:val="65F9200D"/>
    <w:rsid w:val="662A14BA"/>
    <w:rsid w:val="67A32996"/>
    <w:rsid w:val="697B04CD"/>
    <w:rsid w:val="6A0A2D85"/>
    <w:rsid w:val="6A3762AD"/>
    <w:rsid w:val="6A8C6F64"/>
    <w:rsid w:val="6B40247D"/>
    <w:rsid w:val="70206AD7"/>
    <w:rsid w:val="70221408"/>
    <w:rsid w:val="712B5B0C"/>
    <w:rsid w:val="71F370EC"/>
    <w:rsid w:val="72CA6129"/>
    <w:rsid w:val="72FE39A3"/>
    <w:rsid w:val="735006E3"/>
    <w:rsid w:val="7367064C"/>
    <w:rsid w:val="73D56FFD"/>
    <w:rsid w:val="75C92AC7"/>
    <w:rsid w:val="75F32F93"/>
    <w:rsid w:val="761F737F"/>
    <w:rsid w:val="763E6F1E"/>
    <w:rsid w:val="76A07A2B"/>
    <w:rsid w:val="779A4370"/>
    <w:rsid w:val="79437925"/>
    <w:rsid w:val="79A215EF"/>
    <w:rsid w:val="79A833F9"/>
    <w:rsid w:val="79FEB627"/>
    <w:rsid w:val="7A452583"/>
    <w:rsid w:val="7B6FE8C9"/>
    <w:rsid w:val="7BF3DCD2"/>
    <w:rsid w:val="7C6F2735"/>
    <w:rsid w:val="7C8A0C4B"/>
    <w:rsid w:val="7D0C528A"/>
    <w:rsid w:val="7DFF4390"/>
    <w:rsid w:val="7E10451E"/>
    <w:rsid w:val="7E543D27"/>
    <w:rsid w:val="7EA43D0B"/>
    <w:rsid w:val="7ED53E49"/>
    <w:rsid w:val="7EDF789E"/>
    <w:rsid w:val="7EED7B4A"/>
    <w:rsid w:val="7F0532C6"/>
    <w:rsid w:val="7F2B5E31"/>
    <w:rsid w:val="7F7D0556"/>
    <w:rsid w:val="7F7F6B38"/>
    <w:rsid w:val="7F9E538C"/>
    <w:rsid w:val="7FBE8C46"/>
    <w:rsid w:val="7FD45130"/>
    <w:rsid w:val="7FFF328B"/>
    <w:rsid w:val="7FFFAD1D"/>
    <w:rsid w:val="A779E5EE"/>
    <w:rsid w:val="B7F763FF"/>
    <w:rsid w:val="B9BB846D"/>
    <w:rsid w:val="BB7A5FA2"/>
    <w:rsid w:val="BCFE0FEB"/>
    <w:rsid w:val="BFB9B361"/>
    <w:rsid w:val="D7D79803"/>
    <w:rsid w:val="DDF776AF"/>
    <w:rsid w:val="E1BFCB34"/>
    <w:rsid w:val="E6730EA6"/>
    <w:rsid w:val="EDFD878A"/>
    <w:rsid w:val="EEBF1D40"/>
    <w:rsid w:val="EF7DD561"/>
    <w:rsid w:val="FBB9087B"/>
    <w:rsid w:val="FCFF4415"/>
    <w:rsid w:val="FD69211C"/>
    <w:rsid w:val="FFCF88E0"/>
    <w:rsid w:val="FFDD0703"/>
    <w:rsid w:val="FFFE5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640" w:firstLineChars="200"/>
      <w:jc w:val="both"/>
    </w:pPr>
    <w:rPr>
      <w:rFonts w:ascii="Times New Roman" w:hAnsi="Times New Roman" w:eastAsia="仿宋" w:cs="Times New Roman"/>
      <w:kern w:val="2"/>
      <w:sz w:val="32"/>
      <w:szCs w:val="30"/>
      <w:lang w:val="en-US" w:eastAsia="zh-CN" w:bidi="ar-SA"/>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rPr>
      <w:rFonts w:ascii="宋体" w:hAnsi="宋体"/>
      <w:szCs w:val="24"/>
      <w:lang w:eastAsia="en-US"/>
    </w:rPr>
  </w:style>
  <w:style w:type="paragraph" w:styleId="4">
    <w:name w:val="Body Text Indent"/>
    <w:basedOn w:val="1"/>
    <w:qFormat/>
    <w:uiPriority w:val="0"/>
    <w:pPr>
      <w:ind w:firstLine="568"/>
    </w:pPr>
    <w:rPr>
      <w:rFonts w:ascii="Calibri" w:hAnsi="Calibri" w:eastAsia="宋体"/>
      <w:sz w:val="28"/>
    </w:rPr>
  </w:style>
  <w:style w:type="paragraph" w:styleId="5">
    <w:name w:val="Plain Text"/>
    <w:basedOn w:val="1"/>
    <w:next w:val="1"/>
    <w:qFormat/>
    <w:uiPriority w:val="0"/>
    <w:rPr>
      <w:rFonts w:ascii="宋体" w:hAnsi="Courier New" w:eastAsia="宋体"/>
      <w:sz w:val="21"/>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footnote text"/>
    <w:basedOn w:val="1"/>
    <w:semiHidden/>
    <w:unhideWhenUsed/>
    <w:qFormat/>
    <w:uiPriority w:val="99"/>
    <w:pPr>
      <w:snapToGrid w:val="0"/>
      <w:jc w:val="left"/>
    </w:pPr>
    <w:rPr>
      <w:sz w:val="18"/>
    </w:rPr>
  </w:style>
  <w:style w:type="paragraph" w:styleId="9">
    <w:name w:val="Body Text First Indent"/>
    <w:basedOn w:val="3"/>
    <w:qFormat/>
    <w:uiPriority w:val="0"/>
    <w:pPr>
      <w:ind w:firstLine="420" w:firstLineChars="100"/>
    </w:pPr>
  </w:style>
  <w:style w:type="paragraph" w:styleId="10">
    <w:name w:val="Body Text First Indent 2"/>
    <w:basedOn w:val="4"/>
    <w:qFormat/>
    <w:uiPriority w:val="0"/>
    <w:pPr>
      <w:widowControl w:val="0"/>
      <w:ind w:firstLine="420"/>
    </w:pPr>
    <w:rPr>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footnote reference"/>
    <w:basedOn w:val="13"/>
    <w:semiHidden/>
    <w:unhideWhenUsed/>
    <w:qFormat/>
    <w:uiPriority w:val="99"/>
    <w:rPr>
      <w:vertAlign w:val="superscript"/>
    </w:rPr>
  </w:style>
  <w:style w:type="character" w:customStyle="1" w:styleId="16">
    <w:name w:val="样式3"/>
    <w:basedOn w:val="13"/>
    <w:qFormat/>
    <w:uiPriority w:val="1"/>
    <w:rPr>
      <w:rFonts w:eastAsia="宋体"/>
      <w:b/>
      <w:color w:val="FF0000"/>
      <w:sz w:val="21"/>
    </w:rPr>
  </w:style>
  <w:style w:type="paragraph" w:customStyle="1" w:styleId="17">
    <w:name w:val="Revision"/>
    <w:hidden/>
    <w:unhideWhenUsed/>
    <w:qFormat/>
    <w:uiPriority w:val="99"/>
    <w:rPr>
      <w:rFonts w:ascii="Times New Roman" w:hAnsi="Times New Roman" w:eastAsia="仿宋" w:cs="Times New Roman"/>
      <w:kern w:val="2"/>
      <w:sz w:val="32"/>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993</Words>
  <Characters>1041</Characters>
  <Lines>7</Lines>
  <Paragraphs>2</Paragraphs>
  <TotalTime>10</TotalTime>
  <ScaleCrop>false</ScaleCrop>
  <LinksUpToDate>false</LinksUpToDate>
  <CharactersWithSpaces>1041</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2023-02-21T23:10:00Z</dcterms:created>
  <dc:creator>sse</dc:creator>
  <cp:lastModifiedBy>whxu</cp:lastModifiedBy>
  <cp:lastPrinted>2025-12-15T23:21:00Z</cp:lastPrinted>
  <dcterms:modified xsi:type="dcterms:W3CDTF">2025-12-31T14:50:13Z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E584D495CB26FC4FA1BC3769B0EA1762_43</vt:lpwstr>
  </property>
</Properties>
</file>