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999BC">
      <w:pPr>
        <w:ind w:firstLine="562"/>
        <w:jc w:val="center"/>
        <w:rPr>
          <w:rFonts w:ascii="Times New Roman" w:hAnsi="Times New Roman"/>
          <w:b/>
          <w:sz w:val="72"/>
          <w:szCs w:val="72"/>
        </w:rPr>
      </w:pPr>
      <w:bookmarkStart w:id="0" w:name="_Toc328024869"/>
      <w:bookmarkEnd w:id="0"/>
      <w:bookmarkStart w:id="1" w:name="_1595761539"/>
      <w:bookmarkEnd w:id="1"/>
      <w:r>
        <w:rPr>
          <w:rFonts w:ascii="Times New Roman" w:hAnsi="Times New Roman"/>
          <w:b/>
          <w:sz w:val="28"/>
          <w:szCs w:val="28"/>
        </w:rPr>
        <w:pict>
          <v:shape id="_x0000_s2248" o:spid="_x0000_s2248" o:spt="75" type="#_x0000_t75" style="position:absolute;left:0pt;margin-left:194.9pt;margin-top:75.35pt;height:41pt;width:211pt;mso-position-horizontal-relative:page;mso-position-vertical-relative:page;z-index:-251637760;mso-width-relative:page;mso-height-relative:page;" o:ole="t" fillcolor="#6D6D6D" filled="f" o:preferrelative="t" stroked="f" coordsize="21600,21600">
            <v:path/>
            <v:fill on="f" focussize="0,0"/>
            <v:stroke on="f" joinstyle="miter"/>
            <v:imagedata r:id="rId15" o:title=""/>
            <o:lock v:ext="edit" aspectratio="t"/>
          </v:shape>
          <o:OLEObject Type="Embed" ProgID="Word.Picture.8" ShapeID="_x0000_s2248" DrawAspect="Content" ObjectID="_1468075725" r:id="rId14">
            <o:LockedField>false</o:LockedField>
          </o:OLEObject>
        </w:pict>
      </w:r>
    </w:p>
    <w:p w14:paraId="62DB8781">
      <w:pPr>
        <w:ind w:firstLine="0" w:firstLineChars="0"/>
        <w:rPr>
          <w:rFonts w:ascii="Times New Roman" w:hAnsi="Times New Roman"/>
          <w:b/>
          <w:bCs/>
          <w:sz w:val="36"/>
        </w:rPr>
      </w:pPr>
    </w:p>
    <w:p w14:paraId="1AEA4146">
      <w:pPr>
        <w:ind w:firstLine="0" w:firstLineChars="0"/>
        <w:rPr>
          <w:rFonts w:ascii="Times New Roman" w:hAnsi="Times New Roman"/>
          <w:b/>
          <w:bCs/>
          <w:sz w:val="36"/>
        </w:rPr>
      </w:pPr>
    </w:p>
    <w:p w14:paraId="27D6D301">
      <w:pPr>
        <w:ind w:firstLine="0" w:firstLineChars="0"/>
        <w:rPr>
          <w:rFonts w:ascii="Times New Roman" w:hAnsi="Times New Roman"/>
          <w:b/>
          <w:bCs/>
          <w:sz w:val="36"/>
        </w:rPr>
      </w:pPr>
    </w:p>
    <w:p w14:paraId="77698628">
      <w:pPr>
        <w:spacing w:line="720" w:lineRule="auto"/>
        <w:ind w:firstLine="0" w:firstLineChars="0"/>
        <w:rPr>
          <w:rFonts w:ascii="Times New Roman" w:hAnsi="Times New Roman" w:eastAsia="黑体"/>
          <w:b/>
          <w:bCs/>
          <w:sz w:val="44"/>
          <w:szCs w:val="44"/>
        </w:rPr>
      </w:pPr>
    </w:p>
    <w:p w14:paraId="264CA099">
      <w:pPr>
        <w:spacing w:line="720" w:lineRule="auto"/>
        <w:ind w:firstLine="0" w:firstLineChars="0"/>
        <w:jc w:val="center"/>
        <w:rPr>
          <w:rFonts w:ascii="Arial" w:hAnsi="Arial" w:eastAsia="黑体" w:cs="Arial"/>
          <w:b/>
          <w:bCs/>
          <w:sz w:val="44"/>
          <w:szCs w:val="44"/>
        </w:rPr>
      </w:pPr>
      <w:r>
        <w:rPr>
          <w:rFonts w:ascii="Arial" w:hAnsi="Arial" w:eastAsia="黑体" w:cs="Arial"/>
          <w:b/>
          <w:bCs/>
          <w:sz w:val="44"/>
          <w:szCs w:val="44"/>
        </w:rPr>
        <w:t>上海证券交易所公开募集不动产投资</w:t>
      </w:r>
    </w:p>
    <w:p w14:paraId="64B9CEFE">
      <w:pPr>
        <w:spacing w:line="720" w:lineRule="auto"/>
        <w:ind w:firstLine="0" w:firstLineChars="0"/>
        <w:jc w:val="center"/>
        <w:rPr>
          <w:rFonts w:ascii="Arial" w:hAnsi="Arial" w:eastAsia="黑体" w:cs="Arial"/>
          <w:b/>
          <w:bCs/>
          <w:sz w:val="44"/>
          <w:szCs w:val="44"/>
        </w:rPr>
      </w:pPr>
      <w:r>
        <w:rPr>
          <w:rFonts w:ascii="Arial" w:hAnsi="Arial" w:eastAsia="黑体" w:cs="Arial"/>
          <w:b/>
          <w:bCs/>
          <w:sz w:val="44"/>
          <w:szCs w:val="44"/>
        </w:rPr>
        <w:t>信托基金（</w:t>
      </w:r>
      <w:r>
        <w:rPr>
          <w:rFonts w:ascii="Times New Roman" w:hAnsi="Times New Roman" w:eastAsia="黑体" w:cs="Arial"/>
          <w:b/>
          <w:bCs/>
          <w:sz w:val="44"/>
          <w:szCs w:val="44"/>
        </w:rPr>
        <w:t>REITs</w:t>
      </w:r>
      <w:r>
        <w:rPr>
          <w:rFonts w:ascii="Arial" w:hAnsi="Arial" w:eastAsia="黑体" w:cs="Arial"/>
          <w:b/>
          <w:bCs/>
          <w:sz w:val="44"/>
          <w:szCs w:val="44"/>
        </w:rPr>
        <w:t>）业务指南第</w:t>
      </w:r>
      <w:r>
        <w:rPr>
          <w:rFonts w:ascii="Times New Roman" w:hAnsi="Times New Roman" w:eastAsia="黑体" w:cs="Arial"/>
          <w:b/>
          <w:bCs/>
          <w:sz w:val="44"/>
          <w:szCs w:val="44"/>
        </w:rPr>
        <w:t>2</w:t>
      </w:r>
      <w:r>
        <w:rPr>
          <w:rFonts w:ascii="Arial" w:hAnsi="Arial" w:eastAsia="黑体" w:cs="Arial"/>
          <w:b/>
          <w:bCs/>
          <w:sz w:val="44"/>
          <w:szCs w:val="44"/>
        </w:rPr>
        <w:t>号</w:t>
      </w:r>
    </w:p>
    <w:p w14:paraId="4746D611">
      <w:pPr>
        <w:spacing w:line="720" w:lineRule="auto"/>
        <w:ind w:firstLine="0" w:firstLineChars="0"/>
        <w:jc w:val="center"/>
        <w:rPr>
          <w:rFonts w:ascii="Arial" w:hAnsi="Arial" w:eastAsia="黑体" w:cs="Arial"/>
          <w:b/>
          <w:bCs/>
          <w:sz w:val="44"/>
          <w:szCs w:val="44"/>
        </w:rPr>
      </w:pPr>
      <w:r>
        <w:rPr>
          <w:rFonts w:ascii="Arial" w:hAnsi="Arial" w:eastAsia="黑体" w:cs="Arial"/>
          <w:b/>
          <w:bCs/>
          <w:sz w:val="44"/>
          <w:szCs w:val="44"/>
        </w:rPr>
        <w:t>——存续业务</w:t>
      </w:r>
    </w:p>
    <w:p w14:paraId="038F2452">
      <w:pPr>
        <w:ind w:firstLine="0" w:firstLineChars="0"/>
        <w:rPr>
          <w:rFonts w:ascii="Times New Roman" w:hAnsi="Times New Roman"/>
          <w:b/>
          <w:bCs/>
          <w:sz w:val="36"/>
        </w:rPr>
      </w:pPr>
    </w:p>
    <w:p w14:paraId="2570FE9C">
      <w:pPr>
        <w:ind w:firstLine="0" w:firstLineChars="0"/>
        <w:rPr>
          <w:rFonts w:ascii="Times New Roman" w:hAnsi="Times New Roman"/>
          <w:b/>
          <w:bCs/>
          <w:sz w:val="36"/>
        </w:rPr>
      </w:pPr>
    </w:p>
    <w:p w14:paraId="7AE46F93">
      <w:pPr>
        <w:ind w:firstLine="0" w:firstLineChars="0"/>
        <w:rPr>
          <w:rFonts w:ascii="Times New Roman" w:hAnsi="Times New Roman"/>
          <w:b/>
          <w:bCs/>
          <w:sz w:val="36"/>
        </w:rPr>
      </w:pPr>
    </w:p>
    <w:p w14:paraId="2899507E">
      <w:pPr>
        <w:ind w:firstLine="0" w:firstLineChars="0"/>
        <w:jc w:val="center"/>
        <w:outlineLvl w:val="1"/>
        <w:rPr>
          <w:rFonts w:ascii="Times New Roman" w:hAnsi="Times New Roman"/>
          <w:b/>
          <w:sz w:val="84"/>
          <w:szCs w:val="84"/>
        </w:rPr>
      </w:pPr>
    </w:p>
    <w:p w14:paraId="1CB1AF71">
      <w:pPr>
        <w:ind w:firstLine="0" w:firstLineChars="0"/>
        <w:jc w:val="center"/>
        <w:outlineLvl w:val="1"/>
        <w:rPr>
          <w:rFonts w:ascii="Times New Roman" w:hAnsi="Times New Roman"/>
          <w:b/>
          <w:sz w:val="84"/>
          <w:szCs w:val="84"/>
        </w:rPr>
      </w:pPr>
    </w:p>
    <w:p w14:paraId="67A44855">
      <w:pPr>
        <w:pStyle w:val="32"/>
        <w:widowControl w:val="0"/>
        <w:spacing w:after="120"/>
        <w:jc w:val="center"/>
        <w:rPr>
          <w:rFonts w:eastAsia="华文楷体"/>
          <w:b/>
          <w:bCs/>
          <w:sz w:val="32"/>
          <w:szCs w:val="32"/>
          <w:lang w:eastAsia="zh-CN"/>
        </w:rPr>
      </w:pPr>
      <w:r>
        <w:rPr>
          <w:rFonts w:hAnsi="华文楷体" w:eastAsia="华文楷体"/>
          <w:b/>
          <w:bCs/>
          <w:sz w:val="32"/>
          <w:szCs w:val="32"/>
          <w:lang w:eastAsia="zh-CN"/>
        </w:rPr>
        <w:t>上海证券交易所</w:t>
      </w:r>
    </w:p>
    <w:p w14:paraId="2477CD42">
      <w:pPr>
        <w:pStyle w:val="32"/>
        <w:widowControl w:val="0"/>
        <w:spacing w:after="120"/>
        <w:jc w:val="center"/>
        <w:rPr>
          <w:rFonts w:eastAsia="华文楷体"/>
          <w:b/>
          <w:bCs/>
          <w:sz w:val="32"/>
          <w:szCs w:val="32"/>
          <w:lang w:eastAsia="zh-CN"/>
        </w:rPr>
      </w:pPr>
      <w:r>
        <w:rPr>
          <w:rFonts w:eastAsia="华文楷体"/>
          <w:b/>
          <w:bCs/>
          <w:sz w:val="32"/>
          <w:szCs w:val="32"/>
          <w:lang w:eastAsia="zh-CN"/>
        </w:rPr>
        <w:t>202</w:t>
      </w:r>
      <w:r>
        <w:rPr>
          <w:rFonts w:hint="eastAsia" w:eastAsia="华文楷体"/>
          <w:b/>
          <w:bCs/>
          <w:sz w:val="32"/>
          <w:szCs w:val="32"/>
          <w:lang w:eastAsia="zh-CN"/>
        </w:rPr>
        <w:t>5</w:t>
      </w:r>
      <w:r>
        <w:rPr>
          <w:rFonts w:hAnsi="华文楷体" w:eastAsia="华文楷体"/>
          <w:b/>
          <w:bCs/>
          <w:sz w:val="32"/>
          <w:szCs w:val="32"/>
          <w:lang w:eastAsia="zh-CN"/>
        </w:rPr>
        <w:t>年</w:t>
      </w:r>
      <w:r>
        <w:rPr>
          <w:rFonts w:hint="eastAsia" w:eastAsia="华文楷体"/>
          <w:b/>
          <w:bCs/>
          <w:sz w:val="32"/>
          <w:szCs w:val="32"/>
          <w:lang w:eastAsia="zh-CN"/>
        </w:rPr>
        <w:t>12</w:t>
      </w:r>
      <w:r>
        <w:rPr>
          <w:rFonts w:hAnsi="华文楷体" w:eastAsia="华文楷体"/>
          <w:b/>
          <w:bCs/>
          <w:sz w:val="32"/>
          <w:szCs w:val="32"/>
          <w:lang w:eastAsia="zh-CN"/>
        </w:rPr>
        <w:t>月</w:t>
      </w:r>
    </w:p>
    <w:p w14:paraId="230A116E">
      <w:pPr>
        <w:ind w:firstLine="562"/>
        <w:jc w:val="center"/>
        <w:rPr>
          <w:rFonts w:ascii="Times New Roman" w:hAnsi="Times New Roman"/>
          <w:b/>
          <w:bCs/>
          <w:sz w:val="28"/>
          <w:szCs w:val="28"/>
        </w:rPr>
      </w:pPr>
    </w:p>
    <w:p w14:paraId="544B6221">
      <w:pPr>
        <w:widowControl/>
        <w:ind w:firstLine="562"/>
        <w:jc w:val="left"/>
        <w:rPr>
          <w:rFonts w:ascii="Times New Roman" w:hAnsi="Times New Roman"/>
          <w:b/>
          <w:bCs/>
          <w:sz w:val="28"/>
          <w:szCs w:val="28"/>
        </w:rPr>
      </w:pPr>
      <w:r>
        <w:rPr>
          <w:rFonts w:ascii="Times New Roman" w:hAnsi="Times New Roman"/>
          <w:b/>
          <w:bCs/>
          <w:sz w:val="28"/>
          <w:szCs w:val="28"/>
        </w:rPr>
        <w:br w:type="page"/>
      </w:r>
    </w:p>
    <w:p w14:paraId="6B007C87">
      <w:pPr>
        <w:pStyle w:val="33"/>
        <w:spacing w:before="156" w:after="156"/>
        <w:ind w:firstLine="0" w:firstLineChars="0"/>
        <w:jc w:val="center"/>
        <w:rPr>
          <w:rFonts w:ascii="Times New Roman" w:hAnsi="Times New Roman"/>
        </w:rPr>
      </w:pPr>
      <w:r>
        <w:rPr>
          <w:rFonts w:ascii="Times New Roman"/>
          <w:lang w:val="zh-CN"/>
        </w:rPr>
        <w:t>目</w:t>
      </w:r>
      <w:r>
        <w:rPr>
          <w:rFonts w:ascii="Times New Roman" w:hAnsi="Times New Roman"/>
          <w:lang w:val="zh-CN"/>
        </w:rPr>
        <w:t xml:space="preserve">  </w:t>
      </w:r>
      <w:r>
        <w:rPr>
          <w:rFonts w:ascii="Times New Roman"/>
          <w:lang w:val="zh-CN"/>
        </w:rPr>
        <w:t>录</w:t>
      </w:r>
    </w:p>
    <w:p w14:paraId="2587A720">
      <w:pPr>
        <w:pStyle w:val="13"/>
        <w:tabs>
          <w:tab w:val="right" w:leader="dot" w:pos="8302"/>
        </w:tabs>
        <w:spacing w:line="400" w:lineRule="exact"/>
        <w:ind w:firstLine="0" w:firstLineChars="0"/>
        <w:rPr>
          <w:rFonts w:ascii="Times New Roman" w:hAnsi="Times New Roman"/>
          <w:sz w:val="28"/>
          <w:szCs w:val="28"/>
          <w14:ligatures w14:val="standardContextual"/>
        </w:rPr>
      </w:pPr>
      <w:r>
        <w:rPr>
          <w:rFonts w:ascii="Times New Roman" w:hAnsi="Times New Roman"/>
          <w:sz w:val="28"/>
          <w:szCs w:val="28"/>
        </w:rPr>
        <w:fldChar w:fldCharType="begin"/>
      </w:r>
      <w:r>
        <w:rPr>
          <w:rFonts w:ascii="Times New Roman" w:hAnsi="Times New Roman"/>
          <w:sz w:val="28"/>
          <w:szCs w:val="28"/>
        </w:rPr>
        <w:instrText xml:space="preserve"> TOC \o "1-2" \h \z \u </w:instrText>
      </w:r>
      <w:r>
        <w:rPr>
          <w:rFonts w:ascii="Times New Roman" w:hAnsi="Times New Roman"/>
          <w:sz w:val="28"/>
          <w:szCs w:val="28"/>
        </w:rPr>
        <w:fldChar w:fldCharType="separate"/>
      </w:r>
      <w:r>
        <w:fldChar w:fldCharType="begin"/>
      </w:r>
      <w:r>
        <w:instrText xml:space="preserve"> HYPERLINK \l "_Toc217484326" </w:instrText>
      </w:r>
      <w:r>
        <w:fldChar w:fldCharType="separate"/>
      </w:r>
      <w:r>
        <w:rPr>
          <w:rStyle w:val="21"/>
          <w:rFonts w:ascii="Times New Roman" w:hAnsi="Times New Roman"/>
          <w:sz w:val="28"/>
          <w:szCs w:val="28"/>
        </w:rPr>
        <w:t>引  言</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_Toc217484326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14:paraId="6023436D">
      <w:pPr>
        <w:pStyle w:val="13"/>
        <w:tabs>
          <w:tab w:val="right" w:leader="dot" w:pos="8302"/>
        </w:tabs>
        <w:spacing w:line="400" w:lineRule="exact"/>
        <w:ind w:firstLine="0" w:firstLineChars="0"/>
        <w:rPr>
          <w:rFonts w:ascii="Times New Roman" w:hAnsi="Times New Roman"/>
          <w:sz w:val="28"/>
          <w:szCs w:val="28"/>
          <w14:ligatures w14:val="standardContextual"/>
        </w:rPr>
      </w:pPr>
      <w:r>
        <w:fldChar w:fldCharType="begin"/>
      </w:r>
      <w:r>
        <w:instrText xml:space="preserve"> HYPERLINK \l "_Toc217484327" </w:instrText>
      </w:r>
      <w:r>
        <w:fldChar w:fldCharType="separate"/>
      </w:r>
      <w:r>
        <w:rPr>
          <w:rStyle w:val="21"/>
          <w:rFonts w:ascii="Times New Roman" w:hAnsi="Times New Roman"/>
          <w:sz w:val="28"/>
          <w:szCs w:val="28"/>
        </w:rPr>
        <w:t>第一章  交易业务安排</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_Toc217484327 \h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p>
    <w:p w14:paraId="43DE8D68">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"_Toc217484328" </w:instrText>
      </w:r>
      <w:r>
        <w:fldChar w:fldCharType="separate"/>
      </w:r>
      <w:r>
        <w:rPr>
          <w:rStyle w:val="21"/>
          <w:rFonts w:ascii="Times New Roman" w:hAnsi="Times New Roman"/>
          <w:sz w:val="28"/>
          <w:szCs w:val="28"/>
        </w:rPr>
        <w:t>一、现券交易</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_Toc217484328 \h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sz w:val="28"/>
          <w:szCs w:val="28"/>
        </w:rPr>
        <w:fldChar w:fldCharType="end"/>
      </w:r>
    </w:p>
    <w:p w14:paraId="4BE39C55">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"_Toc217484329" </w:instrText>
      </w:r>
      <w:r>
        <w:fldChar w:fldCharType="separate"/>
      </w:r>
      <w:r>
        <w:rPr>
          <w:rStyle w:val="21"/>
          <w:rFonts w:ascii="Times New Roman" w:hAnsi="Times New Roman"/>
          <w:sz w:val="28"/>
          <w:szCs w:val="28"/>
        </w:rPr>
        <w:t>二、融资业务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_Toc217484329 \h </w:instrText>
      </w:r>
      <w:r>
        <w:rPr>
          <w:rFonts w:ascii="Times New Roman" w:hAnsi="Times New Roman"/>
          <w:sz w:val="28"/>
          <w:szCs w:val="28"/>
        </w:rPr>
        <w:fldChar w:fldCharType="separate"/>
      </w:r>
      <w:r>
        <w:rPr>
          <w:rFonts w:ascii="Times New Roman" w:hAnsi="Times New Roman"/>
          <w:sz w:val="28"/>
          <w:szCs w:val="28"/>
        </w:rPr>
        <w:t>7</w:t>
      </w:r>
      <w:r>
        <w:rPr>
          <w:rFonts w:ascii="Times New Roman" w:hAnsi="Times New Roman"/>
          <w:sz w:val="28"/>
          <w:szCs w:val="28"/>
        </w:rPr>
        <w:fldChar w:fldCharType="end"/>
      </w:r>
      <w:r>
        <w:rPr>
          <w:rFonts w:ascii="Times New Roman" w:hAnsi="Times New Roman"/>
          <w:sz w:val="28"/>
          <w:szCs w:val="28"/>
        </w:rPr>
        <w:fldChar w:fldCharType="end"/>
      </w:r>
    </w:p>
    <w:p w14:paraId="75F142A4">
      <w:pPr>
        <w:pStyle w:val="13"/>
        <w:tabs>
          <w:tab w:val="right" w:leader="dot" w:pos="8302"/>
        </w:tabs>
        <w:spacing w:line="400" w:lineRule="exact"/>
        <w:ind w:firstLine="0" w:firstLineChars="0"/>
        <w:rPr>
          <w:rFonts w:ascii="Times New Roman" w:hAnsi="Times New Roman"/>
          <w:sz w:val="28"/>
          <w:szCs w:val="28"/>
          <w14:ligatures w14:val="standardContextual"/>
        </w:rPr>
      </w:pPr>
      <w:r>
        <w:fldChar w:fldCharType="begin"/>
      </w:r>
      <w:r>
        <w:instrText xml:space="preserve"> HYPERLINK \l "_Toc217484330" </w:instrText>
      </w:r>
      <w:r>
        <w:fldChar w:fldCharType="separate"/>
      </w:r>
      <w:r>
        <w:rPr>
          <w:rStyle w:val="21"/>
          <w:rFonts w:ascii="Times New Roman" w:hAnsi="Times New Roman"/>
          <w:sz w:val="28"/>
          <w:szCs w:val="28"/>
        </w:rPr>
        <w:t>第二章  日常运作业务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_Toc217484330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14:paraId="43967EA5">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"_Toc217484331" </w:instrText>
      </w:r>
      <w:r>
        <w:fldChar w:fldCharType="separate"/>
      </w:r>
      <w:r>
        <w:rPr>
          <w:rStyle w:val="21"/>
          <w:rFonts w:ascii="Times New Roman" w:hAnsi="Times New Roman"/>
          <w:sz w:val="28"/>
          <w:szCs w:val="28"/>
        </w:rPr>
        <w:t>一、一般规定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_Toc217484331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sz w:val="28"/>
          <w:szCs w:val="28"/>
        </w:rPr>
        <w:fldChar w:fldCharType="end"/>
      </w:r>
    </w:p>
    <w:p w14:paraId="7F855D86">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"_Toc217484332" </w:instrText>
      </w:r>
      <w:r>
        <w:fldChar w:fldCharType="separate"/>
      </w:r>
      <w:r>
        <w:rPr>
          <w:rStyle w:val="21"/>
          <w:rFonts w:ascii="Times New Roman" w:hAnsi="Times New Roman"/>
          <w:sz w:val="28"/>
          <w:szCs w:val="28"/>
        </w:rPr>
        <w:t>二、暂停（恢复）转托管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_Toc217484332 \h </w:instrText>
      </w:r>
      <w:r>
        <w:rPr>
          <w:rFonts w:ascii="Times New Roman" w:hAnsi="Times New Roman"/>
          <w:sz w:val="28"/>
          <w:szCs w:val="28"/>
        </w:rPr>
        <w:fldChar w:fldCharType="separate"/>
      </w:r>
      <w:r>
        <w:rPr>
          <w:rFonts w:ascii="Times New Roman" w:hAnsi="Times New Roman"/>
          <w:sz w:val="28"/>
          <w:szCs w:val="28"/>
        </w:rPr>
        <w:t>11</w:t>
      </w:r>
      <w:r>
        <w:rPr>
          <w:rFonts w:ascii="Times New Roman" w:hAnsi="Times New Roman"/>
          <w:sz w:val="28"/>
          <w:szCs w:val="28"/>
        </w:rPr>
        <w:fldChar w:fldCharType="end"/>
      </w:r>
      <w:r>
        <w:rPr>
          <w:rFonts w:ascii="Times New Roman" w:hAnsi="Times New Roman"/>
          <w:sz w:val="28"/>
          <w:szCs w:val="28"/>
        </w:rPr>
        <w:fldChar w:fldCharType="end"/>
      </w:r>
    </w:p>
    <w:p w14:paraId="3A61D8DD">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"_Toc217484333" </w:instrText>
      </w:r>
      <w:r>
        <w:fldChar w:fldCharType="separate"/>
      </w:r>
      <w:r>
        <w:rPr>
          <w:rStyle w:val="21"/>
          <w:rFonts w:ascii="Times New Roman" w:hAnsi="Times New Roman"/>
          <w:sz w:val="28"/>
          <w:szCs w:val="28"/>
        </w:rPr>
        <w:t>三、常规停复牌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_Toc217484333 \h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14:paraId="56C96170">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"_Toc217484334" </w:instrText>
      </w:r>
      <w:r>
        <w:fldChar w:fldCharType="separate"/>
      </w:r>
      <w:r>
        <w:rPr>
          <w:rStyle w:val="21"/>
          <w:rFonts w:ascii="Times New Roman" w:hAnsi="Times New Roman"/>
          <w:sz w:val="28"/>
          <w:szCs w:val="28"/>
        </w:rPr>
        <w:t>四、分红</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_Toc217484334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14:paraId="06ABE6A6">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"_Toc217484335" </w:instrText>
      </w:r>
      <w:r>
        <w:fldChar w:fldCharType="separate"/>
      </w:r>
      <w:r>
        <w:rPr>
          <w:rStyle w:val="21"/>
          <w:rFonts w:ascii="Times New Roman" w:hAnsi="Times New Roman"/>
          <w:sz w:val="28"/>
          <w:szCs w:val="28"/>
        </w:rPr>
        <w:t>五、更名</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_Toc217484335 \h </w:instrText>
      </w:r>
      <w:r>
        <w:rPr>
          <w:rFonts w:ascii="Times New Roman" w:hAnsi="Times New Roman"/>
          <w:sz w:val="28"/>
          <w:szCs w:val="28"/>
        </w:rPr>
        <w:fldChar w:fldCharType="separate"/>
      </w:r>
      <w:r>
        <w:rPr>
          <w:rFonts w:ascii="Times New Roman" w:hAnsi="Times New Roman"/>
          <w:sz w:val="28"/>
          <w:szCs w:val="28"/>
        </w:rPr>
        <w:t>16</w:t>
      </w:r>
      <w:r>
        <w:rPr>
          <w:rFonts w:ascii="Times New Roman" w:hAnsi="Times New Roman"/>
          <w:sz w:val="28"/>
          <w:szCs w:val="28"/>
        </w:rPr>
        <w:fldChar w:fldCharType="end"/>
      </w:r>
      <w:r>
        <w:rPr>
          <w:rFonts w:ascii="Times New Roman" w:hAnsi="Times New Roman"/>
          <w:sz w:val="28"/>
          <w:szCs w:val="28"/>
        </w:rPr>
        <w:fldChar w:fldCharType="end"/>
      </w:r>
    </w:p>
    <w:p w14:paraId="0BBC236F">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"_Toc217484336" </w:instrText>
      </w:r>
      <w:r>
        <w:fldChar w:fldCharType="separate"/>
      </w:r>
      <w:r>
        <w:rPr>
          <w:rStyle w:val="21"/>
          <w:rFonts w:ascii="Times New Roman" w:hAnsi="Times New Roman"/>
          <w:sz w:val="28"/>
          <w:szCs w:val="28"/>
        </w:rPr>
        <w:t>六、定期和临时报告信息披露</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_Toc217484336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14:paraId="4BA8047C">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"_Toc217484337" </w:instrText>
      </w:r>
      <w:r>
        <w:fldChar w:fldCharType="separate"/>
      </w:r>
      <w:r>
        <w:rPr>
          <w:rStyle w:val="21"/>
          <w:rFonts w:ascii="Times New Roman" w:hAnsi="Times New Roman"/>
          <w:sz w:val="28"/>
          <w:szCs w:val="28"/>
        </w:rPr>
        <w:t>七、摘牌</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_Toc217484337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14:paraId="07C0D481">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"_Toc217484338" </w:instrText>
      </w:r>
      <w:r>
        <w:fldChar w:fldCharType="separate"/>
      </w:r>
      <w:r>
        <w:rPr>
          <w:rStyle w:val="21"/>
          <w:rFonts w:ascii="Times New Roman" w:hAnsi="Times New Roman"/>
          <w:sz w:val="28"/>
          <w:szCs w:val="28"/>
        </w:rPr>
        <w:t>八、解除限售/锁定</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_Toc217484338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sz w:val="28"/>
          <w:szCs w:val="28"/>
        </w:rPr>
        <w:fldChar w:fldCharType="end"/>
      </w:r>
    </w:p>
    <w:p w14:paraId="0BA508F9">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"_Toc217484339" </w:instrText>
      </w:r>
      <w:r>
        <w:fldChar w:fldCharType="separate"/>
      </w:r>
      <w:r>
        <w:rPr>
          <w:rStyle w:val="21"/>
          <w:rFonts w:ascii="Times New Roman" w:hAnsi="Times New Roman"/>
          <w:sz w:val="28"/>
          <w:szCs w:val="28"/>
        </w:rPr>
        <w:t>九、一致行动人信息填报及披露</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_Toc217484339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14:paraId="5555DD19">
      <w:pPr>
        <w:pStyle w:val="13"/>
        <w:tabs>
          <w:tab w:val="right" w:leader="dot" w:pos="8302"/>
        </w:tabs>
        <w:spacing w:line="400" w:lineRule="exact"/>
        <w:ind w:firstLine="0" w:firstLineChars="0"/>
        <w:rPr>
          <w:rFonts w:ascii="Times New Roman" w:hAnsi="Times New Roman"/>
          <w:sz w:val="28"/>
          <w:szCs w:val="28"/>
          <w14:ligatures w14:val="standardContextual"/>
        </w:rPr>
      </w:pPr>
      <w:r>
        <w:fldChar w:fldCharType="begin"/>
      </w:r>
      <w:r>
        <w:instrText xml:space="preserve"> HYPERLINK \l "_Toc217484340" </w:instrText>
      </w:r>
      <w:r>
        <w:fldChar w:fldCharType="separate"/>
      </w:r>
      <w:r>
        <w:rPr>
          <w:rStyle w:val="21"/>
          <w:rFonts w:ascii="Times New Roman" w:hAnsi="Times New Roman"/>
          <w:sz w:val="28"/>
          <w:szCs w:val="28"/>
        </w:rPr>
        <w:t>第三章  模板及附件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_Toc217484340 \h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14:paraId="5A0FDB1A">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"_Toc217484341" </w:instrText>
      </w:r>
      <w:r>
        <w:fldChar w:fldCharType="separate"/>
      </w:r>
      <w:r>
        <w:rPr>
          <w:rStyle w:val="21"/>
          <w:rFonts w:ascii="Times New Roman" w:hAnsi="Times New Roman"/>
          <w:sz w:val="28"/>
          <w:szCs w:val="28"/>
        </w:rPr>
        <w:t xml:space="preserve">附件1  </w:t>
      </w:r>
      <w:r>
        <w:rPr>
          <w:rStyle w:val="21"/>
          <w:rFonts w:ascii="Times New Roman" w:hAnsi="Times New Roman"/>
          <w:kern w:val="0"/>
          <w:sz w:val="28"/>
          <w:szCs w:val="28"/>
        </w:rPr>
        <w:t>信息披露公告类别</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_Toc217484341 \h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sz w:val="28"/>
          <w:szCs w:val="28"/>
        </w:rPr>
        <w:fldChar w:fldCharType="end"/>
      </w:r>
    </w:p>
    <w:p w14:paraId="2D55582D">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"_Toc217484342" </w:instrText>
      </w:r>
      <w:r>
        <w:fldChar w:fldCharType="separate"/>
      </w:r>
      <w:r>
        <w:rPr>
          <w:rStyle w:val="21"/>
          <w:rFonts w:ascii="Times New Roman" w:hAnsi="Times New Roman"/>
          <w:kern w:val="0"/>
          <w:sz w:val="28"/>
          <w:szCs w:val="28"/>
        </w:rPr>
        <w:t>附件2  暂停（恢复）转托管公告模板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_Toc217484342 \h </w:instrText>
      </w:r>
      <w:r>
        <w:rPr>
          <w:rFonts w:ascii="Times New Roman" w:hAnsi="Times New Roman"/>
          <w:sz w:val="28"/>
          <w:szCs w:val="28"/>
        </w:rPr>
        <w:fldChar w:fldCharType="separate"/>
      </w:r>
      <w:r>
        <w:rPr>
          <w:rFonts w:ascii="Times New Roman" w:hAnsi="Times New Roman"/>
          <w:sz w:val="28"/>
          <w:szCs w:val="28"/>
        </w:rPr>
        <w:t>25</w:t>
      </w:r>
      <w:r>
        <w:rPr>
          <w:rFonts w:ascii="Times New Roman" w:hAnsi="Times New Roman"/>
          <w:sz w:val="28"/>
          <w:szCs w:val="28"/>
        </w:rPr>
        <w:fldChar w:fldCharType="end"/>
      </w:r>
      <w:r>
        <w:rPr>
          <w:rFonts w:ascii="Times New Roman" w:hAnsi="Times New Roman"/>
          <w:sz w:val="28"/>
          <w:szCs w:val="28"/>
        </w:rPr>
        <w:fldChar w:fldCharType="end"/>
      </w:r>
    </w:p>
    <w:p w14:paraId="3E24871F">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"_Toc217484343" </w:instrText>
      </w:r>
      <w:r>
        <w:fldChar w:fldCharType="separate"/>
      </w:r>
      <w:r>
        <w:rPr>
          <w:rStyle w:val="21"/>
          <w:rFonts w:ascii="Times New Roman" w:hAnsi="Times New Roman"/>
          <w:sz w:val="28"/>
          <w:szCs w:val="28"/>
        </w:rPr>
        <w:t>附件3  停复牌公告模板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_Toc217484343 \h </w:instrText>
      </w:r>
      <w:r>
        <w:rPr>
          <w:rFonts w:ascii="Times New Roman" w:hAnsi="Times New Roman"/>
          <w:sz w:val="28"/>
          <w:szCs w:val="28"/>
        </w:rPr>
        <w:fldChar w:fldCharType="separate"/>
      </w:r>
      <w:r>
        <w:rPr>
          <w:rFonts w:ascii="Times New Roman" w:hAnsi="Times New Roman"/>
          <w:sz w:val="28"/>
          <w:szCs w:val="28"/>
        </w:rPr>
        <w:t>26</w:t>
      </w:r>
      <w:r>
        <w:rPr>
          <w:rFonts w:ascii="Times New Roman" w:hAnsi="Times New Roman"/>
          <w:sz w:val="28"/>
          <w:szCs w:val="28"/>
        </w:rPr>
        <w:fldChar w:fldCharType="end"/>
      </w:r>
      <w:r>
        <w:rPr>
          <w:rFonts w:ascii="Times New Roman" w:hAnsi="Times New Roman"/>
          <w:sz w:val="28"/>
          <w:szCs w:val="28"/>
        </w:rPr>
        <w:fldChar w:fldCharType="end"/>
      </w:r>
    </w:p>
    <w:p w14:paraId="1A6082C3">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"_Toc217484344" </w:instrText>
      </w:r>
      <w:r>
        <w:fldChar w:fldCharType="separate"/>
      </w:r>
      <w:r>
        <w:rPr>
          <w:rStyle w:val="21"/>
          <w:rFonts w:ascii="Times New Roman" w:hAnsi="Times New Roman"/>
          <w:sz w:val="28"/>
          <w:szCs w:val="28"/>
        </w:rPr>
        <w:t>附件4  分红公告模板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_Toc217484344 \h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sz w:val="28"/>
          <w:szCs w:val="28"/>
        </w:rPr>
        <w:fldChar w:fldCharType="end"/>
      </w:r>
    </w:p>
    <w:p w14:paraId="038525CC">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"_Toc217484345" </w:instrText>
      </w:r>
      <w:r>
        <w:fldChar w:fldCharType="separate"/>
      </w:r>
      <w:r>
        <w:rPr>
          <w:rStyle w:val="21"/>
          <w:rFonts w:ascii="Times New Roman" w:hAnsi="Times New Roman"/>
          <w:sz w:val="28"/>
          <w:szCs w:val="28"/>
        </w:rPr>
        <w:t>附件5  更名公告模板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_Toc217484345 \h </w:instrText>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sz w:val="28"/>
          <w:szCs w:val="28"/>
        </w:rPr>
        <w:fldChar w:fldCharType="end"/>
      </w:r>
    </w:p>
    <w:p w14:paraId="2607A401">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"_Toc217484346" </w:instrText>
      </w:r>
      <w:r>
        <w:fldChar w:fldCharType="separate"/>
      </w:r>
      <w:r>
        <w:rPr>
          <w:rStyle w:val="21"/>
          <w:rFonts w:ascii="Times New Roman" w:hAnsi="Times New Roman"/>
          <w:sz w:val="28"/>
          <w:szCs w:val="28"/>
        </w:rPr>
        <w:t>附件6  限售公募REITs解除限售申请表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_Toc217484346 \h </w:instrText>
      </w:r>
      <w:r>
        <w:rPr>
          <w:rFonts w:ascii="Times New Roman" w:hAnsi="Times New Roman"/>
          <w:sz w:val="28"/>
          <w:szCs w:val="28"/>
        </w:rPr>
        <w:fldChar w:fldCharType="separate"/>
      </w:r>
      <w:r>
        <w:rPr>
          <w:rFonts w:ascii="Times New Roman" w:hAnsi="Times New Roman"/>
          <w:sz w:val="28"/>
          <w:szCs w:val="28"/>
        </w:rPr>
        <w:t>31</w:t>
      </w:r>
      <w:r>
        <w:rPr>
          <w:rFonts w:ascii="Times New Roman" w:hAnsi="Times New Roman"/>
          <w:sz w:val="28"/>
          <w:szCs w:val="28"/>
        </w:rPr>
        <w:fldChar w:fldCharType="end"/>
      </w:r>
      <w:r>
        <w:rPr>
          <w:rFonts w:ascii="Times New Roman" w:hAnsi="Times New Roman"/>
          <w:sz w:val="28"/>
          <w:szCs w:val="28"/>
        </w:rPr>
        <w:fldChar w:fldCharType="end"/>
      </w:r>
    </w:p>
    <w:p w14:paraId="0E2B8A3D">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"_Toc217484347" </w:instrText>
      </w:r>
      <w:r>
        <w:fldChar w:fldCharType="separate"/>
      </w:r>
      <w:r>
        <w:rPr>
          <w:rStyle w:val="21"/>
          <w:rFonts w:ascii="Times New Roman" w:hAnsi="Times New Roman"/>
          <w:sz w:val="28"/>
          <w:szCs w:val="28"/>
        </w:rPr>
        <w:t>附件7  公募REITs场外份额解锁申请表</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_Toc217484347 \h </w:instrText>
      </w:r>
      <w:r>
        <w:rPr>
          <w:rFonts w:ascii="Times New Roman" w:hAnsi="Times New Roman"/>
          <w:sz w:val="28"/>
          <w:szCs w:val="28"/>
        </w:rPr>
        <w:fldChar w:fldCharType="separate"/>
      </w:r>
      <w:r>
        <w:rPr>
          <w:rFonts w:ascii="Times New Roman" w:hAnsi="Times New Roman"/>
          <w:sz w:val="28"/>
          <w:szCs w:val="28"/>
        </w:rPr>
        <w:t>34</w:t>
      </w:r>
      <w:r>
        <w:rPr>
          <w:rFonts w:ascii="Times New Roman" w:hAnsi="Times New Roman"/>
          <w:sz w:val="28"/>
          <w:szCs w:val="28"/>
        </w:rPr>
        <w:fldChar w:fldCharType="end"/>
      </w:r>
      <w:r>
        <w:rPr>
          <w:rFonts w:ascii="Times New Roman" w:hAnsi="Times New Roman"/>
          <w:sz w:val="28"/>
          <w:szCs w:val="28"/>
        </w:rPr>
        <w:fldChar w:fldCharType="end"/>
      </w:r>
    </w:p>
    <w:p w14:paraId="376311C3">
      <w:pPr>
        <w:pStyle w:val="15"/>
        <w:tabs>
          <w:tab w:val="right" w:leader="dot" w:pos="8302"/>
        </w:tabs>
        <w:spacing w:line="400" w:lineRule="exact"/>
        <w:ind w:left="600" w:firstLine="0" w:firstLineChars="0"/>
        <w:rPr>
          <w:rFonts w:ascii="Times New Roman" w:hAnsi="Times New Roman"/>
          <w:sz w:val="28"/>
          <w:szCs w:val="28"/>
          <w14:ligatures w14:val="standardContextual"/>
        </w:rPr>
      </w:pPr>
      <w:r>
        <w:fldChar w:fldCharType="begin"/>
      </w:r>
      <w:r>
        <w:instrText xml:space="preserve"> HYPERLINK \l "_Toc217484348" </w:instrText>
      </w:r>
      <w:r>
        <w:fldChar w:fldCharType="separate"/>
      </w:r>
      <w:r>
        <w:rPr>
          <w:rStyle w:val="21"/>
          <w:rFonts w:ascii="Times New Roman" w:hAnsi="Times New Roman"/>
          <w:sz w:val="28"/>
          <w:szCs w:val="28"/>
        </w:rPr>
        <w:t>附件8 《公募REITs份额解除限售/解锁的公告》必备要素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_Toc217484348 \h </w:instrText>
      </w:r>
      <w:r>
        <w:rPr>
          <w:rFonts w:ascii="Times New Roman" w:hAnsi="Times New Roman"/>
          <w:sz w:val="28"/>
          <w:szCs w:val="28"/>
        </w:rPr>
        <w:fldChar w:fldCharType="separate"/>
      </w:r>
      <w:r>
        <w:rPr>
          <w:rFonts w:ascii="Times New Roman" w:hAnsi="Times New Roman"/>
          <w:sz w:val="28"/>
          <w:szCs w:val="28"/>
        </w:rPr>
        <w:t>35</w:t>
      </w:r>
      <w:r>
        <w:rPr>
          <w:rFonts w:ascii="Times New Roman" w:hAnsi="Times New Roman"/>
          <w:sz w:val="28"/>
          <w:szCs w:val="28"/>
        </w:rPr>
        <w:fldChar w:fldCharType="end"/>
      </w:r>
      <w:r>
        <w:rPr>
          <w:rFonts w:ascii="Times New Roman" w:hAnsi="Times New Roman"/>
          <w:sz w:val="28"/>
          <w:szCs w:val="28"/>
        </w:rPr>
        <w:fldChar w:fldCharType="end"/>
      </w:r>
    </w:p>
    <w:p w14:paraId="6EAD4A3E">
      <w:pPr>
        <w:pStyle w:val="15"/>
        <w:tabs>
          <w:tab w:val="right" w:leader="dot" w:pos="8302"/>
        </w:tabs>
        <w:spacing w:line="400" w:lineRule="exact"/>
        <w:ind w:left="600" w:firstLine="0" w:firstLineChars="0"/>
        <w:rPr>
          <w:rFonts w:hint="eastAsia" w:asciiTheme="minorHAnsi" w:hAnsiTheme="minorHAnsi" w:eastAsiaTheme="minorEastAsia" w:cstheme="minorBidi"/>
          <w:sz w:val="22"/>
          <w:szCs w:val="24"/>
          <w14:ligatures w14:val="standardContextual"/>
        </w:rPr>
      </w:pPr>
      <w:r>
        <w:fldChar w:fldCharType="begin"/>
      </w:r>
      <w:r>
        <w:instrText xml:space="preserve"> HYPERLINK \l "_Toc217484349" </w:instrText>
      </w:r>
      <w:r>
        <w:fldChar w:fldCharType="separate"/>
      </w:r>
      <w:r>
        <w:rPr>
          <w:rStyle w:val="21"/>
          <w:rFonts w:ascii="Times New Roman" w:hAnsi="Times New Roman"/>
          <w:sz w:val="28"/>
          <w:szCs w:val="28"/>
        </w:rPr>
        <w:t>相关业务联系人及电话</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_Toc217484349 \h </w:instrText>
      </w:r>
      <w:r>
        <w:rPr>
          <w:rFonts w:ascii="Times New Roman" w:hAnsi="Times New Roman"/>
          <w:sz w:val="28"/>
          <w:szCs w:val="28"/>
        </w:rPr>
        <w:fldChar w:fldCharType="separate"/>
      </w:r>
      <w:r>
        <w:rPr>
          <w:rFonts w:ascii="Times New Roman" w:hAnsi="Times New Roman"/>
          <w:sz w:val="28"/>
          <w:szCs w:val="28"/>
        </w:rPr>
        <w:t>37</w:t>
      </w:r>
      <w:r>
        <w:rPr>
          <w:rFonts w:ascii="Times New Roman" w:hAnsi="Times New Roman"/>
          <w:sz w:val="28"/>
          <w:szCs w:val="28"/>
        </w:rPr>
        <w:fldChar w:fldCharType="end"/>
      </w:r>
      <w:r>
        <w:rPr>
          <w:rFonts w:ascii="Times New Roman" w:hAnsi="Times New Roman"/>
          <w:sz w:val="28"/>
          <w:szCs w:val="28"/>
        </w:rPr>
        <w:fldChar w:fldCharType="end"/>
      </w:r>
    </w:p>
    <w:p w14:paraId="298ECB3B">
      <w:pPr>
        <w:spacing w:line="400" w:lineRule="exact"/>
        <w:ind w:firstLine="0" w:firstLineChars="0"/>
        <w:rPr>
          <w:rFonts w:ascii="Times New Roman" w:hAnsi="Times New Roman"/>
          <w:sz w:val="28"/>
          <w:szCs w:val="28"/>
        </w:rPr>
      </w:pPr>
      <w:r>
        <w:rPr>
          <w:rFonts w:ascii="Times New Roman" w:hAnsi="Times New Roman"/>
          <w:sz w:val="28"/>
          <w:szCs w:val="28"/>
        </w:rPr>
        <w:fldChar w:fldCharType="end"/>
      </w:r>
    </w:p>
    <w:p w14:paraId="661768C7">
      <w:pPr>
        <w:widowControl/>
        <w:spacing w:line="400" w:lineRule="exact"/>
        <w:ind w:firstLine="0" w:firstLineChars="0"/>
        <w:jc w:val="left"/>
        <w:rPr>
          <w:rFonts w:ascii="Times New Roman" w:hAnsi="Times New Roman"/>
          <w:b/>
          <w:bCs/>
          <w:sz w:val="28"/>
          <w:szCs w:val="28"/>
        </w:rPr>
      </w:pPr>
    </w:p>
    <w:p w14:paraId="2B1B8C09">
      <w:pPr>
        <w:pStyle w:val="2"/>
        <w:spacing w:before="156" w:after="156"/>
        <w:ind w:firstLine="0" w:firstLineChars="0"/>
        <w:rPr>
          <w:rFonts w:ascii="Times New Roman" w:hAnsi="Times New Roman"/>
          <w:szCs w:val="36"/>
        </w:rPr>
      </w:pPr>
      <w:r>
        <w:rPr>
          <w:rFonts w:ascii="Times New Roman" w:hAnsi="Times New Roman"/>
          <w:b w:val="0"/>
          <w:bCs w:val="0"/>
          <w:sz w:val="28"/>
          <w:szCs w:val="28"/>
        </w:rPr>
        <w:br w:type="page"/>
      </w:r>
      <w:bookmarkStart w:id="2" w:name="_Toc217484326"/>
      <w:r>
        <w:rPr>
          <w:rFonts w:ascii="Times New Roman" w:hAnsi="黑体"/>
          <w:szCs w:val="36"/>
        </w:rPr>
        <w:t>引</w:t>
      </w:r>
      <w:r>
        <w:rPr>
          <w:rFonts w:hint="eastAsia" w:ascii="Times New Roman" w:hAnsi="黑体"/>
          <w:szCs w:val="36"/>
        </w:rPr>
        <w:t xml:space="preserve">  </w:t>
      </w:r>
      <w:r>
        <w:rPr>
          <w:rFonts w:ascii="Times New Roman" w:hAnsi="黑体"/>
          <w:szCs w:val="36"/>
        </w:rPr>
        <w:t>言</w:t>
      </w:r>
      <w:bookmarkEnd w:id="2"/>
    </w:p>
    <w:p w14:paraId="5AD804C4">
      <w:pPr>
        <w:ind w:firstLine="600"/>
        <w:rPr>
          <w:rFonts w:ascii="Times New Roman" w:hAnsi="Times New Roman"/>
          <w:szCs w:val="30"/>
        </w:rPr>
      </w:pPr>
      <w:r>
        <w:rPr>
          <w:rFonts w:ascii="Times New Roman" w:hAnsi="Times New Roman"/>
          <w:szCs w:val="30"/>
        </w:rPr>
        <w:t>为</w:t>
      </w:r>
      <w:r>
        <w:rPr>
          <w:rFonts w:hint="eastAsia" w:ascii="Times New Roman" w:hAnsi="Times New Roman"/>
          <w:szCs w:val="30"/>
        </w:rPr>
        <w:t>了</w:t>
      </w:r>
      <w:r>
        <w:rPr>
          <w:rFonts w:ascii="Times New Roman" w:hAnsi="Times New Roman"/>
          <w:szCs w:val="30"/>
        </w:rPr>
        <w:t>规范上海证券交易所（以下简称本所）公开募集不动产投资信托基金（以下简称公募REITs）的交易、分红、停复牌、摘牌、暂停转托管、更名、信息披露公告等存续业务，便利基金管理人等市场参与人开展相关业务操作，根据《上海证券交易所证券投资基金上市规则（修订稿）》《上海证券交易所公开募集不动产投资信托基金（REITs）业务办法（试行）》等</w:t>
      </w:r>
      <w:r>
        <w:rPr>
          <w:rFonts w:hint="eastAsia" w:ascii="Times New Roman" w:hAnsi="Times New Roman"/>
          <w:szCs w:val="30"/>
        </w:rPr>
        <w:t>业务规则</w:t>
      </w:r>
      <w:r>
        <w:rPr>
          <w:rFonts w:ascii="Times New Roman" w:hAnsi="Times New Roman"/>
          <w:szCs w:val="30"/>
        </w:rPr>
        <w:t>，制定本指南。本指南未尽事宜，按照证监会和本所相关要求执行。</w:t>
      </w:r>
    </w:p>
    <w:p w14:paraId="2C3BC8B1">
      <w:pPr>
        <w:ind w:firstLine="600"/>
        <w:rPr>
          <w:rFonts w:ascii="Times New Roman"/>
        </w:rPr>
      </w:pPr>
      <w:r>
        <w:rPr>
          <w:rFonts w:ascii="Times New Roman"/>
        </w:rPr>
        <w:t>基金管理人应</w:t>
      </w:r>
      <w:r>
        <w:rPr>
          <w:rFonts w:hint="eastAsia" w:ascii="Times New Roman"/>
        </w:rPr>
        <w:t>当</w:t>
      </w:r>
      <w:r>
        <w:rPr>
          <w:rFonts w:ascii="Times New Roman"/>
        </w:rPr>
        <w:t>认真按照相关规定、本指南及本所其他要求编制、报送申请文件并办理</w:t>
      </w:r>
      <w:r>
        <w:rPr>
          <w:rFonts w:hint="eastAsia" w:ascii="Times New Roman"/>
        </w:rPr>
        <w:t>存续</w:t>
      </w:r>
      <w:r>
        <w:rPr>
          <w:rFonts w:ascii="Times New Roman"/>
        </w:rPr>
        <w:t>业务。基金管理人应</w:t>
      </w:r>
      <w:r>
        <w:rPr>
          <w:rFonts w:ascii="Times New Roman" w:hAnsi="Times New Roman"/>
        </w:rPr>
        <w:t>当指定专人负责存续业务相关材料的制作、递交及业务联络</w:t>
      </w:r>
      <w:r>
        <w:rPr>
          <w:rFonts w:hint="eastAsia" w:ascii="Times New Roman" w:hAnsi="Times New Roman"/>
        </w:rPr>
        <w:t>；</w:t>
      </w:r>
      <w:r>
        <w:rPr>
          <w:rFonts w:ascii="Times New Roman" w:hAnsi="Times New Roman"/>
        </w:rPr>
        <w:t>指定专人变更的，应当及时</w:t>
      </w:r>
      <w:r>
        <w:rPr>
          <w:rFonts w:ascii="Times New Roman"/>
        </w:rPr>
        <w:t>与本所债券业务中心专管员沟通。</w:t>
      </w:r>
    </w:p>
    <w:p w14:paraId="0C8F00F3">
      <w:pPr>
        <w:ind w:firstLine="600"/>
        <w:rPr>
          <w:rFonts w:ascii="Times New Roman" w:hAnsi="Times New Roman"/>
        </w:rPr>
      </w:pPr>
      <w:r>
        <w:rPr>
          <w:rFonts w:hint="eastAsia" w:ascii="Times New Roman" w:hAnsi="Times New Roman"/>
        </w:rPr>
        <w:t>投资者应</w:t>
      </w:r>
      <w:r>
        <w:rPr>
          <w:rFonts w:ascii="Times New Roman"/>
        </w:rPr>
        <w:t>按照相关规定、本指南及本所其他要求</w:t>
      </w:r>
      <w:r>
        <w:rPr>
          <w:rFonts w:hint="eastAsia" w:ascii="Times New Roman" w:hAnsi="Times New Roman"/>
        </w:rPr>
        <w:t>参与</w:t>
      </w:r>
      <w:r>
        <w:rPr>
          <w:rFonts w:ascii="Times New Roman"/>
        </w:rPr>
        <w:t>公募</w:t>
      </w:r>
      <w:r>
        <w:rPr>
          <w:rFonts w:ascii="Times New Roman" w:hAnsi="Times New Roman"/>
        </w:rPr>
        <w:t>REITs</w:t>
      </w:r>
      <w:r>
        <w:rPr>
          <w:rFonts w:hint="eastAsia" w:ascii="Times New Roman" w:hAnsi="Times New Roman"/>
        </w:rPr>
        <w:t>相关业务，熟悉</w:t>
      </w:r>
      <w:r>
        <w:rPr>
          <w:rFonts w:ascii="Times New Roman"/>
        </w:rPr>
        <w:t>公募</w:t>
      </w:r>
      <w:r>
        <w:rPr>
          <w:rFonts w:ascii="Times New Roman" w:hAnsi="Times New Roman"/>
        </w:rPr>
        <w:t>REITs</w:t>
      </w:r>
      <w:r>
        <w:rPr>
          <w:rFonts w:hint="eastAsia" w:ascii="Times New Roman" w:hAnsi="Times New Roman"/>
        </w:rPr>
        <w:t>现券交易</w:t>
      </w:r>
      <w:r>
        <w:rPr>
          <w:rFonts w:ascii="Times New Roman" w:hAnsi="Times New Roman"/>
        </w:rPr>
        <w:t>及融资</w:t>
      </w:r>
      <w:r>
        <w:rPr>
          <w:rFonts w:hint="eastAsia" w:ascii="Times New Roman" w:hAnsi="Times New Roman"/>
        </w:rPr>
        <w:t>业务，</w:t>
      </w:r>
      <w:r>
        <w:rPr>
          <w:rFonts w:ascii="Times New Roman" w:hAnsi="Times New Roman"/>
        </w:rPr>
        <w:t>并</w:t>
      </w:r>
      <w:r>
        <w:rPr>
          <w:rFonts w:hint="eastAsia" w:ascii="Times New Roman" w:hAnsi="Times New Roman"/>
        </w:rPr>
        <w:t>事先认真阅读基金合同、招募说明书等法律文件。</w:t>
      </w:r>
    </w:p>
    <w:p w14:paraId="65242B2A">
      <w:pPr>
        <w:ind w:firstLine="600"/>
        <w:rPr>
          <w:rFonts w:ascii="Times New Roman" w:hAnsi="Times New Roman"/>
        </w:rPr>
      </w:pPr>
      <w:r>
        <w:rPr>
          <w:rFonts w:ascii="Times New Roman"/>
        </w:rPr>
        <w:t>本所将</w:t>
      </w:r>
      <w:r>
        <w:rPr>
          <w:rFonts w:hint="eastAsia" w:ascii="Times New Roman"/>
        </w:rPr>
        <w:t>对本指南进行适时</w:t>
      </w:r>
      <w:r>
        <w:rPr>
          <w:rFonts w:ascii="Times New Roman"/>
        </w:rPr>
        <w:t>修订</w:t>
      </w:r>
      <w:r>
        <w:rPr>
          <w:rFonts w:hint="eastAsia" w:ascii="Times New Roman"/>
        </w:rPr>
        <w:t>，</w:t>
      </w:r>
      <w:r>
        <w:rPr>
          <w:rFonts w:ascii="Times New Roman"/>
        </w:rPr>
        <w:t>并发布更新版本。</w:t>
      </w:r>
      <w:r>
        <w:rPr>
          <w:rFonts w:hint="eastAsia" w:ascii="Times New Roman"/>
        </w:rPr>
        <w:t>本指南由本所负责解释，</w:t>
      </w:r>
      <w:r>
        <w:rPr>
          <w:rFonts w:ascii="Times New Roman"/>
        </w:rPr>
        <w:t>如对本指南有任何疑义，基金管理人等相关机构可与本所债券业务中心联系。</w:t>
      </w:r>
    </w:p>
    <w:p w14:paraId="3798CFA3">
      <w:pPr>
        <w:pStyle w:val="16"/>
        <w:snapToGrid w:val="0"/>
        <w:spacing w:before="0" w:beforeAutospacing="0" w:after="0" w:afterAutospacing="0" w:line="360" w:lineRule="auto"/>
        <w:ind w:firstLine="643"/>
        <w:rPr>
          <w:rFonts w:ascii="Times New Roman" w:hAnsi="Times New Roman" w:eastAsia="黑体" w:cs="Times New Roman"/>
          <w:b/>
          <w:sz w:val="32"/>
          <w:szCs w:val="32"/>
        </w:rPr>
      </w:pPr>
    </w:p>
    <w:p w14:paraId="7C6270D6">
      <w:pPr>
        <w:pStyle w:val="2"/>
        <w:spacing w:before="156" w:after="156"/>
        <w:ind w:firstLine="0" w:firstLineChars="0"/>
        <w:rPr>
          <w:rFonts w:ascii="Times New Roman" w:hAnsi="Times New Roman"/>
        </w:rPr>
      </w:pPr>
      <w:r>
        <w:rPr>
          <w:rFonts w:ascii="Times New Roman" w:hAnsi="Times New Roman"/>
        </w:rPr>
        <w:br w:type="page"/>
      </w:r>
      <w:bookmarkStart w:id="3" w:name="_Toc217484327"/>
      <w:r>
        <w:rPr>
          <w:rFonts w:ascii="Times New Roman"/>
        </w:rPr>
        <w:t>第一章</w:t>
      </w:r>
      <w:r>
        <w:rPr>
          <w:rFonts w:ascii="Times New Roman" w:hAnsi="Times New Roman"/>
        </w:rPr>
        <w:t xml:space="preserve">  </w:t>
      </w:r>
      <w:r>
        <w:rPr>
          <w:rFonts w:ascii="Times New Roman"/>
        </w:rPr>
        <w:t>交易业务安排</w:t>
      </w:r>
      <w:bookmarkEnd w:id="3"/>
    </w:p>
    <w:p w14:paraId="678FACAA">
      <w:pPr>
        <w:pStyle w:val="3"/>
        <w:spacing w:before="156" w:after="156"/>
        <w:ind w:firstLine="643"/>
        <w:rPr>
          <w:rFonts w:ascii="Times New Roman" w:hAnsi="Times New Roman"/>
        </w:rPr>
      </w:pPr>
      <w:bookmarkStart w:id="4" w:name="_Toc217484328"/>
      <w:r>
        <w:rPr>
          <w:rFonts w:ascii="Times New Roman"/>
        </w:rPr>
        <w:t>一、现券交易</w:t>
      </w:r>
      <w:bookmarkEnd w:id="4"/>
    </w:p>
    <w:p w14:paraId="0DDFD765">
      <w:pPr>
        <w:pStyle w:val="4"/>
        <w:ind w:firstLine="602"/>
        <w:rPr>
          <w:rFonts w:ascii="Times New Roman" w:hAnsi="Times New Roman"/>
        </w:rPr>
      </w:pPr>
      <w:r>
        <w:rPr>
          <w:rFonts w:ascii="Times New Roman"/>
        </w:rPr>
        <w:t>（一）竞价交易机制</w:t>
      </w:r>
    </w:p>
    <w:p w14:paraId="5F56E4CD">
      <w:pPr>
        <w:ind w:firstLine="600"/>
        <w:rPr>
          <w:rFonts w:ascii="Times New Roman" w:hAnsi="Times New Roman"/>
        </w:rPr>
      </w:pPr>
      <w:r>
        <w:rPr>
          <w:rFonts w:ascii="Times New Roman" w:hAnsi="Times New Roman"/>
        </w:rPr>
        <w:t>1.</w:t>
      </w:r>
      <w:r>
        <w:rPr>
          <w:rFonts w:ascii="Times New Roman"/>
        </w:rPr>
        <w:t>每个交易日的</w:t>
      </w:r>
      <w:r>
        <w:rPr>
          <w:rFonts w:ascii="Times New Roman" w:hAnsi="Times New Roman"/>
        </w:rPr>
        <w:t>9:15</w:t>
      </w:r>
      <w:r>
        <w:rPr>
          <w:rFonts w:ascii="Times New Roman"/>
        </w:rPr>
        <w:t>至</w:t>
      </w:r>
      <w:r>
        <w:rPr>
          <w:rFonts w:ascii="Times New Roman" w:hAnsi="Times New Roman"/>
        </w:rPr>
        <w:t>9:25</w:t>
      </w:r>
      <w:r>
        <w:rPr>
          <w:rFonts w:ascii="Times New Roman"/>
        </w:rPr>
        <w:t>为开盘集合竞价时间，</w:t>
      </w:r>
      <w:r>
        <w:rPr>
          <w:rFonts w:ascii="Times New Roman" w:hAnsi="Times New Roman"/>
        </w:rPr>
        <w:t>9:30</w:t>
      </w:r>
      <w:r>
        <w:rPr>
          <w:rFonts w:ascii="Times New Roman"/>
        </w:rPr>
        <w:t>至</w:t>
      </w:r>
      <w:r>
        <w:rPr>
          <w:rFonts w:ascii="Times New Roman" w:hAnsi="Times New Roman"/>
        </w:rPr>
        <w:t>11:30</w:t>
      </w:r>
      <w:r>
        <w:rPr>
          <w:rFonts w:ascii="Times New Roman"/>
        </w:rPr>
        <w:t>、</w:t>
      </w:r>
      <w:r>
        <w:rPr>
          <w:rFonts w:ascii="Times New Roman" w:hAnsi="Times New Roman"/>
        </w:rPr>
        <w:t>13:00</w:t>
      </w:r>
      <w:r>
        <w:rPr>
          <w:rFonts w:ascii="Times New Roman"/>
        </w:rPr>
        <w:t>至</w:t>
      </w:r>
      <w:r>
        <w:rPr>
          <w:rFonts w:ascii="Times New Roman" w:hAnsi="Times New Roman"/>
        </w:rPr>
        <w:t>15:00</w:t>
      </w:r>
      <w:r>
        <w:rPr>
          <w:rFonts w:ascii="Times New Roman"/>
        </w:rPr>
        <w:t>为连续竞价时间。</w:t>
      </w:r>
    </w:p>
    <w:p w14:paraId="239485A2">
      <w:pPr>
        <w:ind w:firstLine="600"/>
        <w:rPr>
          <w:rFonts w:ascii="Times New Roman" w:hAnsi="Times New Roman"/>
        </w:rPr>
      </w:pPr>
      <w:r>
        <w:rPr>
          <w:rFonts w:ascii="Times New Roman" w:hAnsi="Times New Roman"/>
        </w:rPr>
        <w:t>2.</w:t>
      </w:r>
      <w:r>
        <w:rPr>
          <w:rFonts w:hint="eastAsia" w:ascii="Times New Roman" w:hAnsi="Times New Roman"/>
        </w:rPr>
        <w:t>公募</w:t>
      </w:r>
      <w:r>
        <w:rPr>
          <w:rFonts w:ascii="Times New Roman" w:hAnsi="Times New Roman"/>
        </w:rPr>
        <w:t>REITs</w:t>
      </w:r>
      <w:r>
        <w:rPr>
          <w:rFonts w:ascii="Times New Roman"/>
        </w:rPr>
        <w:t>竞价交易申报数量应当为</w:t>
      </w:r>
      <w:r>
        <w:rPr>
          <w:rFonts w:ascii="Times New Roman" w:hAnsi="Times New Roman"/>
        </w:rPr>
        <w:t>100</w:t>
      </w:r>
      <w:r>
        <w:rPr>
          <w:rFonts w:ascii="Times New Roman"/>
        </w:rPr>
        <w:t>份或其整数倍</w:t>
      </w:r>
      <w:r>
        <w:rPr>
          <w:rFonts w:hint="eastAsia" w:ascii="Times New Roman"/>
        </w:rPr>
        <w:t>。卖出余额不足</w:t>
      </w:r>
      <w:r>
        <w:rPr>
          <w:rFonts w:hint="eastAsia" w:ascii="Times New Roman" w:hAnsi="Times New Roman"/>
        </w:rPr>
        <w:t>100</w:t>
      </w:r>
      <w:r>
        <w:rPr>
          <w:rFonts w:hint="eastAsia" w:ascii="Times New Roman"/>
        </w:rPr>
        <w:t>份的，应当一次申报卖出。</w:t>
      </w:r>
      <w:r>
        <w:rPr>
          <w:rFonts w:ascii="Times New Roman"/>
        </w:rPr>
        <w:t>交易系统支持单笔申报的最大数量上限为</w:t>
      </w:r>
      <w:r>
        <w:rPr>
          <w:rFonts w:ascii="Times New Roman" w:hAnsi="Times New Roman"/>
        </w:rPr>
        <w:t>99,999,900</w:t>
      </w:r>
      <w:r>
        <w:rPr>
          <w:rFonts w:ascii="Times New Roman"/>
        </w:rPr>
        <w:t>份（含）。</w:t>
      </w:r>
    </w:p>
    <w:p w14:paraId="13D766AE">
      <w:pPr>
        <w:ind w:firstLine="600"/>
        <w:rPr>
          <w:rFonts w:ascii="Times New Roman" w:hAnsi="Times New Roman"/>
        </w:rPr>
      </w:pPr>
      <w:r>
        <w:rPr>
          <w:rFonts w:ascii="Times New Roman" w:hAnsi="Times New Roman"/>
        </w:rPr>
        <w:t>3.</w:t>
      </w:r>
      <w:r>
        <w:rPr>
          <w:rFonts w:hint="eastAsia" w:ascii="Times New Roman" w:hAnsi="Times New Roman"/>
        </w:rPr>
        <w:t>公募</w:t>
      </w:r>
      <w:r>
        <w:rPr>
          <w:rFonts w:ascii="Times New Roman" w:hAnsi="Times New Roman"/>
        </w:rPr>
        <w:t>REITs</w:t>
      </w:r>
      <w:r>
        <w:rPr>
          <w:rFonts w:ascii="Times New Roman"/>
        </w:rPr>
        <w:t>竞价交易申报价格最小变动单位为</w:t>
      </w:r>
      <w:r>
        <w:rPr>
          <w:rFonts w:ascii="Times New Roman" w:hAnsi="Times New Roman"/>
        </w:rPr>
        <w:t>0.001</w:t>
      </w:r>
      <w:r>
        <w:rPr>
          <w:rFonts w:ascii="Times New Roman"/>
        </w:rPr>
        <w:t>元人民币。</w:t>
      </w:r>
    </w:p>
    <w:p w14:paraId="498AD7FC">
      <w:pPr>
        <w:ind w:firstLine="600"/>
        <w:rPr>
          <w:rFonts w:ascii="Times New Roman" w:hAnsi="Times New Roman"/>
        </w:rPr>
      </w:pPr>
      <w:r>
        <w:rPr>
          <w:rFonts w:ascii="Times New Roman" w:hAnsi="Times New Roman"/>
        </w:rPr>
        <w:t>4.</w:t>
      </w:r>
      <w:r>
        <w:rPr>
          <w:rFonts w:hint="eastAsia" w:ascii="Times New Roman" w:hAnsi="Times New Roman"/>
        </w:rPr>
        <w:t>公募</w:t>
      </w:r>
      <w:r>
        <w:rPr>
          <w:rFonts w:ascii="Times New Roman" w:hAnsi="Times New Roman"/>
        </w:rPr>
        <w:t>REITs</w:t>
      </w:r>
      <w:r>
        <w:rPr>
          <w:rFonts w:ascii="Times New Roman"/>
        </w:rPr>
        <w:t>的开盘价为当日该证券的第一笔成交价格，收盘价为当日该证券最后一笔交易前一分钟所有交易的成交量加权平均价（含最后一笔交易）。</w:t>
      </w:r>
      <w:r>
        <w:rPr>
          <w:rFonts w:hint="eastAsia" w:ascii="Times New Roman" w:hAnsi="Times New Roman"/>
        </w:rPr>
        <w:t>公募</w:t>
      </w:r>
      <w:r>
        <w:rPr>
          <w:rFonts w:ascii="Times New Roman" w:hAnsi="Times New Roman"/>
        </w:rPr>
        <w:t>REITs</w:t>
      </w:r>
      <w:r>
        <w:rPr>
          <w:rFonts w:ascii="Times New Roman"/>
        </w:rPr>
        <w:t>份额上市首日，其即时行情显示的前收盘价为</w:t>
      </w:r>
      <w:r>
        <w:rPr>
          <w:rFonts w:hint="eastAsia" w:ascii="Times New Roman" w:hAnsi="Times New Roman"/>
        </w:rPr>
        <w:t>公募</w:t>
      </w:r>
      <w:r>
        <w:rPr>
          <w:rFonts w:ascii="Times New Roman" w:hAnsi="Times New Roman"/>
        </w:rPr>
        <w:t>REITs</w:t>
      </w:r>
      <w:r>
        <w:rPr>
          <w:rFonts w:ascii="Times New Roman"/>
        </w:rPr>
        <w:t>发售价格。</w:t>
      </w:r>
    </w:p>
    <w:p w14:paraId="6E8CAFEB">
      <w:pPr>
        <w:ind w:firstLine="600"/>
        <w:rPr>
          <w:rFonts w:ascii="Times New Roman" w:hAnsi="Times New Roman"/>
        </w:rPr>
      </w:pPr>
      <w:r>
        <w:rPr>
          <w:rFonts w:ascii="Times New Roman" w:hAnsi="Times New Roman"/>
        </w:rPr>
        <w:t>5.</w:t>
      </w:r>
      <w:r>
        <w:rPr>
          <w:rFonts w:hint="eastAsia" w:ascii="Times New Roman" w:hAnsi="Times New Roman"/>
        </w:rPr>
        <w:t>公募</w:t>
      </w:r>
      <w:r>
        <w:rPr>
          <w:rFonts w:ascii="Times New Roman" w:hAnsi="Times New Roman"/>
        </w:rPr>
        <w:t>REITs</w:t>
      </w:r>
      <w:r>
        <w:rPr>
          <w:rFonts w:ascii="Times New Roman"/>
        </w:rPr>
        <w:t>实行价格涨跌幅限制，上市首日涨跌幅限制比例为</w:t>
      </w:r>
      <w:r>
        <w:rPr>
          <w:rFonts w:ascii="Times New Roman" w:hAnsi="Times New Roman"/>
        </w:rPr>
        <w:t>30%</w:t>
      </w:r>
      <w:r>
        <w:rPr>
          <w:rFonts w:ascii="Times New Roman"/>
        </w:rPr>
        <w:t>，非上市首日涨跌幅限制比例为</w:t>
      </w:r>
      <w:r>
        <w:rPr>
          <w:rFonts w:ascii="Times New Roman" w:hAnsi="Times New Roman"/>
        </w:rPr>
        <w:t>10%</w:t>
      </w:r>
      <w:r>
        <w:rPr>
          <w:rFonts w:ascii="Times New Roman"/>
        </w:rPr>
        <w:t>，本所另有规定的除外。涨跌幅价格的计算公式为：涨跌幅价格＝前收盘价</w:t>
      </w:r>
      <w:r>
        <w:rPr>
          <w:rFonts w:ascii="Times New Roman" w:hAnsi="Times New Roman"/>
        </w:rPr>
        <w:t>×</w:t>
      </w:r>
      <w:r>
        <w:rPr>
          <w:rFonts w:ascii="Times New Roman"/>
        </w:rPr>
        <w:t>（</w:t>
      </w:r>
      <w:r>
        <w:rPr>
          <w:rFonts w:ascii="Times New Roman" w:hAnsi="Times New Roman"/>
        </w:rPr>
        <w:t>1±</w:t>
      </w:r>
      <w:r>
        <w:rPr>
          <w:rFonts w:ascii="Times New Roman"/>
        </w:rPr>
        <w:t>涨跌幅比例）。</w:t>
      </w:r>
    </w:p>
    <w:p w14:paraId="2645AE41">
      <w:pPr>
        <w:ind w:firstLine="600"/>
        <w:rPr>
          <w:rFonts w:ascii="Times New Roman" w:hAnsi="Times New Roman"/>
          <w:color w:val="000000"/>
          <w:kern w:val="0"/>
        </w:rPr>
      </w:pPr>
      <w:r>
        <w:rPr>
          <w:rFonts w:ascii="Times New Roman" w:hAnsi="Times New Roman"/>
        </w:rPr>
        <w:t>6.</w:t>
      </w:r>
      <w:r>
        <w:rPr>
          <w:rFonts w:ascii="Times New Roman"/>
        </w:rPr>
        <w:t>当日</w:t>
      </w:r>
      <w:r>
        <w:rPr>
          <w:rFonts w:ascii="Times New Roman"/>
          <w:color w:val="000000"/>
          <w:kern w:val="0"/>
        </w:rPr>
        <w:t>无交易的，前收盘价格视为最新成交价格。</w:t>
      </w:r>
    </w:p>
    <w:p w14:paraId="5A3AAC08">
      <w:pPr>
        <w:pStyle w:val="4"/>
        <w:ind w:firstLine="602"/>
        <w:rPr>
          <w:rFonts w:ascii="Times New Roman" w:hAnsi="Times New Roman"/>
        </w:rPr>
      </w:pPr>
      <w:r>
        <w:rPr>
          <w:rFonts w:ascii="Times New Roman"/>
        </w:rPr>
        <w:t>（二）大宗交易机制</w:t>
      </w:r>
    </w:p>
    <w:p w14:paraId="17E6A67F">
      <w:pPr>
        <w:ind w:firstLine="600"/>
        <w:rPr>
          <w:rFonts w:ascii="Times New Roman" w:hAnsi="Times New Roman"/>
          <w:kern w:val="0"/>
        </w:rPr>
      </w:pPr>
      <w:r>
        <w:rPr>
          <w:rFonts w:ascii="Times New Roman" w:hAnsi="Times New Roman"/>
          <w:kern w:val="0"/>
        </w:rPr>
        <w:t>1.</w:t>
      </w:r>
      <w:r>
        <w:rPr>
          <w:rFonts w:ascii="Times New Roman"/>
          <w:kern w:val="0"/>
        </w:rPr>
        <w:t>大宗交易申报包括意向申报、成交申报。</w:t>
      </w:r>
    </w:p>
    <w:p w14:paraId="068E05B8">
      <w:pPr>
        <w:ind w:firstLine="600"/>
        <w:rPr>
          <w:rFonts w:ascii="Times New Roman" w:hAnsi="Times New Roman"/>
        </w:rPr>
      </w:pPr>
      <w:r>
        <w:rPr>
          <w:rFonts w:ascii="Times New Roman" w:hAnsi="Times New Roman"/>
          <w:kern w:val="0"/>
        </w:rPr>
        <w:t>2.</w:t>
      </w:r>
      <w:r>
        <w:rPr>
          <w:rFonts w:ascii="Times New Roman"/>
          <w:kern w:val="0"/>
        </w:rPr>
        <w:t>本所每个交易日</w:t>
      </w:r>
      <w:r>
        <w:rPr>
          <w:rFonts w:ascii="Times New Roman" w:hAnsi="Times New Roman"/>
          <w:kern w:val="0"/>
        </w:rPr>
        <w:t>9:30</w:t>
      </w:r>
      <w:r>
        <w:rPr>
          <w:rFonts w:ascii="Times New Roman"/>
          <w:kern w:val="0"/>
        </w:rPr>
        <w:t>至</w:t>
      </w:r>
      <w:r>
        <w:rPr>
          <w:rFonts w:ascii="Times New Roman" w:hAnsi="Times New Roman"/>
          <w:kern w:val="0"/>
        </w:rPr>
        <w:t>11:30</w:t>
      </w:r>
      <w:r>
        <w:rPr>
          <w:rFonts w:ascii="Times New Roman"/>
          <w:kern w:val="0"/>
        </w:rPr>
        <w:t>、</w:t>
      </w:r>
      <w:r>
        <w:rPr>
          <w:rFonts w:ascii="Times New Roman" w:hAnsi="Times New Roman"/>
          <w:kern w:val="0"/>
        </w:rPr>
        <w:t>13:00</w:t>
      </w:r>
      <w:r>
        <w:rPr>
          <w:rFonts w:ascii="Times New Roman"/>
          <w:kern w:val="0"/>
        </w:rPr>
        <w:t>至</w:t>
      </w:r>
      <w:r>
        <w:rPr>
          <w:rFonts w:ascii="Times New Roman" w:hAnsi="Times New Roman"/>
          <w:kern w:val="0"/>
        </w:rPr>
        <w:t>15:30</w:t>
      </w:r>
      <w:r>
        <w:rPr>
          <w:rFonts w:ascii="Times New Roman"/>
          <w:kern w:val="0"/>
        </w:rPr>
        <w:t>接受意向申报；</w:t>
      </w:r>
      <w:r>
        <w:rPr>
          <w:rFonts w:ascii="Times New Roman" w:hAnsi="Times New Roman"/>
        </w:rPr>
        <w:t>15:00</w:t>
      </w:r>
      <w:r>
        <w:rPr>
          <w:rFonts w:ascii="Times New Roman"/>
        </w:rPr>
        <w:t>至</w:t>
      </w:r>
      <w:r>
        <w:rPr>
          <w:rFonts w:ascii="Times New Roman" w:hAnsi="Times New Roman"/>
        </w:rPr>
        <w:t>15:30</w:t>
      </w:r>
      <w:r>
        <w:rPr>
          <w:rFonts w:ascii="Times New Roman"/>
        </w:rPr>
        <w:t>接受成交申报。</w:t>
      </w:r>
    </w:p>
    <w:p w14:paraId="117E246F">
      <w:pPr>
        <w:ind w:firstLine="600"/>
        <w:rPr>
          <w:rFonts w:ascii="Times New Roman" w:hAnsi="Times New Roman"/>
        </w:rPr>
      </w:pPr>
      <w:r>
        <w:rPr>
          <w:rFonts w:ascii="Times New Roman" w:hAnsi="Times New Roman"/>
        </w:rPr>
        <w:t>3.</w:t>
      </w:r>
      <w:r>
        <w:rPr>
          <w:rFonts w:hint="eastAsia" w:ascii="Times New Roman" w:hAnsi="Times New Roman"/>
        </w:rPr>
        <w:t>公募</w:t>
      </w:r>
      <w:r>
        <w:rPr>
          <w:rFonts w:ascii="Times New Roman" w:hAnsi="Times New Roman"/>
        </w:rPr>
        <w:t>REITs</w:t>
      </w:r>
      <w:r>
        <w:rPr>
          <w:rFonts w:ascii="Times New Roman"/>
        </w:rPr>
        <w:t>大宗交易单笔申报数量应当为</w:t>
      </w:r>
      <w:r>
        <w:rPr>
          <w:rFonts w:ascii="Times New Roman" w:hAnsi="Times New Roman"/>
        </w:rPr>
        <w:t>1000</w:t>
      </w:r>
      <w:r>
        <w:rPr>
          <w:rFonts w:ascii="Times New Roman"/>
        </w:rPr>
        <w:t>份或者其整数倍。</w:t>
      </w:r>
    </w:p>
    <w:p w14:paraId="2F487FD5">
      <w:pPr>
        <w:ind w:firstLine="600"/>
        <w:rPr>
          <w:rFonts w:ascii="Times New Roman" w:hAnsi="Times New Roman"/>
        </w:rPr>
      </w:pPr>
      <w:r>
        <w:rPr>
          <w:rFonts w:ascii="Times New Roman" w:hAnsi="Times New Roman"/>
        </w:rPr>
        <w:t>4.</w:t>
      </w:r>
      <w:r>
        <w:rPr>
          <w:rFonts w:hint="eastAsia" w:ascii="Times New Roman" w:hAnsi="Times New Roman"/>
        </w:rPr>
        <w:t>公募</w:t>
      </w:r>
      <w:r>
        <w:rPr>
          <w:rFonts w:ascii="Times New Roman" w:hAnsi="Times New Roman"/>
        </w:rPr>
        <w:t>REITs</w:t>
      </w:r>
      <w:r>
        <w:rPr>
          <w:rFonts w:ascii="Times New Roman"/>
        </w:rPr>
        <w:t>大宗交易申报价格最小变动单位为</w:t>
      </w:r>
      <w:r>
        <w:rPr>
          <w:rFonts w:ascii="Times New Roman" w:hAnsi="Times New Roman"/>
        </w:rPr>
        <w:t>0.001</w:t>
      </w:r>
      <w:r>
        <w:rPr>
          <w:rFonts w:ascii="Times New Roman"/>
        </w:rPr>
        <w:t>元人民币。</w:t>
      </w:r>
    </w:p>
    <w:p w14:paraId="0B5CC920">
      <w:pPr>
        <w:ind w:firstLine="600"/>
        <w:rPr>
          <w:rFonts w:ascii="Times New Roman" w:hAnsi="Times New Roman"/>
        </w:rPr>
      </w:pPr>
      <w:r>
        <w:rPr>
          <w:rFonts w:ascii="Times New Roman" w:hAnsi="Times New Roman"/>
        </w:rPr>
        <w:t>5.</w:t>
      </w:r>
      <w:r>
        <w:rPr>
          <w:rFonts w:hint="eastAsia" w:ascii="Times New Roman" w:hAnsi="Times New Roman"/>
        </w:rPr>
        <w:t>公募</w:t>
      </w:r>
      <w:r>
        <w:rPr>
          <w:rFonts w:ascii="Times New Roman" w:hAnsi="Times New Roman"/>
        </w:rPr>
        <w:t>REITs</w:t>
      </w:r>
      <w:r>
        <w:rPr>
          <w:rFonts w:ascii="Times New Roman"/>
        </w:rPr>
        <w:t>大宗交易成交申报价格，由买方和卖方在当日价格涨跌幅限制范围内确定。</w:t>
      </w:r>
    </w:p>
    <w:p w14:paraId="019C93B1">
      <w:pPr>
        <w:ind w:firstLine="600"/>
        <w:rPr>
          <w:rFonts w:ascii="Times New Roman" w:hAnsi="Times New Roman"/>
          <w:kern w:val="0"/>
        </w:rPr>
      </w:pPr>
      <w:r>
        <w:rPr>
          <w:rFonts w:ascii="Times New Roman" w:hAnsi="Times New Roman"/>
        </w:rPr>
        <w:t>6.</w:t>
      </w:r>
      <w:r>
        <w:rPr>
          <w:rFonts w:ascii="Times New Roman"/>
        </w:rPr>
        <w:t>大宗交</w:t>
      </w:r>
      <w:r>
        <w:rPr>
          <w:rFonts w:ascii="Times New Roman"/>
          <w:kern w:val="0"/>
        </w:rPr>
        <w:t>易不纳入本所即时行情和指数的计算，成交量在大宗交易结束后计入该证券成交总量。</w:t>
      </w:r>
    </w:p>
    <w:p w14:paraId="6EDA9037">
      <w:pPr>
        <w:pStyle w:val="4"/>
        <w:ind w:firstLine="602"/>
        <w:rPr>
          <w:rFonts w:ascii="Times New Roman" w:hAnsi="Times New Roman"/>
        </w:rPr>
      </w:pPr>
      <w:r>
        <w:rPr>
          <w:rFonts w:ascii="Times New Roman"/>
        </w:rPr>
        <w:t>（三）报价等交易机制</w:t>
      </w:r>
    </w:p>
    <w:p w14:paraId="51DB808C">
      <w:pPr>
        <w:ind w:firstLine="600"/>
        <w:rPr>
          <w:rFonts w:ascii="Times New Roman" w:hAnsi="Times New Roman"/>
        </w:rPr>
      </w:pPr>
      <w:r>
        <w:rPr>
          <w:rFonts w:ascii="Times New Roman" w:hAnsi="Times New Roman"/>
          <w:color w:val="000000"/>
          <w:kern w:val="0"/>
        </w:rPr>
        <w:t>1.</w:t>
      </w:r>
      <w:r>
        <w:rPr>
          <w:rFonts w:hint="eastAsia" w:ascii="Times New Roman" w:hAnsi="Times New Roman"/>
        </w:rPr>
        <w:t>公募</w:t>
      </w:r>
      <w:r>
        <w:rPr>
          <w:rFonts w:ascii="Times New Roman" w:hAnsi="Times New Roman"/>
          <w:color w:val="000000"/>
          <w:kern w:val="0"/>
        </w:rPr>
        <w:t>REITs</w:t>
      </w:r>
      <w:r>
        <w:rPr>
          <w:rFonts w:ascii="Times New Roman"/>
        </w:rPr>
        <w:t>的报价、询价、指定对手方等交易方式在上海证券交易所固定收益证券综合电子平台（下称固收平台）开展。</w:t>
      </w:r>
    </w:p>
    <w:p w14:paraId="6CDF55E5">
      <w:pPr>
        <w:ind w:firstLine="600"/>
        <w:rPr>
          <w:rFonts w:ascii="Times New Roman" w:hAnsi="Times New Roman"/>
        </w:rPr>
      </w:pPr>
      <w:r>
        <w:rPr>
          <w:rFonts w:ascii="Times New Roman" w:hAnsi="Times New Roman"/>
        </w:rPr>
        <w:t>2.</w:t>
      </w:r>
      <w:r>
        <w:rPr>
          <w:rFonts w:ascii="Times New Roman"/>
        </w:rPr>
        <w:t>固收平台交易机制包括报价（确定报价、待定报价）、询价、指定对手方交易。</w:t>
      </w:r>
    </w:p>
    <w:p w14:paraId="4EEF26A1">
      <w:pPr>
        <w:ind w:firstLine="600"/>
        <w:rPr>
          <w:rFonts w:ascii="Times New Roman" w:hAnsi="Times New Roman"/>
        </w:rPr>
      </w:pPr>
      <w:r>
        <w:rPr>
          <w:rFonts w:ascii="Times New Roman" w:hAnsi="Times New Roman"/>
        </w:rPr>
        <w:t>3.</w:t>
      </w:r>
      <w:r>
        <w:rPr>
          <w:rFonts w:ascii="Times New Roman"/>
        </w:rPr>
        <w:t>本所每个交易日</w:t>
      </w:r>
      <w:r>
        <w:rPr>
          <w:rFonts w:ascii="Times New Roman" w:hAnsi="Times New Roman"/>
        </w:rPr>
        <w:t>9:30</w:t>
      </w:r>
      <w:r>
        <w:rPr>
          <w:rFonts w:ascii="Times New Roman"/>
        </w:rPr>
        <w:t>至</w:t>
      </w:r>
      <w:r>
        <w:rPr>
          <w:rFonts w:ascii="Times New Roman" w:hAnsi="Times New Roman"/>
        </w:rPr>
        <w:t>11:30</w:t>
      </w:r>
      <w:r>
        <w:rPr>
          <w:rFonts w:ascii="Times New Roman"/>
        </w:rPr>
        <w:t>、</w:t>
      </w:r>
      <w:r>
        <w:rPr>
          <w:rFonts w:ascii="Times New Roman" w:hAnsi="Times New Roman"/>
        </w:rPr>
        <w:t>13:00</w:t>
      </w:r>
      <w:r>
        <w:rPr>
          <w:rFonts w:ascii="Times New Roman"/>
        </w:rPr>
        <w:t>至</w:t>
      </w:r>
      <w:r>
        <w:rPr>
          <w:rFonts w:ascii="Times New Roman" w:hAnsi="Times New Roman"/>
        </w:rPr>
        <w:t>15:30</w:t>
      </w:r>
      <w:r>
        <w:rPr>
          <w:rFonts w:ascii="Times New Roman"/>
        </w:rPr>
        <w:t>为固收平台交易时间。</w:t>
      </w:r>
    </w:p>
    <w:p w14:paraId="47A9D2D1">
      <w:pPr>
        <w:ind w:firstLine="600"/>
        <w:rPr>
          <w:rFonts w:ascii="Times New Roman" w:hAnsi="Times New Roman"/>
        </w:rPr>
      </w:pPr>
      <w:r>
        <w:rPr>
          <w:rFonts w:ascii="Times New Roman" w:hAnsi="Times New Roman"/>
        </w:rPr>
        <w:t>4.公募REITs报价单笔申报数量应当为1000份或者其整数倍</w:t>
      </w:r>
      <w:r>
        <w:rPr>
          <w:rFonts w:hint="eastAsia" w:ascii="Times New Roman" w:hAnsi="Times New Roman"/>
          <w:lang w:eastAsia="zh-CN"/>
        </w:rPr>
        <w:t>；</w:t>
      </w:r>
      <w:r>
        <w:rPr>
          <w:rFonts w:ascii="Times New Roman" w:hAnsi="Times New Roman"/>
        </w:rPr>
        <w:t>询价、指定对手方交易单笔申报数量最小为100000份，且为1000份</w:t>
      </w:r>
      <w:r>
        <w:rPr>
          <w:rFonts w:hint="eastAsia" w:ascii="Times New Roman" w:hAnsi="Times New Roman"/>
          <w:lang w:eastAsia="zh-CN"/>
        </w:rPr>
        <w:t>的</w:t>
      </w:r>
      <w:r>
        <w:rPr>
          <w:rFonts w:ascii="Times New Roman" w:hAnsi="Times New Roman"/>
        </w:rPr>
        <w:t>整数倍。</w:t>
      </w:r>
    </w:p>
    <w:p w14:paraId="59097E15">
      <w:pPr>
        <w:ind w:firstLine="600"/>
        <w:rPr>
          <w:rFonts w:ascii="Times New Roman" w:hAnsi="Times New Roman"/>
        </w:rPr>
      </w:pPr>
      <w:r>
        <w:rPr>
          <w:rFonts w:ascii="Times New Roman" w:hAnsi="Times New Roman"/>
        </w:rPr>
        <w:t>5.</w:t>
      </w:r>
      <w:r>
        <w:rPr>
          <w:rFonts w:hint="eastAsia" w:ascii="Times New Roman" w:hAnsi="Times New Roman"/>
        </w:rPr>
        <w:t>公募</w:t>
      </w:r>
      <w:r>
        <w:rPr>
          <w:rFonts w:ascii="Times New Roman" w:hAnsi="Times New Roman"/>
        </w:rPr>
        <w:t>REITs</w:t>
      </w:r>
      <w:r>
        <w:rPr>
          <w:rFonts w:ascii="Times New Roman"/>
        </w:rPr>
        <w:t>报价</w:t>
      </w:r>
      <w:r>
        <w:rPr>
          <w:rFonts w:hint="eastAsia" w:ascii="Times New Roman"/>
        </w:rPr>
        <w:t>等</w:t>
      </w:r>
      <w:r>
        <w:rPr>
          <w:rFonts w:ascii="Times New Roman"/>
        </w:rPr>
        <w:t>交易申报价格最小变动单位为</w:t>
      </w:r>
      <w:r>
        <w:rPr>
          <w:rFonts w:ascii="Times New Roman" w:hAnsi="Times New Roman"/>
        </w:rPr>
        <w:t>0.001</w:t>
      </w:r>
      <w:r>
        <w:rPr>
          <w:rFonts w:ascii="Times New Roman"/>
        </w:rPr>
        <w:t>元人民币。</w:t>
      </w:r>
    </w:p>
    <w:p w14:paraId="5C36C385">
      <w:pPr>
        <w:ind w:firstLine="600"/>
        <w:rPr>
          <w:rFonts w:ascii="Times New Roman"/>
        </w:rPr>
      </w:pPr>
      <w:r>
        <w:rPr>
          <w:rFonts w:ascii="Times New Roman" w:hAnsi="Times New Roman"/>
        </w:rPr>
        <w:t>6.</w:t>
      </w:r>
      <w:r>
        <w:rPr>
          <w:rFonts w:hint="eastAsia" w:ascii="Times New Roman" w:hAnsi="Times New Roman"/>
        </w:rPr>
        <w:t>公募</w:t>
      </w:r>
      <w:r>
        <w:rPr>
          <w:rFonts w:ascii="Times New Roman" w:hAnsi="Times New Roman"/>
        </w:rPr>
        <w:t>REITs</w:t>
      </w:r>
      <w:r>
        <w:rPr>
          <w:rFonts w:ascii="Times New Roman"/>
        </w:rPr>
        <w:t>报价</w:t>
      </w:r>
      <w:r>
        <w:rPr>
          <w:rFonts w:hint="eastAsia" w:ascii="Times New Roman"/>
        </w:rPr>
        <w:t>等</w:t>
      </w:r>
      <w:r>
        <w:rPr>
          <w:rFonts w:ascii="Times New Roman"/>
        </w:rPr>
        <w:t>交易成交申报价格，由买方和卖方在当日价格涨跌幅限制范围内确定。</w:t>
      </w:r>
    </w:p>
    <w:p w14:paraId="3BF7A1A1">
      <w:pPr>
        <w:widowControl/>
        <w:spacing w:line="240" w:lineRule="auto"/>
        <w:ind w:firstLine="0" w:firstLineChars="0"/>
        <w:jc w:val="left"/>
        <w:rPr>
          <w:rFonts w:ascii="Times New Roman"/>
        </w:rPr>
      </w:pPr>
      <w:r>
        <w:rPr>
          <w:rFonts w:ascii="Times New Roman"/>
        </w:rPr>
        <w:br w:type="page"/>
      </w:r>
    </w:p>
    <w:p w14:paraId="26006EF0">
      <w:pPr>
        <w:pStyle w:val="3"/>
        <w:spacing w:before="156" w:after="156"/>
        <w:ind w:firstLine="643"/>
        <w:rPr>
          <w:rFonts w:ascii="Times New Roman" w:hAnsi="Times New Roman"/>
        </w:rPr>
      </w:pPr>
      <w:bookmarkStart w:id="5" w:name="_Toc217484329"/>
      <w:r>
        <w:rPr>
          <w:rFonts w:ascii="Times New Roman"/>
        </w:rPr>
        <w:t>二、融资业务</w:t>
      </w:r>
      <w:bookmarkEnd w:id="5"/>
    </w:p>
    <w:p w14:paraId="79ACB1AB">
      <w:pPr>
        <w:ind w:firstLine="600"/>
        <w:rPr>
          <w:rFonts w:ascii="Times New Roman" w:hAnsi="Times New Roman"/>
          <w:kern w:val="0"/>
        </w:rPr>
      </w:pPr>
      <w:r>
        <w:rPr>
          <w:rFonts w:ascii="Times New Roman" w:hAnsi="Times New Roman"/>
          <w:kern w:val="0"/>
        </w:rPr>
        <w:t>根据《上海证券交易所公开募集不动产投资信托基金（REITs）业务办法》规</w:t>
      </w:r>
      <w:r>
        <w:rPr>
          <w:rFonts w:hint="eastAsia" w:ascii="Times New Roman" w:hAnsi="Times New Roman"/>
          <w:kern w:val="0"/>
        </w:rPr>
        <w:t>定</w:t>
      </w:r>
      <w:r>
        <w:rPr>
          <w:rFonts w:ascii="Times New Roman" w:hAnsi="Times New Roman"/>
          <w:kern w:val="0"/>
        </w:rPr>
        <w:t>，原始权益人或其同一控制下的关联方战略配售部分份额（下称原始权益人限售份额）在限售期内不能参与质押；专业机构投资者战略配售部分（下称战略配售份额）在限售期内能够参与质押。</w:t>
      </w:r>
    </w:p>
    <w:p w14:paraId="7128EE12">
      <w:pPr>
        <w:ind w:firstLine="600"/>
        <w:rPr>
          <w:rFonts w:ascii="Times New Roman" w:hAnsi="Times New Roman"/>
          <w:kern w:val="0"/>
        </w:rPr>
      </w:pPr>
      <w:r>
        <w:rPr>
          <w:rFonts w:ascii="Times New Roman"/>
          <w:kern w:val="0"/>
        </w:rPr>
        <w:t>公募</w:t>
      </w:r>
      <w:r>
        <w:rPr>
          <w:rFonts w:ascii="Times New Roman" w:hAnsi="Times New Roman"/>
          <w:kern w:val="0"/>
        </w:rPr>
        <w:t>REITs</w:t>
      </w:r>
      <w:r>
        <w:rPr>
          <w:rFonts w:ascii="Times New Roman"/>
          <w:kern w:val="0"/>
        </w:rPr>
        <w:t>可以在固收平台上参与债券质押式协议回购。其中非限售份额可以参与交易、质押式协议回购，战略配售份额可参与债券质押式协议回购。</w:t>
      </w:r>
    </w:p>
    <w:p w14:paraId="4A42199B">
      <w:pPr>
        <w:pStyle w:val="4"/>
        <w:ind w:firstLine="602"/>
        <w:rPr>
          <w:rFonts w:ascii="Times New Roman" w:hAnsi="Times New Roman"/>
        </w:rPr>
      </w:pPr>
      <w:r>
        <w:rPr>
          <w:rFonts w:ascii="Times New Roman"/>
        </w:rPr>
        <w:t>（一）债券质押式协议回购交易</w:t>
      </w:r>
    </w:p>
    <w:p w14:paraId="64DD2CE4">
      <w:pPr>
        <w:ind w:firstLine="600"/>
        <w:rPr>
          <w:rFonts w:ascii="Times New Roman" w:hAnsi="Times New Roman"/>
        </w:rPr>
      </w:pPr>
      <w:r>
        <w:rPr>
          <w:rFonts w:ascii="Times New Roman"/>
          <w:color w:val="000000"/>
          <w:kern w:val="0"/>
        </w:rPr>
        <w:t>债券质押式协议回购交易</w:t>
      </w:r>
      <w:r>
        <w:rPr>
          <w:rFonts w:ascii="Times New Roman"/>
        </w:rPr>
        <w:t>（以下简称协议回购）是指回购双方自主协商约定，由资金融入方（以下简称正回购方</w:t>
      </w:r>
      <w:r>
        <w:rPr>
          <w:rFonts w:ascii="Times New Roman" w:hAnsi="Times New Roman"/>
        </w:rPr>
        <w:t>）</w:t>
      </w:r>
      <w:r>
        <w:rPr>
          <w:rFonts w:ascii="Times New Roman"/>
        </w:rPr>
        <w:t>将债券出质给资金融出方（以下简称逆回购方</w:t>
      </w:r>
      <w:r>
        <w:rPr>
          <w:rFonts w:ascii="Times New Roman" w:hAnsi="Times New Roman"/>
        </w:rPr>
        <w:t>）</w:t>
      </w:r>
      <w:r>
        <w:rPr>
          <w:rFonts w:ascii="Times New Roman"/>
        </w:rPr>
        <w:t>融入资金，并在未来返还资金和支付回购利息，同时解除债券质押登记的交易。</w:t>
      </w:r>
    </w:p>
    <w:p w14:paraId="14102203">
      <w:pPr>
        <w:ind w:firstLine="600"/>
        <w:rPr>
          <w:rFonts w:ascii="Times New Roman" w:hAnsi="Times New Roman"/>
        </w:rPr>
      </w:pPr>
      <w:r>
        <w:rPr>
          <w:rFonts w:ascii="Times New Roman" w:hAnsi="Times New Roman"/>
        </w:rPr>
        <w:t>投资者参与债券质押式协议回购融资，应</w:t>
      </w:r>
      <w:r>
        <w:rPr>
          <w:rFonts w:hint="eastAsia" w:ascii="Times New Roman" w:hAnsi="Times New Roman"/>
        </w:rPr>
        <w:t>当</w:t>
      </w:r>
      <w:r>
        <w:rPr>
          <w:rFonts w:ascii="Times New Roman" w:hAnsi="Times New Roman"/>
        </w:rPr>
        <w:t>遵守《上海证券交易所债券质押式协议回购交易暂行办法》中对于投资者适当性、违约处置、签署主协议的相关要求，相关交易方式如下：</w:t>
      </w:r>
    </w:p>
    <w:p w14:paraId="49F5983E">
      <w:pPr>
        <w:ind w:firstLine="600"/>
        <w:rPr>
          <w:rFonts w:ascii="Times New Roman" w:hAnsi="Times New Roman"/>
        </w:rPr>
      </w:pPr>
      <w:r>
        <w:rPr>
          <w:rFonts w:ascii="Times New Roman" w:hAnsi="Times New Roman"/>
        </w:rPr>
        <w:t>1.</w:t>
      </w:r>
      <w:r>
        <w:rPr>
          <w:rFonts w:ascii="Times New Roman"/>
        </w:rPr>
        <w:t>协议回购交易通过本所固定收益平台进行，各类账户已设置具备协议回购交易权限。</w:t>
      </w:r>
    </w:p>
    <w:p w14:paraId="6DDE637A">
      <w:pPr>
        <w:ind w:firstLine="600"/>
        <w:rPr>
          <w:rFonts w:ascii="Times New Roman" w:hAnsi="Times New Roman"/>
        </w:rPr>
      </w:pPr>
      <w:r>
        <w:rPr>
          <w:rFonts w:ascii="Times New Roman" w:hAnsi="Times New Roman"/>
        </w:rPr>
        <w:t>2.</w:t>
      </w:r>
      <w:r>
        <w:rPr>
          <w:rFonts w:ascii="Times New Roman"/>
        </w:rPr>
        <w:t>协议回购申报的时间为每个交易日的</w:t>
      </w:r>
      <w:r>
        <w:rPr>
          <w:rFonts w:ascii="Times New Roman" w:hAnsi="Times New Roman"/>
        </w:rPr>
        <w:t>9:30</w:t>
      </w:r>
      <w:r>
        <w:rPr>
          <w:rFonts w:ascii="Times New Roman"/>
        </w:rPr>
        <w:t>至</w:t>
      </w:r>
      <w:r>
        <w:rPr>
          <w:rFonts w:ascii="Times New Roman" w:hAnsi="Times New Roman"/>
        </w:rPr>
        <w:t>11:30</w:t>
      </w:r>
      <w:r>
        <w:rPr>
          <w:rFonts w:ascii="Times New Roman"/>
        </w:rPr>
        <w:t>，</w:t>
      </w:r>
      <w:r>
        <w:rPr>
          <w:rFonts w:ascii="Times New Roman" w:hAnsi="Times New Roman"/>
        </w:rPr>
        <w:t>13:00</w:t>
      </w:r>
      <w:r>
        <w:rPr>
          <w:rFonts w:ascii="Times New Roman"/>
        </w:rPr>
        <w:t>至</w:t>
      </w:r>
      <w:r>
        <w:rPr>
          <w:rFonts w:ascii="Times New Roman" w:hAnsi="Times New Roman"/>
        </w:rPr>
        <w:t>15:30</w:t>
      </w:r>
      <w:r>
        <w:rPr>
          <w:rFonts w:ascii="Times New Roman"/>
        </w:rPr>
        <w:t>。</w:t>
      </w:r>
    </w:p>
    <w:p w14:paraId="079B412D">
      <w:pPr>
        <w:ind w:firstLine="600"/>
        <w:rPr>
          <w:rFonts w:ascii="Times New Roman" w:hAnsi="Times New Roman"/>
        </w:rPr>
      </w:pPr>
      <w:r>
        <w:rPr>
          <w:rFonts w:ascii="Times New Roman" w:hAnsi="Times New Roman"/>
        </w:rPr>
        <w:t>3.</w:t>
      </w:r>
      <w:r>
        <w:rPr>
          <w:rFonts w:ascii="Times New Roman"/>
        </w:rPr>
        <w:t>协议回购的交易要素包括但不限于回购方向、回购利率、质押券名称、质押券代码、质押券数量、质押券面值总额</w:t>
      </w:r>
      <w:r>
        <w:rPr>
          <w:rStyle w:val="23"/>
          <w:rFonts w:ascii="Times New Roman" w:hAnsi="Times New Roman"/>
          <w:szCs w:val="30"/>
        </w:rPr>
        <w:footnoteReference w:id="0"/>
      </w:r>
      <w:r>
        <w:rPr>
          <w:rFonts w:ascii="Times New Roman"/>
        </w:rPr>
        <w:t>、质权人、成交金额、折算比例</w:t>
      </w:r>
      <w:r>
        <w:rPr>
          <w:rStyle w:val="23"/>
          <w:rFonts w:ascii="Times New Roman" w:hAnsi="Times New Roman"/>
          <w:szCs w:val="30"/>
        </w:rPr>
        <w:footnoteReference w:id="1"/>
      </w:r>
      <w:r>
        <w:rPr>
          <w:rFonts w:ascii="Times New Roman"/>
        </w:rPr>
        <w:t>、首次结算日、回购到期日、回购期限、到期结算日、实际占款天数、到期结算金额等。</w:t>
      </w:r>
    </w:p>
    <w:p w14:paraId="6A200694">
      <w:pPr>
        <w:ind w:firstLine="600"/>
        <w:rPr>
          <w:rFonts w:ascii="Times New Roman" w:hAnsi="Times New Roman"/>
        </w:rPr>
      </w:pPr>
      <w:r>
        <w:rPr>
          <w:rFonts w:ascii="Times New Roman" w:hAnsi="Times New Roman"/>
        </w:rPr>
        <w:t>4.</w:t>
      </w:r>
      <w:r>
        <w:rPr>
          <w:rFonts w:ascii="Times New Roman"/>
        </w:rPr>
        <w:t>协议回购的期限不得超过</w:t>
      </w:r>
      <w:r>
        <w:rPr>
          <w:rFonts w:ascii="Times New Roman" w:hAnsi="Times New Roman"/>
        </w:rPr>
        <w:t>365</w:t>
      </w:r>
      <w:r>
        <w:rPr>
          <w:rFonts w:ascii="Times New Roman"/>
        </w:rPr>
        <w:t>天，且不得超过质押券的存续期间。协议回购的利率和折算比例不得超过</w:t>
      </w:r>
      <w:r>
        <w:rPr>
          <w:rFonts w:ascii="Times New Roman" w:hAnsi="Times New Roman"/>
        </w:rPr>
        <w:t>100%</w:t>
      </w:r>
      <w:r>
        <w:rPr>
          <w:rFonts w:ascii="Times New Roman"/>
        </w:rPr>
        <w:t>。</w:t>
      </w:r>
    </w:p>
    <w:p w14:paraId="69A9548C">
      <w:pPr>
        <w:ind w:firstLine="600"/>
        <w:rPr>
          <w:rFonts w:ascii="Times New Roman" w:hAnsi="Times New Roman"/>
        </w:rPr>
      </w:pPr>
      <w:r>
        <w:rPr>
          <w:rFonts w:ascii="Times New Roman" w:hAnsi="Times New Roman"/>
        </w:rPr>
        <w:t>5.</w:t>
      </w:r>
      <w:r>
        <w:rPr>
          <w:rFonts w:ascii="Times New Roman"/>
        </w:rPr>
        <w:t>协议回购交易经双方协商一致后，由正回购方发起成交申报，填妥交易要素后发送到逆回购方，经逆回购方确认后成交。</w:t>
      </w:r>
    </w:p>
    <w:p w14:paraId="201D7792">
      <w:pPr>
        <w:ind w:firstLine="600"/>
        <w:rPr>
          <w:rFonts w:ascii="Times New Roman" w:hAnsi="Times New Roman"/>
        </w:rPr>
      </w:pPr>
      <w:r>
        <w:rPr>
          <w:rFonts w:ascii="Times New Roman" w:hAnsi="Times New Roman"/>
        </w:rPr>
        <w:t>6.</w:t>
      </w:r>
      <w:r>
        <w:rPr>
          <w:rFonts w:ascii="Times New Roman"/>
        </w:rPr>
        <w:t>正回购方当日买入的公募</w:t>
      </w:r>
      <w:r>
        <w:rPr>
          <w:rFonts w:ascii="Times New Roman" w:hAnsi="Times New Roman"/>
        </w:rPr>
        <w:t>REITs</w:t>
      </w:r>
      <w:r>
        <w:rPr>
          <w:rFonts w:ascii="Times New Roman"/>
        </w:rPr>
        <w:t>，属于净额结算券种的，当日不得作为协议回购的质押券。正回购方已经申报用于协议回购的公募</w:t>
      </w:r>
      <w:r>
        <w:rPr>
          <w:rFonts w:ascii="Times New Roman" w:hAnsi="Times New Roman"/>
        </w:rPr>
        <w:t>REITs</w:t>
      </w:r>
      <w:r>
        <w:rPr>
          <w:rFonts w:ascii="Times New Roman"/>
        </w:rPr>
        <w:t>，当日不得申报卖出。</w:t>
      </w:r>
    </w:p>
    <w:p w14:paraId="2580E76B">
      <w:pPr>
        <w:ind w:firstLine="600"/>
        <w:rPr>
          <w:rFonts w:ascii="Times New Roman" w:hAnsi="Times New Roman"/>
        </w:rPr>
      </w:pPr>
      <w:r>
        <w:rPr>
          <w:rFonts w:ascii="Times New Roman" w:hAnsi="Times New Roman"/>
        </w:rPr>
        <w:t>7.</w:t>
      </w:r>
      <w:r>
        <w:rPr>
          <w:rFonts w:ascii="Times New Roman"/>
        </w:rPr>
        <w:t>正回购方可以通过成交申报批量提交多个质押券，经逆回购方确认申报后，交易系统按质押券种分拆逐笔成交。</w:t>
      </w:r>
    </w:p>
    <w:p w14:paraId="5D3AC35E">
      <w:pPr>
        <w:ind w:firstLine="600"/>
        <w:rPr>
          <w:rFonts w:ascii="Times New Roman" w:hAnsi="Times New Roman"/>
        </w:rPr>
      </w:pPr>
      <w:r>
        <w:rPr>
          <w:rFonts w:ascii="Times New Roman" w:hAnsi="Times New Roman"/>
        </w:rPr>
        <w:t>8.</w:t>
      </w:r>
      <w:r>
        <w:rPr>
          <w:rFonts w:ascii="Times New Roman"/>
        </w:rPr>
        <w:t>协议回购到期结算日，正回购方应当通过交易系统进行到期确认申报或者到期续做申报。</w:t>
      </w:r>
    </w:p>
    <w:p w14:paraId="3265E2A3">
      <w:pPr>
        <w:ind w:firstLine="600"/>
        <w:rPr>
          <w:rFonts w:ascii="Times New Roman" w:hAnsi="Times New Roman"/>
        </w:rPr>
      </w:pPr>
      <w:r>
        <w:rPr>
          <w:rFonts w:ascii="Times New Roman" w:hAnsi="Times New Roman"/>
        </w:rPr>
        <w:t>9.</w:t>
      </w:r>
      <w:r>
        <w:rPr>
          <w:rFonts w:ascii="Times New Roman"/>
        </w:rPr>
        <w:t>到期确认申报是指正回购方确认履行到期回购义务的申报。到期确认申报由正回购方发起，交易系统予以确认，逆回购方无需进行确认申报。</w:t>
      </w:r>
    </w:p>
    <w:p w14:paraId="09B459DD">
      <w:pPr>
        <w:ind w:firstLine="600"/>
        <w:rPr>
          <w:rFonts w:ascii="Times New Roman" w:hAnsi="Times New Roman"/>
        </w:rPr>
      </w:pPr>
      <w:r>
        <w:rPr>
          <w:rFonts w:ascii="Times New Roman" w:hAnsi="Times New Roman"/>
        </w:rPr>
        <w:t>10.</w:t>
      </w:r>
      <w:r>
        <w:rPr>
          <w:rFonts w:ascii="Times New Roman"/>
        </w:rPr>
        <w:t>到期续做是指正回购方在回购到期日，基于到期回购的质押券与原交易对手或其他第三方达成一笔新的回购交易，是两笔单独的回购交易；但在结算环节正回购方的回购续做应收资金和到期回购的应付资金可以轧差结算。到期续做申报由正回购方发起，经续做逆回购方进行确认申报后，由交易系统确认成交。</w:t>
      </w:r>
    </w:p>
    <w:p w14:paraId="66E8342C">
      <w:pPr>
        <w:ind w:firstLine="600"/>
        <w:rPr>
          <w:rFonts w:ascii="Times New Roman" w:hAnsi="Times New Roman"/>
        </w:rPr>
      </w:pPr>
      <w:r>
        <w:rPr>
          <w:rFonts w:ascii="Times New Roman" w:hAnsi="Times New Roman"/>
        </w:rPr>
        <w:t>11.</w:t>
      </w:r>
      <w:r>
        <w:rPr>
          <w:rFonts w:ascii="Times New Roman"/>
        </w:rPr>
        <w:t>协议回购存续期间（不含首次结算日和到期结算日），经双方协商一致，可以对质押券进行变更。质押券变更申报由正回购方发起，经逆回购方进行确认申报后，由交易系统予以确认。</w:t>
      </w:r>
    </w:p>
    <w:p w14:paraId="7526615C">
      <w:pPr>
        <w:ind w:firstLine="600"/>
        <w:rPr>
          <w:rFonts w:ascii="Times New Roman" w:hAnsi="Times New Roman"/>
        </w:rPr>
      </w:pPr>
      <w:r>
        <w:rPr>
          <w:rFonts w:ascii="Times New Roman" w:hAnsi="Times New Roman"/>
        </w:rPr>
        <w:t>12.</w:t>
      </w:r>
      <w:r>
        <w:rPr>
          <w:rFonts w:ascii="Times New Roman"/>
        </w:rPr>
        <w:t>协议回购存续期间（不含首次结算日和到期结算日），经双方协商一致，协议回购可以提前终止，并按照双方重新商定的回购利率进行结算。提前终止申报由正回购方或者逆回购方发起，经对手方进行确认申报后，由交易系统予以确认。</w:t>
      </w:r>
    </w:p>
    <w:p w14:paraId="5C71FD68">
      <w:pPr>
        <w:ind w:firstLine="600"/>
        <w:rPr>
          <w:rFonts w:ascii="Times New Roman" w:hAnsi="Times New Roman"/>
        </w:rPr>
      </w:pPr>
      <w:r>
        <w:rPr>
          <w:rFonts w:ascii="Times New Roman" w:hAnsi="Times New Roman"/>
        </w:rPr>
        <w:t>13.</w:t>
      </w:r>
      <w:r>
        <w:rPr>
          <w:rFonts w:hint="eastAsia" w:ascii="Times New Roman" w:hAnsi="Times New Roman"/>
        </w:rPr>
        <w:t>公募</w:t>
      </w:r>
      <w:r>
        <w:rPr>
          <w:rFonts w:ascii="Times New Roman" w:hAnsi="Times New Roman"/>
        </w:rPr>
        <w:t>REITs</w:t>
      </w:r>
      <w:r>
        <w:rPr>
          <w:rFonts w:ascii="Times New Roman"/>
        </w:rPr>
        <w:t>在质押期间发生分红等事项，参照《上海证券交易所债券质押式协议回购交易主协议》约定，其中</w:t>
      </w:r>
      <w:r>
        <w:rPr>
          <w:rFonts w:hint="eastAsia" w:ascii="Times New Roman" w:hAnsi="Times New Roman"/>
        </w:rPr>
        <w:t>公募</w:t>
      </w:r>
      <w:r>
        <w:rPr>
          <w:rFonts w:ascii="Times New Roman" w:hAnsi="Times New Roman"/>
        </w:rPr>
        <w:t>REITs</w:t>
      </w:r>
      <w:r>
        <w:rPr>
          <w:rFonts w:ascii="Times New Roman"/>
        </w:rPr>
        <w:t>分红款项归正回购方所有，协议回购发生违约后的协商、担保品处置参照债券标的的相关约定执行。</w:t>
      </w:r>
    </w:p>
    <w:p w14:paraId="1C1369B5">
      <w:pPr>
        <w:pStyle w:val="4"/>
        <w:ind w:firstLine="602"/>
        <w:rPr>
          <w:rFonts w:ascii="Times New Roman" w:hAnsi="Times New Roman"/>
        </w:rPr>
      </w:pPr>
      <w:r>
        <w:rPr>
          <w:rFonts w:ascii="Times New Roman"/>
        </w:rPr>
        <w:t>（二）限售份额融资管理</w:t>
      </w:r>
      <w:bookmarkStart w:id="60" w:name="_GoBack"/>
      <w:bookmarkEnd w:id="60"/>
    </w:p>
    <w:p w14:paraId="2FCAFFF3">
      <w:pPr>
        <w:ind w:firstLine="600"/>
        <w:rPr>
          <w:rFonts w:ascii="Times New Roman" w:hAnsi="Times New Roman"/>
        </w:rPr>
      </w:pPr>
      <w:r>
        <w:rPr>
          <w:rFonts w:hint="eastAsia" w:ascii="Times New Roman"/>
        </w:rPr>
        <w:t>不动产</w:t>
      </w:r>
      <w:r>
        <w:rPr>
          <w:rFonts w:ascii="Times New Roman"/>
        </w:rPr>
        <w:t>项目原始权益人或其同一控制下的关联方，向本所申请办理质押式协议回购，应确保其质押行为符合《公开募集基础设施证券投资基金指引（试行）》的有关规定以及其他相关约定。</w:t>
      </w:r>
    </w:p>
    <w:p w14:paraId="19C9D3CA">
      <w:pPr>
        <w:ind w:firstLine="600"/>
        <w:rPr>
          <w:rFonts w:ascii="Times New Roman" w:hAnsi="Times New Roman"/>
        </w:rPr>
      </w:pPr>
      <w:r>
        <w:rPr>
          <w:rFonts w:ascii="Times New Roman"/>
        </w:rPr>
        <w:t>公募</w:t>
      </w:r>
      <w:r>
        <w:rPr>
          <w:rFonts w:ascii="Times New Roman" w:hAnsi="Times New Roman"/>
        </w:rPr>
        <w:t>REITs</w:t>
      </w:r>
      <w:r>
        <w:rPr>
          <w:rFonts w:ascii="Times New Roman"/>
        </w:rPr>
        <w:t>投资者使用</w:t>
      </w:r>
      <w:r>
        <w:rPr>
          <w:rFonts w:hint="eastAsia" w:ascii="Times New Roman" w:hAnsi="Times New Roman"/>
        </w:rPr>
        <w:t>公募</w:t>
      </w:r>
      <w:r>
        <w:rPr>
          <w:rFonts w:ascii="Times New Roman" w:hAnsi="Times New Roman"/>
        </w:rPr>
        <w:t>REITs</w:t>
      </w:r>
      <w:r>
        <w:rPr>
          <w:rFonts w:ascii="Times New Roman"/>
        </w:rPr>
        <w:t>基金限售份额作为担保品参加质押式协议回购的，其回购到期日不得早于《公开募集基础设施证券投资基金指引（试行）》及本所相关规则规定的公募</w:t>
      </w:r>
      <w:r>
        <w:rPr>
          <w:rFonts w:ascii="Times New Roman" w:hAnsi="Times New Roman"/>
        </w:rPr>
        <w:t>REITs</w:t>
      </w:r>
      <w:r>
        <w:rPr>
          <w:rFonts w:ascii="Times New Roman"/>
        </w:rPr>
        <w:t>基金份额限售期间、锁定期间。</w:t>
      </w:r>
    </w:p>
    <w:p w14:paraId="6ECE9CEF">
      <w:pPr>
        <w:ind w:firstLine="600"/>
        <w:rPr>
          <w:rFonts w:ascii="Times New Roman" w:hAnsi="Times New Roman"/>
          <w:color w:val="000000"/>
          <w:kern w:val="0"/>
        </w:rPr>
      </w:pPr>
      <w:r>
        <w:rPr>
          <w:rFonts w:ascii="Times New Roman"/>
          <w:color w:val="000000"/>
          <w:kern w:val="0"/>
        </w:rPr>
        <w:t>原始权益人或其同一控制下的关联方在限售</w:t>
      </w:r>
      <w:r>
        <w:rPr>
          <w:rFonts w:hint="eastAsia" w:ascii="Times New Roman"/>
          <w:color w:val="000000"/>
          <w:kern w:val="0"/>
          <w:lang w:eastAsia="zh-CN"/>
        </w:rPr>
        <w:t>期</w:t>
      </w:r>
      <w:r>
        <w:rPr>
          <w:rFonts w:ascii="Times New Roman"/>
          <w:color w:val="000000"/>
          <w:kern w:val="0"/>
        </w:rPr>
        <w:t>届满后参与质押式协议回购、质押式三方回购等业务的，质押的战略配售取得的</w:t>
      </w:r>
      <w:r>
        <w:rPr>
          <w:rFonts w:hint="eastAsia" w:ascii="Times New Roman"/>
          <w:color w:val="000000"/>
          <w:kern w:val="0"/>
        </w:rPr>
        <w:t>不动产</w:t>
      </w:r>
      <w:r>
        <w:rPr>
          <w:rFonts w:ascii="Times New Roman"/>
          <w:color w:val="000000"/>
          <w:kern w:val="0"/>
        </w:rPr>
        <w:t>基金份额累计不得超过其所持全部该类份额的</w:t>
      </w:r>
      <w:r>
        <w:rPr>
          <w:rFonts w:ascii="Times New Roman" w:hAnsi="Times New Roman"/>
          <w:color w:val="000000"/>
          <w:kern w:val="0"/>
        </w:rPr>
        <w:t>50%</w:t>
      </w:r>
      <w:r>
        <w:rPr>
          <w:rFonts w:ascii="Times New Roman"/>
          <w:color w:val="000000"/>
          <w:kern w:val="0"/>
        </w:rPr>
        <w:t>，本所另有规定除外。</w:t>
      </w:r>
    </w:p>
    <w:p w14:paraId="076771A4">
      <w:pPr>
        <w:pStyle w:val="4"/>
        <w:ind w:firstLine="602"/>
        <w:rPr>
          <w:rFonts w:ascii="Times New Roman" w:hAnsi="Times New Roman"/>
        </w:rPr>
      </w:pPr>
      <w:r>
        <w:rPr>
          <w:rFonts w:ascii="Times New Roman"/>
        </w:rPr>
        <w:t>（三）其他融资业务</w:t>
      </w:r>
    </w:p>
    <w:p w14:paraId="267F5AF3">
      <w:pPr>
        <w:ind w:firstLine="600"/>
        <w:rPr>
          <w:rFonts w:ascii="Times New Roman" w:hAnsi="Times New Roman"/>
        </w:rPr>
      </w:pPr>
      <w:r>
        <w:rPr>
          <w:rFonts w:ascii="Times New Roman"/>
        </w:rPr>
        <w:t>本所竞价交易系统上市的允许质押的公募</w:t>
      </w:r>
      <w:r>
        <w:rPr>
          <w:rFonts w:ascii="Times New Roman" w:hAnsi="Times New Roman"/>
        </w:rPr>
        <w:t>REITs</w:t>
      </w:r>
      <w:r>
        <w:rPr>
          <w:rFonts w:ascii="Times New Roman"/>
        </w:rPr>
        <w:t>份额，可以作为股票质押式回购交易补充质押的标的证券。</w:t>
      </w:r>
    </w:p>
    <w:p w14:paraId="7ED0E2DB">
      <w:pPr>
        <w:ind w:firstLine="600"/>
        <w:rPr>
          <w:rFonts w:ascii="Times New Roman" w:hAnsi="Times New Roman"/>
        </w:rPr>
      </w:pPr>
      <w:r>
        <w:rPr>
          <w:rFonts w:ascii="Times New Roman"/>
        </w:rPr>
        <w:t>会员应当加强交易前端控制，不得将公募</w:t>
      </w:r>
      <w:r>
        <w:rPr>
          <w:rFonts w:ascii="Times New Roman" w:hAnsi="Times New Roman"/>
        </w:rPr>
        <w:t>REITs</w:t>
      </w:r>
      <w:r>
        <w:rPr>
          <w:rFonts w:ascii="Times New Roman"/>
        </w:rPr>
        <w:t>份额作为股票质押式回购的初始交易标的证券，不得将不允许质押的公募</w:t>
      </w:r>
      <w:r>
        <w:rPr>
          <w:rFonts w:ascii="Times New Roman" w:hAnsi="Times New Roman"/>
        </w:rPr>
        <w:t>REITs</w:t>
      </w:r>
      <w:r>
        <w:rPr>
          <w:rFonts w:ascii="Times New Roman"/>
        </w:rPr>
        <w:t>份额开展股票质押式回购。如因不当操作导致相关交易完成的，会员应及时要求融入方提前购回</w:t>
      </w:r>
      <w:r>
        <w:rPr>
          <w:rFonts w:hint="eastAsia" w:ascii="Times New Roman"/>
        </w:rPr>
        <w:t>，</w:t>
      </w:r>
      <w:r>
        <w:rPr>
          <w:rFonts w:ascii="Times New Roman"/>
        </w:rPr>
        <w:t>本所将视情况对相关会员采取监管措施或纪律处分。</w:t>
      </w:r>
    </w:p>
    <w:p w14:paraId="2E9BEFCF">
      <w:pPr>
        <w:ind w:firstLine="600"/>
        <w:rPr>
          <w:rFonts w:ascii="Times New Roman"/>
        </w:rPr>
      </w:pPr>
      <w:r>
        <w:rPr>
          <w:rFonts w:ascii="Times New Roman"/>
        </w:rPr>
        <w:t>本所竞价交易系统上市的非限售公募</w:t>
      </w:r>
      <w:r>
        <w:rPr>
          <w:rFonts w:ascii="Times New Roman" w:hAnsi="Times New Roman"/>
        </w:rPr>
        <w:t>REITs</w:t>
      </w:r>
      <w:r>
        <w:rPr>
          <w:rFonts w:hint="eastAsia" w:ascii="Times New Roman" w:hAnsi="Times New Roman"/>
        </w:rPr>
        <w:t>份额</w:t>
      </w:r>
      <w:r>
        <w:rPr>
          <w:rFonts w:ascii="Times New Roman"/>
        </w:rPr>
        <w:t>，可以作为约定购回式证券交易业务的标的证券</w:t>
      </w:r>
      <w:r>
        <w:rPr>
          <w:rFonts w:hint="eastAsia" w:ascii="Times New Roman"/>
        </w:rPr>
        <w:t>。</w:t>
      </w:r>
    </w:p>
    <w:p w14:paraId="2F4BA29B">
      <w:pPr>
        <w:ind w:firstLine="600"/>
        <w:rPr>
          <w:rFonts w:ascii="Times New Roman" w:hAnsi="Times New Roman"/>
        </w:rPr>
      </w:pPr>
      <w:r>
        <w:rPr>
          <w:rFonts w:ascii="Times New Roman"/>
        </w:rPr>
        <w:t>本所竞价交易系统上市的非限售公募</w:t>
      </w:r>
      <w:r>
        <w:rPr>
          <w:rFonts w:ascii="Times New Roman" w:hAnsi="Times New Roman"/>
        </w:rPr>
        <w:t>REITs</w:t>
      </w:r>
      <w:r>
        <w:rPr>
          <w:rFonts w:hint="eastAsia" w:ascii="Times New Roman" w:hAnsi="Times New Roman"/>
        </w:rPr>
        <w:t>份额</w:t>
      </w:r>
      <w:r>
        <w:rPr>
          <w:rFonts w:ascii="Times New Roman"/>
        </w:rPr>
        <w:t>，可以作为融资融券业务的可充抵保证金证券</w:t>
      </w:r>
      <w:r>
        <w:rPr>
          <w:rFonts w:hint="eastAsia" w:ascii="Times New Roman"/>
        </w:rPr>
        <w:t>及担保物</w:t>
      </w:r>
      <w:r>
        <w:rPr>
          <w:rFonts w:ascii="Times New Roman"/>
        </w:rPr>
        <w:t>，折算率上限按照《上海证券交易所融资融券交易实施细则》规定的其他上市证券投资基金实施管理。</w:t>
      </w:r>
    </w:p>
    <w:p w14:paraId="03A9D5F3">
      <w:pPr>
        <w:pStyle w:val="2"/>
        <w:spacing w:before="156" w:after="156"/>
        <w:ind w:firstLine="0" w:firstLineChars="0"/>
        <w:rPr>
          <w:rFonts w:ascii="Times New Roman" w:hAnsi="Times New Roman"/>
        </w:rPr>
      </w:pPr>
      <w:bookmarkStart w:id="6" w:name="_Toc217484330"/>
      <w:r>
        <w:rPr>
          <w:rFonts w:ascii="Times New Roman"/>
        </w:rPr>
        <w:t>第二章</w:t>
      </w:r>
      <w:r>
        <w:rPr>
          <w:rFonts w:ascii="Times New Roman" w:hAnsi="Times New Roman"/>
        </w:rPr>
        <w:t xml:space="preserve">  </w:t>
      </w:r>
      <w:r>
        <w:rPr>
          <w:rFonts w:ascii="Times New Roman"/>
        </w:rPr>
        <w:t>日常运作业务</w:t>
      </w:r>
      <w:bookmarkEnd w:id="6"/>
    </w:p>
    <w:p w14:paraId="25818340">
      <w:pPr>
        <w:pStyle w:val="3"/>
        <w:spacing w:before="156" w:after="156"/>
        <w:ind w:firstLine="643"/>
        <w:rPr>
          <w:rFonts w:ascii="Times New Roman" w:hAnsi="Times New Roman"/>
        </w:rPr>
      </w:pPr>
      <w:bookmarkStart w:id="7" w:name="_Toc217484331"/>
      <w:r>
        <w:rPr>
          <w:rFonts w:ascii="Times New Roman"/>
        </w:rPr>
        <w:t>一、一般规定</w:t>
      </w:r>
      <w:bookmarkEnd w:id="7"/>
    </w:p>
    <w:p w14:paraId="7494FC06">
      <w:pPr>
        <w:pStyle w:val="4"/>
        <w:ind w:firstLine="602"/>
        <w:rPr>
          <w:rFonts w:ascii="Times New Roman" w:hAnsi="Times New Roman"/>
        </w:rPr>
      </w:pPr>
      <w:bookmarkStart w:id="8" w:name="_Toc66805555"/>
      <w:r>
        <w:rPr>
          <w:rFonts w:ascii="Times New Roman"/>
        </w:rPr>
        <w:t>（一）业务申请和信息披露平台</w:t>
      </w:r>
      <w:bookmarkEnd w:id="8"/>
    </w:p>
    <w:p w14:paraId="129560DA">
      <w:pPr>
        <w:ind w:firstLine="600"/>
        <w:rPr>
          <w:rFonts w:ascii="Times New Roman" w:hAnsi="Times New Roman"/>
          <w:kern w:val="0"/>
        </w:rPr>
      </w:pPr>
      <w:r>
        <w:rPr>
          <w:rFonts w:ascii="Times New Roman"/>
          <w:kern w:val="0"/>
        </w:rPr>
        <w:t>基金管理人应通过本所业务管理系统平台提交公募</w:t>
      </w:r>
      <w:r>
        <w:rPr>
          <w:rFonts w:ascii="Times New Roman" w:hAnsi="Times New Roman"/>
          <w:kern w:val="0"/>
        </w:rPr>
        <w:t>REITs</w:t>
      </w:r>
      <w:r>
        <w:rPr>
          <w:rFonts w:ascii="Times New Roman"/>
          <w:kern w:val="0"/>
        </w:rPr>
        <w:t>上市后业务申请及办理信息披露业务。基金管理人可以使用上交所衍生品与基金业务平台</w:t>
      </w:r>
      <w:r>
        <w:rPr>
          <w:rFonts w:ascii="Times New Roman" w:hAnsi="Times New Roman"/>
          <w:kern w:val="0"/>
        </w:rPr>
        <w:t>CA</w:t>
      </w:r>
      <w:r>
        <w:rPr>
          <w:rFonts w:ascii="Times New Roman"/>
          <w:kern w:val="0"/>
        </w:rPr>
        <w:t>证书登录衍生品</w:t>
      </w:r>
      <w:r>
        <w:rPr>
          <w:rFonts w:hint="eastAsia" w:ascii="Times New Roman"/>
          <w:kern w:val="0"/>
        </w:rPr>
        <w:t>与基</w:t>
      </w:r>
      <w:r>
        <w:rPr>
          <w:rFonts w:ascii="Times New Roman"/>
          <w:kern w:val="0"/>
        </w:rPr>
        <w:t>金业务平台</w:t>
      </w:r>
      <w:r>
        <w:rPr>
          <w:rFonts w:hint="eastAsia" w:ascii="Times New Roman"/>
          <w:kern w:val="0"/>
        </w:rPr>
        <w:t>后</w:t>
      </w:r>
      <w:r>
        <w:rPr>
          <w:rFonts w:ascii="Times New Roman"/>
          <w:kern w:val="0"/>
        </w:rPr>
        <w:t>点击</w:t>
      </w:r>
      <w:r>
        <w:rPr>
          <w:rFonts w:ascii="Times New Roman" w:hAnsi="Times New Roman"/>
          <w:kern w:val="0"/>
        </w:rPr>
        <w:t>“</w:t>
      </w:r>
      <w:r>
        <w:rPr>
          <w:rFonts w:ascii="Times New Roman"/>
          <w:kern w:val="0"/>
        </w:rPr>
        <w:t>上市后业务</w:t>
      </w:r>
      <w:r>
        <w:rPr>
          <w:rFonts w:ascii="Times New Roman" w:hAnsi="Times New Roman"/>
          <w:kern w:val="0"/>
        </w:rPr>
        <w:t>”</w:t>
      </w:r>
      <w:r>
        <w:rPr>
          <w:rFonts w:ascii="Times New Roman"/>
          <w:kern w:val="0"/>
        </w:rPr>
        <w:t>跳转，或者使用该</w:t>
      </w:r>
      <w:r>
        <w:rPr>
          <w:rFonts w:ascii="Times New Roman" w:hAnsi="Times New Roman"/>
          <w:kern w:val="0"/>
        </w:rPr>
        <w:t>CA</w:t>
      </w:r>
      <w:r>
        <w:rPr>
          <w:rFonts w:ascii="Times New Roman"/>
          <w:kern w:val="0"/>
        </w:rPr>
        <w:t>证书直接访问</w:t>
      </w:r>
      <w:r>
        <w:rPr>
          <w:rFonts w:hint="eastAsia" w:ascii="Times New Roman"/>
          <w:kern w:val="0"/>
        </w:rPr>
        <w:t>网址</w:t>
      </w:r>
      <w:r>
        <w:fldChar w:fldCharType="begin"/>
      </w:r>
      <w:r>
        <w:instrText xml:space="preserve"> HYPERLINK "https://bmsp.uap.sse.com.cn/" </w:instrText>
      </w:r>
      <w:r>
        <w:fldChar w:fldCharType="separate"/>
      </w:r>
      <w:r>
        <w:rPr>
          <w:rFonts w:ascii="Times New Roman" w:hAnsi="Times New Roman"/>
          <w:kern w:val="0"/>
        </w:rPr>
        <w:t>https://bmsp.uap.sse.com.cn/</w:t>
      </w:r>
      <w:r>
        <w:rPr>
          <w:rFonts w:ascii="Times New Roman" w:hAnsi="Times New Roman"/>
          <w:kern w:val="0"/>
        </w:rPr>
        <w:fldChar w:fldCharType="end"/>
      </w:r>
      <w:r>
        <w:rPr>
          <w:rFonts w:ascii="Times New Roman"/>
          <w:kern w:val="0"/>
        </w:rPr>
        <w:t>选择债券业务模板</w:t>
      </w:r>
      <w:r>
        <w:rPr>
          <w:rFonts w:hint="eastAsia" w:ascii="Times New Roman"/>
          <w:kern w:val="0"/>
        </w:rPr>
        <w:t>，进入</w:t>
      </w:r>
      <w:r>
        <w:rPr>
          <w:rFonts w:ascii="Times New Roman"/>
          <w:kern w:val="0"/>
        </w:rPr>
        <w:t>本所业务管理系统平台</w:t>
      </w:r>
      <w:r>
        <w:rPr>
          <w:rFonts w:ascii="Times New Roman" w:hAnsi="Times New Roman"/>
        </w:rPr>
        <w:t>办理</w:t>
      </w:r>
      <w:r>
        <w:rPr>
          <w:rFonts w:ascii="Times New Roman"/>
          <w:kern w:val="0"/>
        </w:rPr>
        <w:t>公募</w:t>
      </w:r>
      <w:r>
        <w:rPr>
          <w:rFonts w:ascii="Times New Roman" w:hAnsi="Times New Roman"/>
          <w:kern w:val="0"/>
        </w:rPr>
        <w:t>REITs</w:t>
      </w:r>
      <w:r>
        <w:rPr>
          <w:rFonts w:hint="eastAsia" w:ascii="Times New Roman"/>
          <w:kern w:val="0"/>
        </w:rPr>
        <w:t>存续</w:t>
      </w:r>
      <w:r>
        <w:rPr>
          <w:rFonts w:ascii="Times New Roman"/>
          <w:kern w:val="0"/>
        </w:rPr>
        <w:t>业务。基金管理人登录衍生品与基金业务平台使用的</w:t>
      </w:r>
      <w:r>
        <w:rPr>
          <w:rFonts w:ascii="Times New Roman" w:hAnsi="Times New Roman"/>
          <w:kern w:val="0"/>
        </w:rPr>
        <w:t>CA</w:t>
      </w:r>
      <w:r>
        <w:rPr>
          <w:rFonts w:ascii="Times New Roman"/>
          <w:kern w:val="0"/>
        </w:rPr>
        <w:t>证书与发售上市阶段一致，无需重新办理</w:t>
      </w:r>
      <w:r>
        <w:rPr>
          <w:rFonts w:ascii="Times New Roman" w:hAnsi="Times New Roman"/>
          <w:kern w:val="0"/>
        </w:rPr>
        <w:t>CA</w:t>
      </w:r>
      <w:r>
        <w:rPr>
          <w:rFonts w:ascii="Times New Roman"/>
          <w:kern w:val="0"/>
        </w:rPr>
        <w:t>证书。</w:t>
      </w:r>
    </w:p>
    <w:p w14:paraId="07B1499D">
      <w:pPr>
        <w:pStyle w:val="4"/>
        <w:ind w:firstLine="602"/>
        <w:rPr>
          <w:rFonts w:ascii="Times New Roman" w:hAnsi="Times New Roman"/>
        </w:rPr>
      </w:pPr>
      <w:bookmarkStart w:id="9" w:name="_Toc66805556"/>
      <w:r>
        <w:rPr>
          <w:rFonts w:ascii="Times New Roman"/>
        </w:rPr>
        <w:t>（二）信息披露方式</w:t>
      </w:r>
      <w:bookmarkEnd w:id="9"/>
      <w:r>
        <w:rPr>
          <w:rFonts w:ascii="Times New Roman"/>
        </w:rPr>
        <w:t>和公告类别</w:t>
      </w:r>
    </w:p>
    <w:p w14:paraId="3761CB47">
      <w:pPr>
        <w:ind w:firstLine="600"/>
        <w:rPr>
          <w:rFonts w:ascii="Times New Roman" w:hAnsi="Times New Roman"/>
          <w:kern w:val="0"/>
        </w:rPr>
      </w:pPr>
      <w:r>
        <w:rPr>
          <w:rFonts w:ascii="Times New Roman"/>
          <w:kern w:val="0"/>
        </w:rPr>
        <w:t>本所对公开披露的公募</w:t>
      </w:r>
      <w:r>
        <w:rPr>
          <w:rFonts w:ascii="Times New Roman" w:hAnsi="Times New Roman"/>
          <w:kern w:val="0"/>
        </w:rPr>
        <w:t>REITs</w:t>
      </w:r>
      <w:r>
        <w:rPr>
          <w:rFonts w:ascii="Times New Roman"/>
          <w:kern w:val="0"/>
        </w:rPr>
        <w:t>信息进行事前核对或者事前登记、事后核对，其中事前核对是指基金管理人提交的公告经本所形式核对后方可予以披露的方式；事前登记、事后核对是指基金管理人登记上传公告后直接通过本所网站披露，本所</w:t>
      </w:r>
      <w:r>
        <w:rPr>
          <w:rFonts w:ascii="Times New Roman"/>
        </w:rPr>
        <w:t>不对公告</w:t>
      </w:r>
      <w:r>
        <w:rPr>
          <w:rFonts w:ascii="Times New Roman"/>
          <w:kern w:val="0"/>
        </w:rPr>
        <w:t>进行事前形式</w:t>
      </w:r>
      <w:r>
        <w:rPr>
          <w:rFonts w:hint="eastAsia" w:ascii="Times New Roman"/>
          <w:kern w:val="0"/>
          <w:lang w:eastAsia="zh-CN"/>
        </w:rPr>
        <w:t>核对</w:t>
      </w:r>
      <w:r>
        <w:rPr>
          <w:rFonts w:ascii="Times New Roman"/>
          <w:kern w:val="0"/>
        </w:rPr>
        <w:t>的方式。</w:t>
      </w:r>
    </w:p>
    <w:p w14:paraId="3DC021F5">
      <w:pPr>
        <w:ind w:firstLine="600"/>
        <w:rPr>
          <w:rFonts w:ascii="Times New Roman" w:hAnsi="Times New Roman"/>
          <w:kern w:val="0"/>
        </w:rPr>
      </w:pPr>
      <w:r>
        <w:rPr>
          <w:rFonts w:ascii="Times New Roman"/>
          <w:kern w:val="0"/>
        </w:rPr>
        <w:t>基金管理人应根据信息披露事项的内容，按照公募</w:t>
      </w:r>
      <w:r>
        <w:rPr>
          <w:rFonts w:ascii="Times New Roman" w:hAnsi="Times New Roman"/>
          <w:kern w:val="0"/>
        </w:rPr>
        <w:t>REITs</w:t>
      </w:r>
      <w:r>
        <w:rPr>
          <w:rFonts w:ascii="Times New Roman"/>
          <w:kern w:val="0"/>
        </w:rPr>
        <w:t>公告类别（详见附件</w:t>
      </w:r>
      <w:r>
        <w:rPr>
          <w:rFonts w:ascii="Times New Roman" w:hAnsi="Times New Roman"/>
          <w:kern w:val="0"/>
        </w:rPr>
        <w:t>1</w:t>
      </w:r>
      <w:r>
        <w:rPr>
          <w:rFonts w:ascii="Times New Roman"/>
          <w:kern w:val="0"/>
        </w:rPr>
        <w:t>）提交信息披露文件。由于不同的信息披露公告类别对应不同的披露模式、审核流程以及业务操作等，基金管理人务必准确选择信息披露公告类型。</w:t>
      </w:r>
    </w:p>
    <w:p w14:paraId="0EE39291">
      <w:pPr>
        <w:pStyle w:val="4"/>
        <w:ind w:firstLine="602"/>
        <w:rPr>
          <w:rFonts w:ascii="Times New Roman" w:hAnsi="Times New Roman"/>
        </w:rPr>
      </w:pPr>
      <w:bookmarkStart w:id="10" w:name="_Toc66805557"/>
      <w:r>
        <w:rPr>
          <w:rFonts w:ascii="Times New Roman"/>
        </w:rPr>
        <w:t>（三）信息披露文件发布</w:t>
      </w:r>
      <w:r>
        <w:rPr>
          <w:rFonts w:hint="eastAsia" w:ascii="Times New Roman"/>
        </w:rPr>
        <w:t>和提交</w:t>
      </w:r>
      <w:r>
        <w:rPr>
          <w:rFonts w:ascii="Times New Roman"/>
        </w:rPr>
        <w:t>时间</w:t>
      </w:r>
      <w:bookmarkEnd w:id="10"/>
    </w:p>
    <w:p w14:paraId="4B7A80FE">
      <w:pPr>
        <w:ind w:firstLine="600"/>
        <w:rPr>
          <w:rFonts w:ascii="Times New Roman"/>
          <w:kern w:val="0"/>
        </w:rPr>
      </w:pPr>
      <w:r>
        <w:rPr>
          <w:rFonts w:ascii="Times New Roman"/>
          <w:kern w:val="0"/>
        </w:rPr>
        <w:t>原则上，基金管理人应当在当日</w:t>
      </w:r>
      <w:r>
        <w:rPr>
          <w:rFonts w:ascii="Times New Roman" w:hAnsi="Times New Roman"/>
          <w:kern w:val="0"/>
        </w:rPr>
        <w:t>15</w:t>
      </w:r>
      <w:r>
        <w:rPr>
          <w:rFonts w:ascii="Times New Roman"/>
          <w:kern w:val="0"/>
        </w:rPr>
        <w:t>:</w:t>
      </w:r>
      <w:r>
        <w:rPr>
          <w:rFonts w:ascii="Times New Roman" w:hAnsi="Times New Roman"/>
          <w:kern w:val="0"/>
        </w:rPr>
        <w:t>30</w:t>
      </w:r>
      <w:r>
        <w:rPr>
          <w:rFonts w:ascii="Times New Roman"/>
          <w:kern w:val="0"/>
        </w:rPr>
        <w:t>之前提交信息披露申请，经本所事前核对或基金管理人完成登记的公告将自交易日</w:t>
      </w:r>
      <w:r>
        <w:rPr>
          <w:rFonts w:hint="eastAsia" w:ascii="Times New Roman"/>
          <w:kern w:val="0"/>
        </w:rPr>
        <w:t>或单一非交易日/连续非交易日的最后一日</w:t>
      </w:r>
      <w:r>
        <w:rPr>
          <w:rFonts w:ascii="Times New Roman" w:hAnsi="Times New Roman"/>
          <w:kern w:val="0"/>
        </w:rPr>
        <w:t>15</w:t>
      </w:r>
      <w:r>
        <w:rPr>
          <w:rFonts w:ascii="Times New Roman"/>
          <w:kern w:val="0"/>
        </w:rPr>
        <w:t>:</w:t>
      </w:r>
      <w:r>
        <w:rPr>
          <w:rFonts w:ascii="Times New Roman" w:hAnsi="Times New Roman"/>
          <w:kern w:val="0"/>
        </w:rPr>
        <w:t>30</w:t>
      </w:r>
      <w:r>
        <w:rPr>
          <w:rFonts w:ascii="Times New Roman"/>
          <w:kern w:val="0"/>
        </w:rPr>
        <w:t>以后通过本所网站披露。</w:t>
      </w:r>
      <w:r>
        <w:rPr>
          <w:rFonts w:hint="eastAsia" w:ascii="Times New Roman"/>
          <w:kern w:val="0"/>
        </w:rPr>
        <w:t>基金管理人应当按照本所有关要求，在交易日早间披露时段（</w:t>
      </w:r>
      <w:r>
        <w:rPr>
          <w:rFonts w:ascii="Times New Roman" w:hAnsi="Times New Roman"/>
          <w:kern w:val="0"/>
        </w:rPr>
        <w:t>7</w:t>
      </w:r>
      <w:r>
        <w:rPr>
          <w:rFonts w:ascii="Times New Roman"/>
          <w:kern w:val="0"/>
        </w:rPr>
        <w:t>:</w:t>
      </w:r>
      <w:r>
        <w:rPr>
          <w:rFonts w:ascii="Times New Roman" w:hAnsi="Times New Roman"/>
          <w:kern w:val="0"/>
        </w:rPr>
        <w:t>30</w:t>
      </w:r>
      <w:r>
        <w:rPr>
          <w:rFonts w:ascii="Times New Roman"/>
          <w:kern w:val="0"/>
        </w:rPr>
        <w:t>-</w:t>
      </w:r>
      <w:r>
        <w:rPr>
          <w:rFonts w:ascii="Times New Roman" w:hAnsi="Times New Roman"/>
          <w:kern w:val="0"/>
        </w:rPr>
        <w:t>8</w:t>
      </w:r>
      <w:r>
        <w:rPr>
          <w:rFonts w:ascii="Times New Roman"/>
          <w:kern w:val="0"/>
        </w:rPr>
        <w:t>:</w:t>
      </w:r>
      <w:r>
        <w:rPr>
          <w:rFonts w:ascii="Times New Roman" w:hAnsi="Times New Roman"/>
          <w:kern w:val="0"/>
        </w:rPr>
        <w:t>30</w:t>
      </w:r>
      <w:r>
        <w:rPr>
          <w:rFonts w:hint="eastAsia" w:ascii="Times New Roman"/>
          <w:kern w:val="0"/>
        </w:rPr>
        <w:t>）或午间披露时段（</w:t>
      </w:r>
      <w:r>
        <w:rPr>
          <w:rFonts w:ascii="Times New Roman" w:hAnsi="Times New Roman"/>
          <w:kern w:val="0"/>
        </w:rPr>
        <w:t>11</w:t>
      </w:r>
      <w:r>
        <w:rPr>
          <w:rFonts w:ascii="Times New Roman"/>
          <w:kern w:val="0"/>
        </w:rPr>
        <w:t>:</w:t>
      </w:r>
      <w:r>
        <w:rPr>
          <w:rFonts w:ascii="Times New Roman" w:hAnsi="Times New Roman"/>
          <w:kern w:val="0"/>
        </w:rPr>
        <w:t>30</w:t>
      </w:r>
      <w:r>
        <w:rPr>
          <w:rFonts w:ascii="Times New Roman"/>
          <w:kern w:val="0"/>
        </w:rPr>
        <w:t>-</w:t>
      </w:r>
      <w:r>
        <w:rPr>
          <w:rFonts w:ascii="Times New Roman" w:hAnsi="Times New Roman"/>
          <w:kern w:val="0"/>
        </w:rPr>
        <w:t>12</w:t>
      </w:r>
      <w:r>
        <w:rPr>
          <w:rFonts w:ascii="Times New Roman"/>
          <w:kern w:val="0"/>
        </w:rPr>
        <w:t>:</w:t>
      </w:r>
      <w:r>
        <w:rPr>
          <w:rFonts w:ascii="Times New Roman" w:hAnsi="Times New Roman"/>
          <w:kern w:val="0"/>
        </w:rPr>
        <w:t>30</w:t>
      </w:r>
      <w:r>
        <w:rPr>
          <w:rFonts w:hint="eastAsia" w:ascii="Times New Roman"/>
          <w:kern w:val="0"/>
        </w:rPr>
        <w:t>）内，披露澄清公告和紧急停牌公告。</w:t>
      </w:r>
    </w:p>
    <w:p w14:paraId="35B37295">
      <w:pPr>
        <w:pStyle w:val="3"/>
        <w:spacing w:before="156" w:after="156"/>
        <w:ind w:firstLine="643"/>
        <w:rPr>
          <w:rFonts w:ascii="Times New Roman" w:hAnsi="Times New Roman"/>
        </w:rPr>
      </w:pPr>
      <w:bookmarkStart w:id="11" w:name="_Toc217484332"/>
      <w:bookmarkStart w:id="12" w:name="_Toc72419509"/>
      <w:r>
        <w:rPr>
          <w:rFonts w:ascii="Times New Roman"/>
        </w:rPr>
        <w:t>二、暂停（恢复）转托管</w:t>
      </w:r>
      <w:bookmarkEnd w:id="11"/>
      <w:bookmarkEnd w:id="12"/>
    </w:p>
    <w:p w14:paraId="403F7D98">
      <w:pPr>
        <w:pStyle w:val="4"/>
        <w:ind w:firstLine="602"/>
        <w:rPr>
          <w:rFonts w:ascii="Times New Roman" w:hAnsi="Times New Roman"/>
        </w:rPr>
      </w:pPr>
      <w:bookmarkStart w:id="13" w:name="_Toc72419510"/>
      <w:r>
        <w:rPr>
          <w:rFonts w:ascii="Times New Roman"/>
        </w:rPr>
        <w:t>（一）适用情形</w:t>
      </w:r>
      <w:bookmarkEnd w:id="13"/>
    </w:p>
    <w:p w14:paraId="5EC20449">
      <w:pPr>
        <w:ind w:firstLine="600"/>
        <w:rPr>
          <w:rFonts w:ascii="Times New Roman"/>
        </w:rPr>
      </w:pPr>
      <w:r>
        <w:rPr>
          <w:rFonts w:ascii="Times New Roman"/>
        </w:rPr>
        <w:t>本流程适用于公募</w:t>
      </w:r>
      <w:r>
        <w:rPr>
          <w:rFonts w:ascii="Times New Roman" w:hAnsi="Times New Roman"/>
        </w:rPr>
        <w:t>REITs</w:t>
      </w:r>
      <w:r>
        <w:rPr>
          <w:rFonts w:ascii="Times New Roman"/>
        </w:rPr>
        <w:t>上市后转托管的暂停及恢复业务。</w:t>
      </w:r>
    </w:p>
    <w:p w14:paraId="542B5D14">
      <w:pPr>
        <w:widowControl/>
        <w:spacing w:line="240" w:lineRule="auto"/>
        <w:ind w:firstLine="0" w:firstLineChars="0"/>
        <w:jc w:val="left"/>
        <w:rPr>
          <w:rFonts w:ascii="Times New Roman"/>
        </w:rPr>
      </w:pPr>
      <w:r>
        <w:rPr>
          <w:rFonts w:ascii="Times New Roman"/>
        </w:rPr>
        <w:br w:type="page"/>
      </w:r>
    </w:p>
    <w:p w14:paraId="1E9EAC13">
      <w:pPr>
        <w:pStyle w:val="4"/>
        <w:ind w:firstLine="602"/>
        <w:rPr>
          <w:rFonts w:ascii="Times New Roman" w:hAnsi="Times New Roman"/>
        </w:rPr>
      </w:pPr>
      <w:bookmarkStart w:id="14" w:name="_Toc72419511"/>
      <w:r>
        <w:rPr>
          <w:rFonts w:ascii="Times New Roman" w:hAnsi="Times New Roman"/>
        </w:rPr>
        <w:t>（二）办理时间</w:t>
      </w:r>
      <w:bookmarkEnd w:id="14"/>
    </w:p>
    <w:p w14:paraId="483C0648">
      <w:pPr>
        <w:spacing w:line="400" w:lineRule="exact"/>
        <w:ind w:firstLine="0" w:firstLineChars="0"/>
        <w:rPr>
          <w:rFonts w:ascii="Times New Roman" w:hAnsi="Times New Roman"/>
          <w:sz w:val="28"/>
        </w:rPr>
      </w:pPr>
      <w:r>
        <w:rPr>
          <w:rFonts w:ascii="Times New Roman" w:hAnsi="Times New Roman"/>
          <w:sz w:val="28"/>
        </w:rPr>
        <mc:AlternateContent>
          <mc:Choice Requires="wpg">
            <w:drawing>
              <wp:anchor distT="0" distB="0" distL="114300" distR="114300" simplePos="0" relativeHeight="251659264" behindDoc="0" locked="0" layoutInCell="1" allowOverlap="1">
                <wp:simplePos x="0" y="0"/>
                <wp:positionH relativeFrom="column">
                  <wp:posOffset>680085</wp:posOffset>
                </wp:positionH>
                <wp:positionV relativeFrom="paragraph">
                  <wp:posOffset>-8255</wp:posOffset>
                </wp:positionV>
                <wp:extent cx="4319905" cy="923290"/>
                <wp:effectExtent l="0" t="0" r="4445" b="0"/>
                <wp:wrapNone/>
                <wp:docPr id="242" name="Group 238"/>
                <wp:cNvGraphicFramePr/>
                <a:graphic xmlns:a="http://schemas.openxmlformats.org/drawingml/2006/main">
                  <a:graphicData uri="http://schemas.microsoft.com/office/word/2010/wordprocessingGroup">
                    <wpg:wgp>
                      <wpg:cNvGrpSpPr/>
                      <wpg:grpSpPr>
                        <a:xfrm>
                          <a:off x="0" y="0"/>
                          <a:ext cx="4319905" cy="923290"/>
                          <a:chOff x="2815" y="4269"/>
                          <a:chExt cx="6803" cy="1454"/>
                        </a:xfrm>
                        <a:effectLst/>
                      </wpg:grpSpPr>
                      <wps:wsp>
                        <wps:cNvPr id="243" name="AutoShape 239"/>
                        <wps:cNvCnPr>
                          <a:cxnSpLocks noChangeShapeType="1"/>
                        </wps:cNvCnPr>
                        <wps:spPr bwMode="auto">
                          <a:xfrm>
                            <a:off x="2815" y="5276"/>
                            <a:ext cx="6803" cy="0"/>
                          </a:xfrm>
                          <a:prstGeom prst="straightConnector1">
                            <a:avLst/>
                          </a:prstGeom>
                          <a:noFill/>
                          <a:ln w="19050">
                            <a:solidFill>
                              <a:srgbClr val="000000"/>
                            </a:solidFill>
                            <a:miter lim="800000"/>
                            <a:tailEnd type="triangle" w="med" len="med"/>
                          </a:ln>
                          <a:effectLst/>
                        </wps:spPr>
                        <wps:bodyPr/>
                      </wps:wsp>
                      <wps:wsp>
                        <wps:cNvPr id="244" name="Line 240"/>
                        <wps:cNvCnPr>
                          <a:cxnSpLocks noChangeShapeType="1"/>
                        </wps:cNvCnPr>
                        <wps:spPr bwMode="auto">
                          <a:xfrm>
                            <a:off x="4665" y="5097"/>
                            <a:ext cx="0" cy="170"/>
                          </a:xfrm>
                          <a:prstGeom prst="line">
                            <a:avLst/>
                          </a:prstGeom>
                          <a:noFill/>
                          <a:ln w="19050">
                            <a:solidFill>
                              <a:srgbClr val="000000"/>
                            </a:solidFill>
                            <a:miter lim="800000"/>
                          </a:ln>
                          <a:effectLst/>
                        </wps:spPr>
                        <wps:bodyPr/>
                      </wps:wsp>
                      <wps:wsp>
                        <wps:cNvPr id="245" name="Line 241"/>
                        <wps:cNvCnPr>
                          <a:cxnSpLocks noChangeShapeType="1"/>
                        </wps:cNvCnPr>
                        <wps:spPr bwMode="auto">
                          <a:xfrm>
                            <a:off x="7504" y="5109"/>
                            <a:ext cx="0" cy="170"/>
                          </a:xfrm>
                          <a:prstGeom prst="line">
                            <a:avLst/>
                          </a:prstGeom>
                          <a:noFill/>
                          <a:ln w="19050">
                            <a:solidFill>
                              <a:srgbClr val="000000"/>
                            </a:solidFill>
                            <a:miter lim="800000"/>
                          </a:ln>
                          <a:effectLst/>
                        </wps:spPr>
                        <wps:bodyPr/>
                      </wps:wsp>
                      <wps:wsp>
                        <wps:cNvPr id="247" name="Text Box 242"/>
                        <wps:cNvSpPr txBox="1">
                          <a:spLocks noChangeArrowheads="1"/>
                        </wps:cNvSpPr>
                        <wps:spPr bwMode="auto">
                          <a:xfrm>
                            <a:off x="3784" y="5279"/>
                            <a:ext cx="1740" cy="444"/>
                          </a:xfrm>
                          <a:prstGeom prst="rect">
                            <a:avLst/>
                          </a:prstGeom>
                          <a:noFill/>
                          <a:ln>
                            <a:noFill/>
                          </a:ln>
                          <a:effectLst/>
                        </wps:spPr>
                        <wps:txbx>
                          <w:txbxContent>
                            <w:p w14:paraId="1B42E701">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T-2 12点前</w:t>
                              </w:r>
                            </w:p>
                          </w:txbxContent>
                        </wps:txbx>
                        <wps:bodyPr rot="0" vert="horz" wrap="square" lIns="91440" tIns="45720" rIns="91440" bIns="45720" anchor="t" anchorCtr="0" upright="1">
                          <a:spAutoFit/>
                        </wps:bodyPr>
                      </wps:wsp>
                      <wps:wsp>
                        <wps:cNvPr id="248" name="Text Box 243"/>
                        <wps:cNvSpPr txBox="1">
                          <a:spLocks noChangeArrowheads="1"/>
                        </wps:cNvSpPr>
                        <wps:spPr bwMode="auto">
                          <a:xfrm>
                            <a:off x="7077" y="5266"/>
                            <a:ext cx="853" cy="444"/>
                          </a:xfrm>
                          <a:prstGeom prst="rect">
                            <a:avLst/>
                          </a:prstGeom>
                          <a:noFill/>
                          <a:ln>
                            <a:noFill/>
                          </a:ln>
                          <a:effectLst/>
                        </wps:spPr>
                        <wps:txbx>
                          <w:txbxContent>
                            <w:p w14:paraId="7C739A06">
                              <w:pPr>
                                <w:pStyle w:val="16"/>
                                <w:spacing w:before="0" w:beforeAutospacing="0" w:after="0" w:afterAutospacing="0" w:line="300" w:lineRule="exact"/>
                                <w:ind w:firstLine="210" w:firstLineChars="100"/>
                                <w:rPr>
                                  <w:rFonts w:ascii="Times New Roman" w:hAnsi="Times New Roman" w:cs="Times New Roman"/>
                                  <w:sz w:val="21"/>
                                  <w:szCs w:val="21"/>
                                </w:rPr>
                              </w:pPr>
                              <w:r>
                                <w:rPr>
                                  <w:rFonts w:ascii="Times New Roman" w:hAnsi="Times New Roman" w:cs="Times New Roman"/>
                                  <w:kern w:val="24"/>
                                  <w:sz w:val="21"/>
                                  <w:szCs w:val="21"/>
                                </w:rPr>
                                <w:t>T</w:t>
                              </w:r>
                            </w:p>
                          </w:txbxContent>
                        </wps:txbx>
                        <wps:bodyPr rot="0" vert="horz" wrap="square" lIns="91440" tIns="45720" rIns="91440" bIns="45720" anchor="t" anchorCtr="0" upright="1">
                          <a:spAutoFit/>
                        </wps:bodyPr>
                      </wps:wsp>
                      <wps:wsp>
                        <wps:cNvPr id="249" name="Text Box 244"/>
                        <wps:cNvSpPr txBox="1">
                          <a:spLocks noChangeArrowheads="1"/>
                        </wps:cNvSpPr>
                        <wps:spPr bwMode="auto">
                          <a:xfrm>
                            <a:off x="6534" y="4269"/>
                            <a:ext cx="1871" cy="744"/>
                          </a:xfrm>
                          <a:prstGeom prst="rect">
                            <a:avLst/>
                          </a:prstGeom>
                          <a:noFill/>
                          <a:ln>
                            <a:noFill/>
                          </a:ln>
                          <a:effectLst/>
                        </wps:spPr>
                        <wps:txbx>
                          <w:txbxContent>
                            <w:p w14:paraId="740A019F">
                              <w:pPr>
                                <w:pStyle w:val="16"/>
                                <w:spacing w:before="0" w:beforeAutospacing="0" w:after="0" w:afterAutospacing="0" w:line="300" w:lineRule="exact"/>
                                <w:ind w:firstLine="0" w:firstLineChars="0"/>
                                <w:jc w:val="center"/>
                                <w:rPr>
                                  <w:rFonts w:hint="eastAsia"/>
                                  <w:sz w:val="21"/>
                                  <w:szCs w:val="21"/>
                                </w:rPr>
                              </w:pPr>
                              <w:r>
                                <w:rPr>
                                  <w:rFonts w:ascii="仿宋_GB2312" w:hAnsi="仿宋"/>
                                  <w:sz w:val="21"/>
                                  <w:szCs w:val="21"/>
                                </w:rPr>
                                <w:t>暂停</w:t>
                              </w:r>
                              <w:r>
                                <w:rPr>
                                  <w:rFonts w:hint="eastAsia" w:ascii="仿宋_GB2312" w:hAnsi="仿宋"/>
                                  <w:sz w:val="21"/>
                                  <w:szCs w:val="21"/>
                                </w:rPr>
                                <w:t>（恢复）</w:t>
                              </w:r>
                              <w:r>
                                <w:rPr>
                                  <w:rFonts w:ascii="仿宋_GB2312" w:hAnsi="仿宋"/>
                                  <w:sz w:val="21"/>
                                  <w:szCs w:val="21"/>
                                </w:rPr>
                                <w:t>转托管</w:t>
                              </w:r>
                              <w:r>
                                <w:rPr>
                                  <w:rFonts w:hint="eastAsia" w:ascii="仿宋_GB2312" w:hAnsi="仿宋"/>
                                  <w:sz w:val="21"/>
                                  <w:szCs w:val="21"/>
                                </w:rPr>
                                <w:t>起始日</w:t>
                              </w:r>
                            </w:p>
                          </w:txbxContent>
                        </wps:txbx>
                        <wps:bodyPr rot="0" vert="horz" wrap="square" lIns="91440" tIns="45720" rIns="91440" bIns="45720" anchor="t" anchorCtr="0" upright="1">
                          <a:spAutoFit/>
                        </wps:bodyPr>
                      </wps:wsp>
                      <wps:wsp>
                        <wps:cNvPr id="250" name="Text Box 245"/>
                        <wps:cNvSpPr txBox="1">
                          <a:spLocks noChangeArrowheads="1"/>
                        </wps:cNvSpPr>
                        <wps:spPr bwMode="auto">
                          <a:xfrm>
                            <a:off x="3784" y="4269"/>
                            <a:ext cx="1889" cy="744"/>
                          </a:xfrm>
                          <a:prstGeom prst="rect">
                            <a:avLst/>
                          </a:prstGeom>
                          <a:noFill/>
                          <a:ln>
                            <a:noFill/>
                          </a:ln>
                          <a:effectLst/>
                        </wps:spPr>
                        <wps:txbx>
                          <w:txbxContent>
                            <w:p w14:paraId="2CC14260">
                              <w:pPr>
                                <w:pStyle w:val="16"/>
                                <w:spacing w:before="0" w:beforeAutospacing="0" w:after="0" w:afterAutospacing="0" w:line="300" w:lineRule="exact"/>
                                <w:ind w:firstLine="0" w:firstLineChars="0"/>
                                <w:jc w:val="center"/>
                                <w:rPr>
                                  <w:rFonts w:hint="eastAsia"/>
                                  <w:sz w:val="21"/>
                                  <w:szCs w:val="21"/>
                                </w:rPr>
                              </w:pPr>
                              <w:r>
                                <w:rPr>
                                  <w:rFonts w:hint="eastAsia" w:cs="Times New Roman"/>
                                  <w:kern w:val="24"/>
                                  <w:sz w:val="21"/>
                                  <w:szCs w:val="21"/>
                                </w:rPr>
                                <w:t>提交暂停（恢复）转托管公告</w:t>
                              </w:r>
                            </w:p>
                          </w:txbxContent>
                        </wps:txbx>
                        <wps:bodyPr rot="0" vert="horz" wrap="square" lIns="91440" tIns="45720" rIns="91440" bIns="45720" anchor="t" anchorCtr="0" upright="1">
                          <a:spAutoFit/>
                        </wps:bodyPr>
                      </wps:wsp>
                    </wpg:wgp>
                  </a:graphicData>
                </a:graphic>
              </wp:anchor>
            </w:drawing>
          </mc:Choice>
          <mc:Fallback>
            <w:pict>
              <v:group id="Group 238" o:spid="_x0000_s1026" o:spt="203" style="position:absolute;left:0pt;margin-left:53.55pt;margin-top:-0.65pt;height:72.7pt;width:340.15pt;z-index:251659264;mso-width-relative:page;mso-height-relative:page;" coordorigin="2815,4269" coordsize="6803,1454" o:gfxdata="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Ll2rz7ZAAAACgEAAA8AAAAAAAAA&#10;AQAgAAAAIgAAAGRycy9kb3ducmV2LnhtbFBLAQIUABQAAAAIAIdO4kD+ZI392AMAACkSAAAOAAAA&#10;AAAAAAEAIAAAACgBAABkcnMvZTJvRG9jLnhtbFBLBQYAAAAABgAGAFkBAAByBwAAAAA=&#10;">
                <o:lock v:ext="edit" aspectratio="f"/>
                <v:shape id="AutoShape 239" o:spid="_x0000_s1026" o:spt="32" type="#_x0000_t32" style="position:absolute;left:2815;top:5276;height:0;width:6803;" filled="f" stroked="t" coordsize="21600,21600" o:gfxdata="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p1ZC/&#10;AAAA3AAAAA8AAAAAAAAAAQAgAAAAIgAAAGRycy9kb3ducmV2LnhtbFBLAQIUABQAAAAIAIdO4kAz&#10;LwWeOwAAADkAAAAQAAAAAAAAAAEAIAAAAA4BAABkcnMvc2hhcGV4bWwueG1sUEsFBgAAAAAGAAYA&#10;WwEAALgDAAAAAA==&#10;">
                  <v:fill on="f" focussize="0,0"/>
                  <v:stroke weight="1.5pt" color="#000000" miterlimit="8" joinstyle="miter" endarrow="block"/>
                  <v:imagedata o:title=""/>
                  <o:lock v:ext="edit" aspectratio="f"/>
                </v:shape>
                <v:line id="Line 240" o:spid="_x0000_s1026" o:spt="20" style="position:absolute;left:4665;top:5097;height:170;width:0;" filled="f" stroked="t" coordsize="21600,21600" o:gfxdata="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uFMS/&#10;AAAA3A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Line 241" o:spid="_x0000_s1026" o:spt="20" style="position:absolute;left:7504;top:5109;height:170;width:0;" filled="f" stroked="t" coordsize="21600,21600" o:gfxdata="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isV+/&#10;AAAA3A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shape id="Text Box 242" o:spid="_x0000_s1026" o:spt="202" type="#_x0000_t202" style="position:absolute;left:3784;top:5279;height:444;width:1740;" filled="f" stroked="f" coordsize="21600,21600" o:gfxdata="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s9b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B42E701">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T-2 12点前</w:t>
                        </w:r>
                      </w:p>
                    </w:txbxContent>
                  </v:textbox>
                </v:shape>
                <v:shape id="Text Box 243" o:spid="_x0000_s1026" o:spt="202" type="#_x0000_t202" style="position:absolute;left:7077;top:5266;height:444;width:853;" filled="f" stroked="f" coordsize="21600,21600" o:gfxdata="UEsDBAoAAAAAAIdO4kAAAAAAAAAAAAAAAAAEAAAAZHJzL1BLAwQUAAAACACHTuJA67NhzrkAAADc&#10;AAAADwAAAGRycy9kb3ducmV2LnhtbEVPTWvCQBC9F/wPywi91d1ILS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zYc6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7C739A06">
                        <w:pPr>
                          <w:pStyle w:val="16"/>
                          <w:spacing w:before="0" w:beforeAutospacing="0" w:after="0" w:afterAutospacing="0" w:line="300" w:lineRule="exact"/>
                          <w:ind w:firstLine="210" w:firstLineChars="100"/>
                          <w:rPr>
                            <w:rFonts w:ascii="Times New Roman" w:hAnsi="Times New Roman" w:cs="Times New Roman"/>
                            <w:sz w:val="21"/>
                            <w:szCs w:val="21"/>
                          </w:rPr>
                        </w:pPr>
                        <w:r>
                          <w:rPr>
                            <w:rFonts w:ascii="Times New Roman" w:hAnsi="Times New Roman" w:cs="Times New Roman"/>
                            <w:kern w:val="24"/>
                            <w:sz w:val="21"/>
                            <w:szCs w:val="21"/>
                          </w:rPr>
                          <w:t>T</w:t>
                        </w:r>
                      </w:p>
                    </w:txbxContent>
                  </v:textbox>
                </v:shape>
                <v:shape id="Text Box 244" o:spid="_x0000_s1026" o:spt="202" type="#_x0000_t202" style="position:absolute;left:6534;top:4269;height:744;width:1871;" filled="f" stroked="f" coordsize="21600,21600" o:gfxdata="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xFW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740A019F">
                        <w:pPr>
                          <w:pStyle w:val="16"/>
                          <w:spacing w:before="0" w:beforeAutospacing="0" w:after="0" w:afterAutospacing="0" w:line="300" w:lineRule="exact"/>
                          <w:ind w:firstLine="0" w:firstLineChars="0"/>
                          <w:jc w:val="center"/>
                          <w:rPr>
                            <w:rFonts w:hint="eastAsia"/>
                            <w:sz w:val="21"/>
                            <w:szCs w:val="21"/>
                          </w:rPr>
                        </w:pPr>
                        <w:r>
                          <w:rPr>
                            <w:rFonts w:ascii="仿宋_GB2312" w:hAnsi="仿宋"/>
                            <w:sz w:val="21"/>
                            <w:szCs w:val="21"/>
                          </w:rPr>
                          <w:t>暂停</w:t>
                        </w:r>
                        <w:r>
                          <w:rPr>
                            <w:rFonts w:hint="eastAsia" w:ascii="仿宋_GB2312" w:hAnsi="仿宋"/>
                            <w:sz w:val="21"/>
                            <w:szCs w:val="21"/>
                          </w:rPr>
                          <w:t>（恢复）</w:t>
                        </w:r>
                        <w:r>
                          <w:rPr>
                            <w:rFonts w:ascii="仿宋_GB2312" w:hAnsi="仿宋"/>
                            <w:sz w:val="21"/>
                            <w:szCs w:val="21"/>
                          </w:rPr>
                          <w:t>转托管</w:t>
                        </w:r>
                        <w:r>
                          <w:rPr>
                            <w:rFonts w:hint="eastAsia" w:ascii="仿宋_GB2312" w:hAnsi="仿宋"/>
                            <w:sz w:val="21"/>
                            <w:szCs w:val="21"/>
                          </w:rPr>
                          <w:t>起始日</w:t>
                        </w:r>
                      </w:p>
                    </w:txbxContent>
                  </v:textbox>
                </v:shape>
                <v:shape id="Text Box 245" o:spid="_x0000_s1026" o:spt="202" type="#_x0000_t202" style="position:absolute;left:3784;top:4269;height:744;width:1889;" filled="f" stroked="f" coordsize="21600,21600" o:gfxdata="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c+x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2CC14260">
                        <w:pPr>
                          <w:pStyle w:val="16"/>
                          <w:spacing w:before="0" w:beforeAutospacing="0" w:after="0" w:afterAutospacing="0" w:line="300" w:lineRule="exact"/>
                          <w:ind w:firstLine="0" w:firstLineChars="0"/>
                          <w:jc w:val="center"/>
                          <w:rPr>
                            <w:rFonts w:hint="eastAsia"/>
                            <w:sz w:val="21"/>
                            <w:szCs w:val="21"/>
                          </w:rPr>
                        </w:pPr>
                        <w:r>
                          <w:rPr>
                            <w:rFonts w:hint="eastAsia" w:cs="Times New Roman"/>
                            <w:kern w:val="24"/>
                            <w:sz w:val="21"/>
                            <w:szCs w:val="21"/>
                          </w:rPr>
                          <w:t>提交暂停（恢复）转托管公告</w:t>
                        </w:r>
                      </w:p>
                    </w:txbxContent>
                  </v:textbox>
                </v:shape>
              </v:group>
            </w:pict>
          </mc:Fallback>
        </mc:AlternateContent>
      </w:r>
    </w:p>
    <w:p w14:paraId="41C9C688">
      <w:pPr>
        <w:widowControl/>
        <w:snapToGrid w:val="0"/>
        <w:spacing w:line="300" w:lineRule="exact"/>
        <w:ind w:firstLine="0" w:firstLineChars="0"/>
        <w:jc w:val="center"/>
        <w:rPr>
          <w:rFonts w:ascii="Times New Roman" w:hAnsi="Times New Roman" w:eastAsiaTheme="minorEastAsia"/>
          <w:sz w:val="21"/>
          <w:szCs w:val="21"/>
        </w:rPr>
      </w:pPr>
    </w:p>
    <w:p w14:paraId="74D22918">
      <w:pPr>
        <w:widowControl/>
        <w:snapToGrid w:val="0"/>
        <w:spacing w:line="300" w:lineRule="exact"/>
        <w:ind w:firstLine="0" w:firstLineChars="0"/>
        <w:jc w:val="center"/>
        <w:rPr>
          <w:rFonts w:ascii="Times New Roman" w:hAnsi="Times New Roman" w:eastAsiaTheme="minorEastAsia"/>
          <w:sz w:val="21"/>
          <w:szCs w:val="21"/>
        </w:rPr>
      </w:pPr>
    </w:p>
    <w:p w14:paraId="3D7F67D1">
      <w:pPr>
        <w:widowControl/>
        <w:snapToGrid w:val="0"/>
        <w:spacing w:line="300" w:lineRule="exact"/>
        <w:ind w:firstLine="0" w:firstLineChars="0"/>
        <w:jc w:val="center"/>
        <w:rPr>
          <w:rFonts w:ascii="Times New Roman" w:hAnsi="Times New Roman" w:eastAsiaTheme="minorEastAsia"/>
          <w:sz w:val="21"/>
          <w:szCs w:val="21"/>
        </w:rPr>
      </w:pPr>
    </w:p>
    <w:p w14:paraId="5BBE9E8E">
      <w:pPr>
        <w:widowControl/>
        <w:snapToGrid w:val="0"/>
        <w:spacing w:line="300" w:lineRule="exact"/>
        <w:ind w:firstLine="0" w:firstLineChars="0"/>
        <w:jc w:val="center"/>
        <w:rPr>
          <w:rFonts w:ascii="Times New Roman" w:hAnsi="Times New Roman" w:eastAsiaTheme="minorEastAsia"/>
          <w:sz w:val="21"/>
          <w:szCs w:val="21"/>
        </w:rPr>
      </w:pPr>
    </w:p>
    <w:p w14:paraId="3AD5A16D">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图2-2-1 公募REITs暂停（恢复）转托管业务办理时间</w:t>
      </w:r>
    </w:p>
    <w:p w14:paraId="309EA565">
      <w:pPr>
        <w:ind w:firstLine="600"/>
        <w:rPr>
          <w:rFonts w:ascii="Times New Roman" w:hAnsi="Times New Roman"/>
        </w:rPr>
      </w:pPr>
      <w:r>
        <w:rPr>
          <w:rFonts w:ascii="Times New Roman"/>
        </w:rPr>
        <w:t>基金管理人需至少在暂停（恢复）转托管起始日前</w:t>
      </w:r>
      <w:r>
        <w:rPr>
          <w:rFonts w:ascii="Times New Roman" w:hAnsi="Times New Roman"/>
        </w:rPr>
        <w:t>2</w:t>
      </w:r>
      <w:r>
        <w:rPr>
          <w:rFonts w:ascii="Times New Roman"/>
        </w:rPr>
        <w:t>个交易日提交暂停（恢复）转托管公告（格式参考附件</w:t>
      </w:r>
      <w:r>
        <w:rPr>
          <w:rFonts w:hint="eastAsia" w:ascii="Times New Roman" w:hAnsi="Times New Roman"/>
        </w:rPr>
        <w:t>2</w:t>
      </w:r>
      <w:r>
        <w:rPr>
          <w:rFonts w:ascii="Times New Roman"/>
        </w:rPr>
        <w:t>）。</w:t>
      </w:r>
    </w:p>
    <w:p w14:paraId="513BE284">
      <w:pPr>
        <w:pStyle w:val="4"/>
        <w:ind w:firstLine="602"/>
        <w:rPr>
          <w:rFonts w:ascii="Times New Roman" w:hAnsi="Times New Roman"/>
        </w:rPr>
      </w:pPr>
      <w:bookmarkStart w:id="15" w:name="_Toc72419512"/>
      <w:r>
        <w:rPr>
          <w:rFonts w:ascii="Times New Roman"/>
        </w:rPr>
        <w:t>（三）</w:t>
      </w:r>
      <w:bookmarkEnd w:id="15"/>
      <w:bookmarkStart w:id="16" w:name="_Toc72419513"/>
      <w:r>
        <w:rPr>
          <w:rFonts w:ascii="Times New Roman"/>
        </w:rPr>
        <w:t>具体操作</w:t>
      </w:r>
      <w:bookmarkEnd w:id="16"/>
    </w:p>
    <w:p w14:paraId="016DBF18">
      <w:pPr>
        <w:ind w:firstLine="600"/>
        <w:rPr>
          <w:rFonts w:ascii="Times New Roman" w:hAnsi="Times New Roman"/>
        </w:rPr>
      </w:pPr>
      <w:r>
        <w:rPr>
          <w:rFonts w:ascii="Times New Roman"/>
        </w:rPr>
        <w:t>基金管理人通过业务管理系统平台的</w:t>
      </w:r>
      <w:r>
        <w:rPr>
          <w:rFonts w:ascii="Times New Roman" w:hAnsi="Times New Roman"/>
        </w:rPr>
        <w:t>“REITs-</w:t>
      </w:r>
      <w:r>
        <w:rPr>
          <w:rFonts w:ascii="Times New Roman"/>
        </w:rPr>
        <w:t>暂停恢复转托管</w:t>
      </w:r>
      <w:r>
        <w:rPr>
          <w:rFonts w:ascii="Times New Roman" w:hAnsi="Times New Roman"/>
        </w:rPr>
        <w:t>-</w:t>
      </w:r>
      <w:r>
        <w:rPr>
          <w:rFonts w:ascii="Times New Roman"/>
        </w:rPr>
        <w:t>新建业务申请</w:t>
      </w:r>
      <w:r>
        <w:rPr>
          <w:rFonts w:ascii="Times New Roman" w:hAnsi="Times New Roman"/>
        </w:rPr>
        <w:t>”</w:t>
      </w:r>
      <w:r>
        <w:rPr>
          <w:rFonts w:ascii="Times New Roman"/>
        </w:rPr>
        <w:t>进入暂停（恢复）转托管申请表（见图</w:t>
      </w:r>
      <w:r>
        <w:rPr>
          <w:rFonts w:hint="eastAsia" w:ascii="Times New Roman" w:hAnsi="Times New Roman"/>
        </w:rPr>
        <w:t>2</w:t>
      </w:r>
      <w:r>
        <w:rPr>
          <w:rFonts w:ascii="Times New Roman" w:hAnsi="Times New Roman"/>
        </w:rPr>
        <w:t>-</w:t>
      </w:r>
      <w:r>
        <w:rPr>
          <w:rFonts w:hint="eastAsia" w:ascii="Times New Roman" w:hAnsi="Times New Roman"/>
        </w:rPr>
        <w:t>2</w:t>
      </w:r>
      <w:r>
        <w:rPr>
          <w:rFonts w:ascii="Times New Roman" w:hAnsi="Times New Roman"/>
        </w:rPr>
        <w:t>-</w:t>
      </w:r>
      <w:r>
        <w:rPr>
          <w:rFonts w:hint="eastAsia" w:ascii="Times New Roman" w:hAnsi="Times New Roman"/>
        </w:rPr>
        <w:t>2</w:t>
      </w:r>
      <w:r>
        <w:rPr>
          <w:rFonts w:ascii="Times New Roman"/>
        </w:rPr>
        <w:t>），填写证券代码、暂停转托管起始日、恢复转托管起始日等要素信息，并上传暂停（恢复）转托管公告等材料。上传材料均以</w:t>
      </w:r>
      <w:r>
        <w:rPr>
          <w:rFonts w:ascii="Times New Roman" w:hAnsi="Times New Roman"/>
        </w:rPr>
        <w:t>PDF</w:t>
      </w:r>
      <w:r>
        <w:rPr>
          <w:rFonts w:ascii="Times New Roman"/>
        </w:rPr>
        <w:t>格式的电子文件提交。</w:t>
      </w:r>
    </w:p>
    <w:p w14:paraId="6A48A6BA">
      <w:pPr>
        <w:widowControl/>
        <w:snapToGrid w:val="0"/>
        <w:spacing w:line="240" w:lineRule="auto"/>
        <w:ind w:firstLine="0" w:firstLineChars="0"/>
        <w:jc w:val="center"/>
        <w:rPr>
          <w:rFonts w:ascii="Times New Roman" w:hAnsi="Times New Roman"/>
          <w:sz w:val="28"/>
          <w:szCs w:val="28"/>
        </w:rPr>
      </w:pPr>
      <w:r>
        <w:rPr>
          <w:rFonts w:ascii="Times New Roman"/>
        </w:rPr>
        <w:drawing>
          <wp:inline distT="0" distB="0" distL="0" distR="0">
            <wp:extent cx="5243830" cy="3572510"/>
            <wp:effectExtent l="0" t="0" r="0" b="0"/>
            <wp:docPr id="2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43830" cy="3572510"/>
                    </a:xfrm>
                    <a:prstGeom prst="rect">
                      <a:avLst/>
                    </a:prstGeom>
                    <a:noFill/>
                    <a:ln w="9525">
                      <a:noFill/>
                      <a:miter lim="800000"/>
                      <a:headEnd/>
                      <a:tailEnd/>
                    </a:ln>
                  </pic:spPr>
                </pic:pic>
              </a:graphicData>
            </a:graphic>
          </wp:inline>
        </w:drawing>
      </w:r>
    </w:p>
    <w:p w14:paraId="00311175">
      <w:pPr>
        <w:widowControl/>
        <w:snapToGrid w:val="0"/>
        <w:spacing w:line="300" w:lineRule="exact"/>
        <w:ind w:firstLine="422"/>
        <w:jc w:val="center"/>
        <w:rPr>
          <w:rFonts w:ascii="Times New Roman" w:hAnsi="Times New Roman" w:eastAsiaTheme="minorEastAsia"/>
          <w:b/>
          <w:bCs/>
          <w:sz w:val="21"/>
          <w:szCs w:val="21"/>
        </w:rPr>
      </w:pPr>
      <w:bookmarkStart w:id="17" w:name="_Toc72419514"/>
      <w:r>
        <w:rPr>
          <w:rFonts w:ascii="Times New Roman" w:hAnsi="Times New Roman" w:eastAsiaTheme="minorEastAsia"/>
          <w:b/>
          <w:bCs/>
          <w:sz w:val="21"/>
          <w:szCs w:val="21"/>
        </w:rPr>
        <w:t>图2-2-2 公募REITs暂停（恢复）转托管业务新建申请页面</w:t>
      </w:r>
    </w:p>
    <w:bookmarkEnd w:id="17"/>
    <w:p w14:paraId="757752F3">
      <w:pPr>
        <w:pStyle w:val="3"/>
        <w:spacing w:before="156" w:after="156"/>
        <w:ind w:firstLine="643"/>
        <w:rPr>
          <w:rFonts w:ascii="Times New Roman" w:hAnsi="Times New Roman"/>
        </w:rPr>
      </w:pPr>
      <w:bookmarkStart w:id="18" w:name="_Toc217484333"/>
      <w:r>
        <w:rPr>
          <w:rFonts w:ascii="Times New Roman"/>
        </w:rPr>
        <w:t>三、常规停复牌</w:t>
      </w:r>
      <w:bookmarkEnd w:id="18"/>
    </w:p>
    <w:p w14:paraId="7DB61CE0">
      <w:pPr>
        <w:pStyle w:val="4"/>
        <w:ind w:firstLine="602"/>
        <w:rPr>
          <w:rFonts w:ascii="Times New Roman" w:hAnsi="Times New Roman"/>
        </w:rPr>
      </w:pPr>
      <w:bookmarkStart w:id="19" w:name="_Toc72514096"/>
      <w:r>
        <w:rPr>
          <w:rFonts w:ascii="Times New Roman"/>
        </w:rPr>
        <w:t>（一）临时停牌</w:t>
      </w:r>
      <w:r>
        <w:rPr>
          <w:rFonts w:ascii="Times New Roman" w:hAnsi="Times New Roman"/>
        </w:rPr>
        <w:t>/</w:t>
      </w:r>
      <w:r>
        <w:rPr>
          <w:rFonts w:ascii="Times New Roman"/>
        </w:rPr>
        <w:t>连续停牌</w:t>
      </w:r>
      <w:bookmarkEnd w:id="19"/>
    </w:p>
    <w:p w14:paraId="4E7EBB7B">
      <w:pPr>
        <w:ind w:firstLine="602"/>
        <w:rPr>
          <w:rFonts w:ascii="Times New Roman" w:hAnsi="Times New Roman"/>
          <w:b/>
          <w:szCs w:val="30"/>
        </w:rPr>
      </w:pPr>
      <w:r>
        <w:rPr>
          <w:rFonts w:ascii="Times New Roman" w:hAnsi="Times New Roman"/>
          <w:b/>
          <w:szCs w:val="30"/>
        </w:rPr>
        <w:t>1.适用情形</w:t>
      </w:r>
    </w:p>
    <w:p w14:paraId="6EEB2C22">
      <w:pPr>
        <w:ind w:firstLine="600"/>
        <w:rPr>
          <w:rFonts w:ascii="Times New Roman" w:hAnsi="Times New Roman"/>
        </w:rPr>
      </w:pPr>
      <w:r>
        <w:rPr>
          <w:rFonts w:ascii="Times New Roman"/>
        </w:rPr>
        <w:t>临时停牌是指停牌时间为一天且停牌日期明确的停牌操作。连续停牌是指停牌时间超过一天或停牌终止日不确定的长时间连续停牌操作。</w:t>
      </w:r>
    </w:p>
    <w:p w14:paraId="4F08F502">
      <w:pPr>
        <w:ind w:firstLine="602"/>
        <w:rPr>
          <w:rFonts w:ascii="Times New Roman" w:hAnsi="Times New Roman"/>
          <w:b/>
          <w:szCs w:val="30"/>
        </w:rPr>
      </w:pPr>
      <w:r>
        <w:rPr>
          <w:rFonts w:ascii="Times New Roman" w:hAnsi="Times New Roman"/>
          <w:b/>
          <w:szCs w:val="30"/>
        </w:rPr>
        <w:t>2.办理时间</w:t>
      </w:r>
    </w:p>
    <w:p w14:paraId="25AC33DB">
      <w:pPr>
        <w:keepNext/>
        <w:keepLines/>
        <w:spacing w:before="156" w:beforeLines="50" w:after="156" w:afterLines="50" w:line="400" w:lineRule="exact"/>
        <w:ind w:firstLine="560"/>
        <w:jc w:val="left"/>
        <w:rPr>
          <w:rFonts w:ascii="Times New Roman" w:hAnsi="Times New Roman"/>
          <w:b/>
          <w:bCs/>
          <w:sz w:val="28"/>
          <w:szCs w:val="32"/>
        </w:rPr>
      </w:pPr>
      <w:bookmarkStart w:id="20" w:name="_Toc215590640"/>
      <w:bookmarkStart w:id="21" w:name="_Toc215591052"/>
      <w:bookmarkStart w:id="22" w:name="_Toc215591077"/>
      <w:bookmarkStart w:id="23" w:name="_Toc215590665"/>
      <w:r>
        <w:rPr>
          <w:rFonts w:ascii="Times New Roman" w:hAnsi="Times New Roman"/>
          <w:sz w:val="28"/>
          <w:szCs w:val="28"/>
        </w:rPr>
        <mc:AlternateContent>
          <mc:Choice Requires="wpg">
            <w:drawing>
              <wp:anchor distT="0" distB="0" distL="114300" distR="114300" simplePos="0" relativeHeight="251660288" behindDoc="1" locked="0" layoutInCell="1" allowOverlap="1">
                <wp:simplePos x="0" y="0"/>
                <wp:positionH relativeFrom="column">
                  <wp:posOffset>695325</wp:posOffset>
                </wp:positionH>
                <wp:positionV relativeFrom="paragraph">
                  <wp:posOffset>129540</wp:posOffset>
                </wp:positionV>
                <wp:extent cx="4319905" cy="1042670"/>
                <wp:effectExtent l="0" t="0" r="4445" b="0"/>
                <wp:wrapNone/>
                <wp:docPr id="234" name="Group 247"/>
                <wp:cNvGraphicFramePr/>
                <a:graphic xmlns:a="http://schemas.openxmlformats.org/drawingml/2006/main">
                  <a:graphicData uri="http://schemas.microsoft.com/office/word/2010/wordprocessingGroup">
                    <wpg:wgp>
                      <wpg:cNvGrpSpPr/>
                      <wpg:grpSpPr>
                        <a:xfrm>
                          <a:off x="0" y="0"/>
                          <a:ext cx="4319905" cy="1042670"/>
                          <a:chOff x="2675" y="10432"/>
                          <a:chExt cx="6803" cy="1642"/>
                        </a:xfrm>
                        <a:effectLst/>
                      </wpg:grpSpPr>
                      <wps:wsp>
                        <wps:cNvPr id="235" name="AutoShape 248"/>
                        <wps:cNvCnPr>
                          <a:cxnSpLocks noChangeShapeType="1"/>
                        </wps:cNvCnPr>
                        <wps:spPr bwMode="auto">
                          <a:xfrm>
                            <a:off x="2675" y="11367"/>
                            <a:ext cx="6803" cy="0"/>
                          </a:xfrm>
                          <a:prstGeom prst="straightConnector1">
                            <a:avLst/>
                          </a:prstGeom>
                          <a:noFill/>
                          <a:ln w="19050">
                            <a:solidFill>
                              <a:srgbClr val="000000"/>
                            </a:solidFill>
                            <a:miter lim="800000"/>
                            <a:tailEnd type="triangle" w="med" len="med"/>
                          </a:ln>
                          <a:effectLst/>
                        </wps:spPr>
                        <wps:bodyPr/>
                      </wps:wsp>
                      <wps:wsp>
                        <wps:cNvPr id="236" name="Line 249"/>
                        <wps:cNvCnPr>
                          <a:cxnSpLocks noChangeShapeType="1"/>
                        </wps:cNvCnPr>
                        <wps:spPr bwMode="auto">
                          <a:xfrm>
                            <a:off x="4525" y="11188"/>
                            <a:ext cx="0" cy="170"/>
                          </a:xfrm>
                          <a:prstGeom prst="line">
                            <a:avLst/>
                          </a:prstGeom>
                          <a:noFill/>
                          <a:ln w="19050">
                            <a:solidFill>
                              <a:srgbClr val="000000"/>
                            </a:solidFill>
                            <a:miter lim="800000"/>
                          </a:ln>
                          <a:effectLst/>
                        </wps:spPr>
                        <wps:bodyPr/>
                      </wps:wsp>
                      <wps:wsp>
                        <wps:cNvPr id="237" name="Line 250"/>
                        <wps:cNvCnPr>
                          <a:cxnSpLocks noChangeShapeType="1"/>
                        </wps:cNvCnPr>
                        <wps:spPr bwMode="auto">
                          <a:xfrm>
                            <a:off x="7364" y="11200"/>
                            <a:ext cx="0" cy="170"/>
                          </a:xfrm>
                          <a:prstGeom prst="line">
                            <a:avLst/>
                          </a:prstGeom>
                          <a:noFill/>
                          <a:ln w="19050">
                            <a:solidFill>
                              <a:srgbClr val="000000"/>
                            </a:solidFill>
                            <a:miter lim="800000"/>
                          </a:ln>
                          <a:effectLst/>
                        </wps:spPr>
                        <wps:bodyPr/>
                      </wps:wsp>
                      <wps:wsp>
                        <wps:cNvPr id="238" name="Text Box 251"/>
                        <wps:cNvSpPr txBox="1">
                          <a:spLocks noChangeArrowheads="1"/>
                        </wps:cNvSpPr>
                        <wps:spPr bwMode="auto">
                          <a:xfrm>
                            <a:off x="3644" y="11370"/>
                            <a:ext cx="1740" cy="704"/>
                          </a:xfrm>
                          <a:prstGeom prst="rect">
                            <a:avLst/>
                          </a:prstGeom>
                          <a:noFill/>
                          <a:ln>
                            <a:noFill/>
                          </a:ln>
                          <a:effectLst/>
                        </wps:spPr>
                        <wps:txbx>
                          <w:txbxContent>
                            <w:p w14:paraId="0C13172F">
                              <w:pPr>
                                <w:pStyle w:val="16"/>
                                <w:spacing w:before="0" w:beforeAutospacing="0" w:after="0" w:afterAutospacing="0"/>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 15:30点前</w:t>
                              </w:r>
                            </w:p>
                          </w:txbxContent>
                        </wps:txbx>
                        <wps:bodyPr rot="0" vert="horz" wrap="square" lIns="91440" tIns="45720" rIns="91440" bIns="45720" anchor="t" anchorCtr="0" upright="1">
                          <a:spAutoFit/>
                        </wps:bodyPr>
                      </wps:wsp>
                      <wps:wsp>
                        <wps:cNvPr id="239" name="Text Box 252"/>
                        <wps:cNvSpPr txBox="1">
                          <a:spLocks noChangeArrowheads="1"/>
                        </wps:cNvSpPr>
                        <wps:spPr bwMode="auto">
                          <a:xfrm>
                            <a:off x="6937" y="11357"/>
                            <a:ext cx="853" cy="704"/>
                          </a:xfrm>
                          <a:prstGeom prst="rect">
                            <a:avLst/>
                          </a:prstGeom>
                          <a:noFill/>
                          <a:ln>
                            <a:noFill/>
                          </a:ln>
                          <a:effectLst/>
                        </wps:spPr>
                        <wps:txbx>
                          <w:txbxContent>
                            <w:p w14:paraId="1E00CACC">
                              <w:pPr>
                                <w:pStyle w:val="16"/>
                                <w:spacing w:before="0" w:beforeAutospacing="0" w:after="0" w:afterAutospacing="0"/>
                                <w:ind w:firstLine="174" w:firstLineChars="83"/>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wps:txbx>
                        <wps:bodyPr rot="0" vert="horz" wrap="square" lIns="91440" tIns="45720" rIns="91440" bIns="45720" anchor="t" anchorCtr="0" upright="1">
                          <a:spAutoFit/>
                        </wps:bodyPr>
                      </wps:wsp>
                      <wps:wsp>
                        <wps:cNvPr id="240" name="Text Box 253"/>
                        <wps:cNvSpPr txBox="1">
                          <a:spLocks noChangeArrowheads="1"/>
                        </wps:cNvSpPr>
                        <wps:spPr bwMode="auto">
                          <a:xfrm>
                            <a:off x="6394" y="10672"/>
                            <a:ext cx="1871" cy="444"/>
                          </a:xfrm>
                          <a:prstGeom prst="rect">
                            <a:avLst/>
                          </a:prstGeom>
                          <a:noFill/>
                          <a:ln>
                            <a:noFill/>
                          </a:ln>
                          <a:effectLst/>
                        </wps:spPr>
                        <wps:txbx>
                          <w:txbxContent>
                            <w:p w14:paraId="448E60FA">
                              <w:pPr>
                                <w:pStyle w:val="16"/>
                                <w:spacing w:before="0" w:beforeAutospacing="0" w:after="0" w:afterAutospacing="0" w:line="300" w:lineRule="exact"/>
                                <w:ind w:firstLine="0" w:firstLineChars="0"/>
                                <w:jc w:val="center"/>
                                <w:rPr>
                                  <w:rFonts w:hint="eastAsia"/>
                                  <w:sz w:val="21"/>
                                  <w:szCs w:val="21"/>
                                </w:rPr>
                              </w:pPr>
                              <w:r>
                                <w:rPr>
                                  <w:rFonts w:hint="eastAsia" w:ascii="仿宋_GB2312" w:hAnsi="仿宋"/>
                                  <w:sz w:val="21"/>
                                  <w:szCs w:val="21"/>
                                </w:rPr>
                                <w:t>停牌</w:t>
                              </w:r>
                              <w:r>
                                <w:rPr>
                                  <w:rFonts w:ascii="仿宋_GB2312" w:hAnsi="仿宋"/>
                                  <w:sz w:val="21"/>
                                  <w:szCs w:val="21"/>
                                </w:rPr>
                                <w:t>日</w:t>
                              </w:r>
                            </w:p>
                          </w:txbxContent>
                        </wps:txbx>
                        <wps:bodyPr rot="0" vert="horz" wrap="square" lIns="91440" tIns="45720" rIns="91440" bIns="45720" anchor="t" anchorCtr="0" upright="1">
                          <a:spAutoFit/>
                        </wps:bodyPr>
                      </wps:wsp>
                      <wps:wsp>
                        <wps:cNvPr id="241" name="Text Box 254"/>
                        <wps:cNvSpPr txBox="1">
                          <a:spLocks noChangeArrowheads="1"/>
                        </wps:cNvSpPr>
                        <wps:spPr bwMode="auto">
                          <a:xfrm>
                            <a:off x="3644" y="10432"/>
                            <a:ext cx="1889" cy="444"/>
                          </a:xfrm>
                          <a:prstGeom prst="rect">
                            <a:avLst/>
                          </a:prstGeom>
                          <a:noFill/>
                          <a:ln>
                            <a:noFill/>
                          </a:ln>
                          <a:effectLst/>
                        </wps:spPr>
                        <wps:txbx>
                          <w:txbxContent>
                            <w:p w14:paraId="04D6F67E">
                              <w:pPr>
                                <w:pStyle w:val="16"/>
                                <w:spacing w:before="0" w:beforeAutospacing="0" w:after="0" w:afterAutospacing="0" w:line="300" w:lineRule="exact"/>
                                <w:ind w:firstLine="0" w:firstLineChars="0"/>
                                <w:jc w:val="center"/>
                                <w:rPr>
                                  <w:rFonts w:hint="eastAsia"/>
                                  <w:sz w:val="21"/>
                                  <w:szCs w:val="21"/>
                                </w:rPr>
                              </w:pPr>
                              <w:r>
                                <w:rPr>
                                  <w:rFonts w:hint="eastAsia" w:cs="Times New Roman"/>
                                  <w:kern w:val="24"/>
                                  <w:sz w:val="21"/>
                                  <w:szCs w:val="21"/>
                                </w:rPr>
                                <w:t>提交停牌公告</w:t>
                              </w:r>
                            </w:p>
                          </w:txbxContent>
                        </wps:txbx>
                        <wps:bodyPr rot="0" vert="horz" wrap="square" lIns="91440" tIns="45720" rIns="91440" bIns="45720" anchor="t" anchorCtr="0" upright="1">
                          <a:spAutoFit/>
                        </wps:bodyPr>
                      </wps:wsp>
                    </wpg:wgp>
                  </a:graphicData>
                </a:graphic>
              </wp:anchor>
            </w:drawing>
          </mc:Choice>
          <mc:Fallback>
            <w:pict>
              <v:group id="Group 247" o:spid="_x0000_s1026" o:spt="203" style="position:absolute;left:0pt;margin-left:54.75pt;margin-top:10.2pt;height:82.1pt;width:340.15pt;z-index:-251656192;mso-width-relative:page;mso-height-relative:page;" coordorigin="2675,10432" coordsize="6803,1642" o:gfxdata="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5IXn&#10;ptkAAAAKAQAADwAAAAAAAAABACAAAAAiAAAAZHJzL2Rvd25yZXYueG1sUEsBAhQAFAAAAAgAh07i&#10;QF/Rt3DpAwAAMhIAAA4AAAAAAAAAAQAgAAAAKAEAAGRycy9lMm9Eb2MueG1sUEsFBgAAAAAGAAYA&#10;WQEAAIMHAAAAAA==&#10;">
                <o:lock v:ext="edit" aspectratio="f"/>
                <v:shape id="AutoShape 248" o:spid="_x0000_s1026" o:spt="32" type="#_x0000_t32" style="position:absolute;left:2675;top:11367;height:0;width:6803;" filled="f" stroked="t" coordsize="21600,21600" o:gfxdata="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KmwK/&#10;AAAA3AAAAA8AAAAAAAAAAQAgAAAAIgAAAGRycy9kb3ducmV2LnhtbFBLAQIUABQAAAAIAIdO4kAz&#10;LwWeOwAAADkAAAAQAAAAAAAAAAEAIAAAAA4BAABkcnMvc2hhcGV4bWwueG1sUEsFBgAAAAAGAAYA&#10;WwEAALgDAAAAAA==&#10;">
                  <v:fill on="f" focussize="0,0"/>
                  <v:stroke weight="1.5pt" color="#000000" miterlimit="8" joinstyle="miter" endarrow="block"/>
                  <v:imagedata o:title=""/>
                  <o:lock v:ext="edit" aspectratio="f"/>
                </v:shape>
                <v:line id="Line 249" o:spid="_x0000_s1026" o:spt="20" style="position:absolute;left:4525;top:11188;height:170;width:0;" filled="f" stroked="t" coordsize="21600,21600" o:gfxdata="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2XFW/&#10;AAAA3A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line id="Line 250" o:spid="_x0000_s1026" o:spt="20" style="position:absolute;left:7364;top:11200;height:170;width:0;" filled="f" stroked="t" coordsize="21600,21600" o:gfxdata="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r5zr4A&#10;AADc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shape id="Text Box 251" o:spid="_x0000_s1026" o:spt="202" type="#_x0000_t202" style="position:absolute;left:3644;top:11370;height:704;width:1740;"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0C13172F">
                        <w:pPr>
                          <w:pStyle w:val="16"/>
                          <w:spacing w:before="0" w:beforeAutospacing="0" w:after="0" w:afterAutospacing="0"/>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 15:30点前</w:t>
                        </w:r>
                      </w:p>
                    </w:txbxContent>
                  </v:textbox>
                </v:shape>
                <v:shape id="Text Box 252" o:spid="_x0000_s1026" o:spt="202" type="#_x0000_t202" style="position:absolute;left:6937;top:11357;height:704;width:853;" filled="f" stroked="f" coordsize="21600,21600" o:gfxdata="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5ty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E00CACC">
                        <w:pPr>
                          <w:pStyle w:val="16"/>
                          <w:spacing w:before="0" w:beforeAutospacing="0" w:after="0" w:afterAutospacing="0"/>
                          <w:ind w:firstLine="174" w:firstLineChars="83"/>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v:textbox>
                </v:shape>
                <v:shape id="Text Box 253" o:spid="_x0000_s1026" o:spt="202" type="#_x0000_t202" style="position:absolute;left:6394;top:10672;height:444;width:1871;"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448E60FA">
                        <w:pPr>
                          <w:pStyle w:val="16"/>
                          <w:spacing w:before="0" w:beforeAutospacing="0" w:after="0" w:afterAutospacing="0" w:line="300" w:lineRule="exact"/>
                          <w:ind w:firstLine="0" w:firstLineChars="0"/>
                          <w:jc w:val="center"/>
                          <w:rPr>
                            <w:rFonts w:hint="eastAsia"/>
                            <w:sz w:val="21"/>
                            <w:szCs w:val="21"/>
                          </w:rPr>
                        </w:pPr>
                        <w:r>
                          <w:rPr>
                            <w:rFonts w:hint="eastAsia" w:ascii="仿宋_GB2312" w:hAnsi="仿宋"/>
                            <w:sz w:val="21"/>
                            <w:szCs w:val="21"/>
                          </w:rPr>
                          <w:t>停牌</w:t>
                        </w:r>
                        <w:r>
                          <w:rPr>
                            <w:rFonts w:ascii="仿宋_GB2312" w:hAnsi="仿宋"/>
                            <w:sz w:val="21"/>
                            <w:szCs w:val="21"/>
                          </w:rPr>
                          <w:t>日</w:t>
                        </w:r>
                      </w:p>
                    </w:txbxContent>
                  </v:textbox>
                </v:shape>
                <v:shape id="Text Box 254" o:spid="_x0000_s1026" o:spt="202" type="#_x0000_t202" style="position:absolute;left:3644;top:10432;height:444;width:1889;"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04D6F67E">
                        <w:pPr>
                          <w:pStyle w:val="16"/>
                          <w:spacing w:before="0" w:beforeAutospacing="0" w:after="0" w:afterAutospacing="0" w:line="300" w:lineRule="exact"/>
                          <w:ind w:firstLine="0" w:firstLineChars="0"/>
                          <w:jc w:val="center"/>
                          <w:rPr>
                            <w:rFonts w:hint="eastAsia"/>
                            <w:sz w:val="21"/>
                            <w:szCs w:val="21"/>
                          </w:rPr>
                        </w:pPr>
                        <w:r>
                          <w:rPr>
                            <w:rFonts w:hint="eastAsia" w:cs="Times New Roman"/>
                            <w:kern w:val="24"/>
                            <w:sz w:val="21"/>
                            <w:szCs w:val="21"/>
                          </w:rPr>
                          <w:t>提交停牌公告</w:t>
                        </w:r>
                      </w:p>
                    </w:txbxContent>
                  </v:textbox>
                </v:shape>
              </v:group>
            </w:pict>
          </mc:Fallback>
        </mc:AlternateContent>
      </w:r>
      <w:bookmarkEnd w:id="20"/>
      <w:bookmarkEnd w:id="21"/>
      <w:bookmarkEnd w:id="22"/>
      <w:bookmarkEnd w:id="23"/>
    </w:p>
    <w:p w14:paraId="5A4E2223">
      <w:pPr>
        <w:spacing w:line="400" w:lineRule="exact"/>
        <w:ind w:firstLine="560"/>
        <w:rPr>
          <w:rFonts w:ascii="Times New Roman" w:hAnsi="Times New Roman"/>
          <w:sz w:val="28"/>
          <w:szCs w:val="28"/>
        </w:rPr>
      </w:pPr>
    </w:p>
    <w:p w14:paraId="028080CB">
      <w:pPr>
        <w:spacing w:line="400" w:lineRule="exact"/>
        <w:ind w:firstLine="560"/>
        <w:rPr>
          <w:rFonts w:ascii="Times New Roman" w:hAnsi="Times New Roman"/>
          <w:sz w:val="28"/>
          <w:szCs w:val="28"/>
        </w:rPr>
      </w:pPr>
    </w:p>
    <w:p w14:paraId="16D9AAB0">
      <w:pPr>
        <w:spacing w:line="400" w:lineRule="exact"/>
        <w:ind w:firstLine="560"/>
        <w:rPr>
          <w:rFonts w:ascii="Times New Roman" w:hAnsi="Times New Roman"/>
          <w:sz w:val="28"/>
          <w:szCs w:val="28"/>
        </w:rPr>
      </w:pPr>
    </w:p>
    <w:p w14:paraId="3775EB98">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图2-3-1 公募REITs临时/连续停复牌业务办理时间</w:t>
      </w:r>
    </w:p>
    <w:p w14:paraId="41DC05E7">
      <w:pPr>
        <w:ind w:firstLine="600"/>
        <w:rPr>
          <w:rFonts w:ascii="Times New Roman" w:hAnsi="Times New Roman"/>
        </w:rPr>
      </w:pPr>
      <w:r>
        <w:rPr>
          <w:rFonts w:ascii="Times New Roman"/>
          <w:kern w:val="0"/>
        </w:rPr>
        <w:t>基金管理人需至少在停牌（复牌）日前</w:t>
      </w:r>
      <w:r>
        <w:rPr>
          <w:rFonts w:ascii="Times New Roman" w:hAnsi="Times New Roman"/>
          <w:kern w:val="0"/>
        </w:rPr>
        <w:t>1</w:t>
      </w:r>
      <w:r>
        <w:rPr>
          <w:rFonts w:ascii="Times New Roman"/>
          <w:kern w:val="0"/>
        </w:rPr>
        <w:t>个交易日提交停复牌公告（格式参考附件</w:t>
      </w:r>
      <w:r>
        <w:rPr>
          <w:rFonts w:hint="eastAsia" w:ascii="Times New Roman" w:hAnsi="Times New Roman"/>
          <w:kern w:val="0"/>
        </w:rPr>
        <w:t>3</w:t>
      </w:r>
      <w:r>
        <w:rPr>
          <w:rFonts w:ascii="Times New Roman"/>
          <w:kern w:val="0"/>
        </w:rPr>
        <w:t>）</w:t>
      </w:r>
      <w:r>
        <w:rPr>
          <w:rFonts w:ascii="Times New Roman" w:hAnsi="Times New Roman"/>
        </w:rPr>
        <w:t>。</w:t>
      </w:r>
    </w:p>
    <w:p w14:paraId="30DB4709">
      <w:pPr>
        <w:ind w:firstLine="602"/>
        <w:rPr>
          <w:rFonts w:ascii="Times New Roman" w:hAnsi="Times New Roman"/>
          <w:b/>
        </w:rPr>
      </w:pPr>
      <w:r>
        <w:rPr>
          <w:rFonts w:ascii="Times New Roman" w:hAnsi="Times New Roman"/>
          <w:b/>
        </w:rPr>
        <w:t>3.</w:t>
      </w:r>
      <w:r>
        <w:rPr>
          <w:rFonts w:ascii="Times New Roman"/>
          <w:b/>
        </w:rPr>
        <w:t>具体操作</w:t>
      </w:r>
    </w:p>
    <w:p w14:paraId="6740EF1F">
      <w:pPr>
        <w:ind w:firstLine="600"/>
        <w:rPr>
          <w:rFonts w:ascii="Times New Roman" w:hAnsi="Times New Roman"/>
        </w:rPr>
      </w:pPr>
      <w:r>
        <w:rPr>
          <w:rFonts w:ascii="Times New Roman" w:hAnsi="Times New Roman"/>
        </w:rPr>
        <w:t>基金管理人通过业务管理系统平台的“REITs-常规停复牌-新建业务申请”进入</w:t>
      </w:r>
      <w:r>
        <w:rPr>
          <w:rFonts w:ascii="Times New Roman"/>
          <w:kern w:val="0"/>
        </w:rPr>
        <w:t>停复牌</w:t>
      </w:r>
      <w:r>
        <w:rPr>
          <w:rFonts w:ascii="Times New Roman" w:hAnsi="Times New Roman"/>
        </w:rPr>
        <w:t>申请表（见图2-</w:t>
      </w:r>
      <w:r>
        <w:rPr>
          <w:rFonts w:hint="eastAsia" w:ascii="Times New Roman" w:hAnsi="Times New Roman"/>
        </w:rPr>
        <w:t>3</w:t>
      </w:r>
      <w:r>
        <w:rPr>
          <w:rFonts w:ascii="Times New Roman" w:hAnsi="Times New Roman"/>
        </w:rPr>
        <w:t>-2），填写证券代码、停牌原因、停牌起始日、停牌终止日、停牌类型等要素信息，并上传停牌公告等材料，上传材料均以PDF格式的电子文件提交。同时，基金管理人需要及时联系</w:t>
      </w:r>
      <w:r>
        <w:rPr>
          <w:rFonts w:ascii="Times New Roman"/>
        </w:rPr>
        <w:t>本所债券业务</w:t>
      </w:r>
      <w:r>
        <w:rPr>
          <w:rFonts w:hint="eastAsia" w:ascii="Times New Roman" w:hAnsi="Times New Roman"/>
        </w:rPr>
        <w:t>中心专管员</w:t>
      </w:r>
      <w:r>
        <w:rPr>
          <w:rFonts w:ascii="Times New Roman" w:hAnsi="Times New Roman"/>
        </w:rPr>
        <w:t>，确保流程按时完结。</w:t>
      </w:r>
    </w:p>
    <w:p w14:paraId="412263B6">
      <w:pPr>
        <w:ind w:firstLine="600"/>
        <w:rPr>
          <w:rFonts w:ascii="Times New Roman" w:hAnsi="Times New Roman"/>
        </w:rPr>
      </w:pPr>
      <w:r>
        <w:rPr>
          <w:rFonts w:ascii="Times New Roman" w:hAnsi="Times New Roman"/>
        </w:rPr>
        <w:t>连续停牌时，若无需复牌或复牌日不确定的，停牌终止日可不填；临时停牌时，停牌起始日、停牌终止日为同一天。</w:t>
      </w:r>
    </w:p>
    <w:p w14:paraId="5F5802B9">
      <w:pPr>
        <w:spacing w:line="240" w:lineRule="auto"/>
        <w:ind w:firstLine="0" w:firstLineChars="0"/>
        <w:jc w:val="center"/>
        <w:rPr>
          <w:rFonts w:ascii="Times New Roman" w:hAnsi="Times New Roman"/>
          <w:sz w:val="28"/>
          <w:szCs w:val="28"/>
        </w:rPr>
      </w:pPr>
      <w:r>
        <w:rPr>
          <w:rFonts w:ascii="Times New Roman" w:hAnsi="Times New Roman"/>
          <w:sz w:val="28"/>
          <w:szCs w:val="28"/>
        </w:rPr>
        <w:drawing>
          <wp:inline distT="0" distB="0" distL="0" distR="0">
            <wp:extent cx="5243830" cy="4040505"/>
            <wp:effectExtent l="0" t="0" r="0" b="0"/>
            <wp:docPr id="2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44066" cy="4040372"/>
                    </a:xfrm>
                    <a:prstGeom prst="rect">
                      <a:avLst/>
                    </a:prstGeom>
                    <a:noFill/>
                    <a:ln w="9525">
                      <a:noFill/>
                      <a:miter lim="800000"/>
                      <a:headEnd/>
                      <a:tailEnd/>
                    </a:ln>
                  </pic:spPr>
                </pic:pic>
              </a:graphicData>
            </a:graphic>
          </wp:inline>
        </w:drawing>
      </w:r>
    </w:p>
    <w:p w14:paraId="4E6D6998">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图2-3-2 公募REITs常规停复牌业务新建申请页面</w:t>
      </w:r>
      <w:bookmarkStart w:id="24" w:name="_Toc72514097"/>
    </w:p>
    <w:p w14:paraId="5678C5C2">
      <w:pPr>
        <w:pStyle w:val="4"/>
        <w:ind w:firstLine="602"/>
        <w:rPr>
          <w:rFonts w:ascii="Times New Roman" w:hAnsi="Times New Roman"/>
        </w:rPr>
      </w:pPr>
      <w:r>
        <w:rPr>
          <w:rFonts w:ascii="Times New Roman"/>
        </w:rPr>
        <w:t>（二）复牌</w:t>
      </w:r>
      <w:bookmarkEnd w:id="24"/>
    </w:p>
    <w:p w14:paraId="72477FA3">
      <w:pPr>
        <w:ind w:firstLine="602"/>
        <w:rPr>
          <w:rFonts w:ascii="Times New Roman" w:hAnsi="Times New Roman"/>
          <w:b/>
          <w:szCs w:val="30"/>
        </w:rPr>
      </w:pPr>
      <w:r>
        <w:rPr>
          <w:rFonts w:ascii="Times New Roman" w:hAnsi="Times New Roman"/>
          <w:b/>
          <w:szCs w:val="30"/>
        </w:rPr>
        <w:t>1.适用情形</w:t>
      </w:r>
    </w:p>
    <w:p w14:paraId="3BF87A17">
      <w:pPr>
        <w:ind w:firstLine="600"/>
        <w:rPr>
          <w:rFonts w:ascii="Times New Roman" w:hAnsi="Times New Roman"/>
          <w:szCs w:val="30"/>
        </w:rPr>
      </w:pPr>
      <w:r>
        <w:rPr>
          <w:rFonts w:ascii="Times New Roman" w:hAnsi="Times New Roman"/>
          <w:szCs w:val="30"/>
        </w:rPr>
        <w:t>复牌是指连续停牌后基金管理人申请的复牌操作。通常情况下连续停牌后才有复牌操作，临时停牌和紧急停牌流程不需要复牌操作。</w:t>
      </w:r>
    </w:p>
    <w:p w14:paraId="46709128">
      <w:pPr>
        <w:ind w:firstLine="560"/>
        <w:rPr>
          <w:rFonts w:ascii="Times New Roman" w:hAnsi="Times New Roman"/>
          <w:b/>
          <w:szCs w:val="30"/>
        </w:rPr>
      </w:pPr>
      <w:r>
        <w:rPr>
          <w:rFonts w:ascii="Times New Roman" w:hAnsi="Times New Roman"/>
          <w:color w:val="000000"/>
          <w:kern w:val="0"/>
          <w:sz w:val="28"/>
          <w:szCs w:val="28"/>
        </w:rPr>
        <mc:AlternateContent>
          <mc:Choice Requires="wpg">
            <w:drawing>
              <wp:anchor distT="0" distB="0" distL="114300" distR="114300" simplePos="0" relativeHeight="251661312" behindDoc="0" locked="0" layoutInCell="1" allowOverlap="1">
                <wp:simplePos x="0" y="0"/>
                <wp:positionH relativeFrom="column">
                  <wp:posOffset>654050</wp:posOffset>
                </wp:positionH>
                <wp:positionV relativeFrom="paragraph">
                  <wp:posOffset>344170</wp:posOffset>
                </wp:positionV>
                <wp:extent cx="4319905" cy="877570"/>
                <wp:effectExtent l="0" t="0" r="4445" b="0"/>
                <wp:wrapNone/>
                <wp:docPr id="226" name="Group 264"/>
                <wp:cNvGraphicFramePr/>
                <a:graphic xmlns:a="http://schemas.openxmlformats.org/drawingml/2006/main">
                  <a:graphicData uri="http://schemas.microsoft.com/office/word/2010/wordprocessingGroup">
                    <wpg:wgp>
                      <wpg:cNvGrpSpPr/>
                      <wpg:grpSpPr>
                        <a:xfrm>
                          <a:off x="0" y="0"/>
                          <a:ext cx="4319905" cy="877570"/>
                          <a:chOff x="2675" y="10432"/>
                          <a:chExt cx="6803" cy="1382"/>
                        </a:xfrm>
                        <a:effectLst/>
                      </wpg:grpSpPr>
                      <wps:wsp>
                        <wps:cNvPr id="227" name="AutoShape 265"/>
                        <wps:cNvCnPr>
                          <a:cxnSpLocks noChangeShapeType="1"/>
                        </wps:cNvCnPr>
                        <wps:spPr bwMode="auto">
                          <a:xfrm>
                            <a:off x="2675" y="11367"/>
                            <a:ext cx="6803" cy="0"/>
                          </a:xfrm>
                          <a:prstGeom prst="straightConnector1">
                            <a:avLst/>
                          </a:prstGeom>
                          <a:noFill/>
                          <a:ln w="19050">
                            <a:solidFill>
                              <a:srgbClr val="000000"/>
                            </a:solidFill>
                            <a:miter lim="800000"/>
                            <a:tailEnd type="triangle" w="med" len="med"/>
                          </a:ln>
                          <a:effectLst/>
                        </wps:spPr>
                        <wps:bodyPr/>
                      </wps:wsp>
                      <wps:wsp>
                        <wps:cNvPr id="228" name="Line 266"/>
                        <wps:cNvCnPr>
                          <a:cxnSpLocks noChangeShapeType="1"/>
                        </wps:cNvCnPr>
                        <wps:spPr bwMode="auto">
                          <a:xfrm>
                            <a:off x="4525" y="11188"/>
                            <a:ext cx="0" cy="170"/>
                          </a:xfrm>
                          <a:prstGeom prst="line">
                            <a:avLst/>
                          </a:prstGeom>
                          <a:noFill/>
                          <a:ln w="19050">
                            <a:solidFill>
                              <a:srgbClr val="000000"/>
                            </a:solidFill>
                            <a:miter lim="800000"/>
                          </a:ln>
                          <a:effectLst/>
                        </wps:spPr>
                        <wps:bodyPr/>
                      </wps:wsp>
                      <wps:wsp>
                        <wps:cNvPr id="229" name="Line 267"/>
                        <wps:cNvCnPr>
                          <a:cxnSpLocks noChangeShapeType="1"/>
                        </wps:cNvCnPr>
                        <wps:spPr bwMode="auto">
                          <a:xfrm>
                            <a:off x="7364" y="11200"/>
                            <a:ext cx="0" cy="170"/>
                          </a:xfrm>
                          <a:prstGeom prst="line">
                            <a:avLst/>
                          </a:prstGeom>
                          <a:noFill/>
                          <a:ln w="19050">
                            <a:solidFill>
                              <a:srgbClr val="000000"/>
                            </a:solidFill>
                            <a:miter lim="800000"/>
                          </a:ln>
                          <a:effectLst/>
                        </wps:spPr>
                        <wps:bodyPr/>
                      </wps:wsp>
                      <wps:wsp>
                        <wps:cNvPr id="230" name="Text Box 268"/>
                        <wps:cNvSpPr txBox="1">
                          <a:spLocks noChangeArrowheads="1"/>
                        </wps:cNvSpPr>
                        <wps:spPr bwMode="auto">
                          <a:xfrm>
                            <a:off x="3644" y="11370"/>
                            <a:ext cx="1740" cy="444"/>
                          </a:xfrm>
                          <a:prstGeom prst="rect">
                            <a:avLst/>
                          </a:prstGeom>
                          <a:noFill/>
                          <a:ln>
                            <a:noFill/>
                          </a:ln>
                          <a:effectLst/>
                        </wps:spPr>
                        <wps:txbx>
                          <w:txbxContent>
                            <w:p w14:paraId="310CC4AC">
                              <w:pPr>
                                <w:pStyle w:val="16"/>
                                <w:spacing w:before="0" w:beforeAutospacing="0" w:after="0" w:afterAutospacing="0" w:line="300" w:lineRule="exact"/>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 15:30点前</w:t>
                              </w:r>
                            </w:p>
                          </w:txbxContent>
                        </wps:txbx>
                        <wps:bodyPr rot="0" vert="horz" wrap="square" lIns="91440" tIns="45720" rIns="91440" bIns="45720" anchor="t" anchorCtr="0" upright="1">
                          <a:spAutoFit/>
                        </wps:bodyPr>
                      </wps:wsp>
                      <wps:wsp>
                        <wps:cNvPr id="231" name="Text Box 269"/>
                        <wps:cNvSpPr txBox="1">
                          <a:spLocks noChangeArrowheads="1"/>
                        </wps:cNvSpPr>
                        <wps:spPr bwMode="auto">
                          <a:xfrm>
                            <a:off x="6937" y="11357"/>
                            <a:ext cx="853" cy="444"/>
                          </a:xfrm>
                          <a:prstGeom prst="rect">
                            <a:avLst/>
                          </a:prstGeom>
                          <a:noFill/>
                          <a:ln>
                            <a:noFill/>
                          </a:ln>
                          <a:effectLst/>
                        </wps:spPr>
                        <wps:txbx>
                          <w:txbxContent>
                            <w:p w14:paraId="5D8D3D7D">
                              <w:pPr>
                                <w:pStyle w:val="16"/>
                                <w:spacing w:before="0" w:beforeAutospacing="0" w:after="0" w:afterAutospacing="0" w:line="300" w:lineRule="exact"/>
                                <w:ind w:firstLine="174" w:firstLineChars="83"/>
                                <w:rPr>
                                  <w:rFonts w:ascii="Times New Roman" w:hAnsi="Times New Roman" w:cs="Times New Roman"/>
                                  <w:sz w:val="21"/>
                                  <w:szCs w:val="21"/>
                                </w:rPr>
                              </w:pPr>
                              <w:r>
                                <w:rPr>
                                  <w:rFonts w:ascii="Times New Roman" w:hAnsi="Times New Roman" w:cs="Times New Roman"/>
                                  <w:kern w:val="24"/>
                                  <w:sz w:val="21"/>
                                  <w:szCs w:val="21"/>
                                </w:rPr>
                                <w:t>T</w:t>
                              </w:r>
                            </w:p>
                          </w:txbxContent>
                        </wps:txbx>
                        <wps:bodyPr rot="0" vert="horz" wrap="square" lIns="91440" tIns="45720" rIns="91440" bIns="45720" anchor="t" anchorCtr="0" upright="1">
                          <a:spAutoFit/>
                        </wps:bodyPr>
                      </wps:wsp>
                      <wps:wsp>
                        <wps:cNvPr id="232" name="Text Box 270"/>
                        <wps:cNvSpPr txBox="1">
                          <a:spLocks noChangeArrowheads="1"/>
                        </wps:cNvSpPr>
                        <wps:spPr bwMode="auto">
                          <a:xfrm>
                            <a:off x="6394" y="10672"/>
                            <a:ext cx="1871" cy="444"/>
                          </a:xfrm>
                          <a:prstGeom prst="rect">
                            <a:avLst/>
                          </a:prstGeom>
                          <a:noFill/>
                          <a:ln>
                            <a:noFill/>
                          </a:ln>
                          <a:effectLst/>
                        </wps:spPr>
                        <wps:txbx>
                          <w:txbxContent>
                            <w:p w14:paraId="6652E41D">
                              <w:pPr>
                                <w:pStyle w:val="16"/>
                                <w:spacing w:before="0" w:beforeAutospacing="0" w:after="0" w:afterAutospacing="0" w:line="300" w:lineRule="exact"/>
                                <w:ind w:firstLine="420"/>
                                <w:rPr>
                                  <w:rFonts w:hint="eastAsia"/>
                                  <w:sz w:val="21"/>
                                  <w:szCs w:val="21"/>
                                </w:rPr>
                              </w:pPr>
                              <w:r>
                                <w:rPr>
                                  <w:rFonts w:hint="eastAsia" w:ascii="仿宋_GB2312" w:hAnsi="仿宋"/>
                                  <w:sz w:val="21"/>
                                  <w:szCs w:val="21"/>
                                </w:rPr>
                                <w:t>复牌</w:t>
                              </w:r>
                              <w:r>
                                <w:rPr>
                                  <w:rFonts w:ascii="仿宋_GB2312" w:hAnsi="仿宋"/>
                                  <w:sz w:val="21"/>
                                  <w:szCs w:val="21"/>
                                </w:rPr>
                                <w:t>日</w:t>
                              </w:r>
                            </w:p>
                          </w:txbxContent>
                        </wps:txbx>
                        <wps:bodyPr rot="0" vert="horz" wrap="square" lIns="91440" tIns="45720" rIns="91440" bIns="45720" anchor="t" anchorCtr="0" upright="1">
                          <a:spAutoFit/>
                        </wps:bodyPr>
                      </wps:wsp>
                      <wps:wsp>
                        <wps:cNvPr id="233" name="Text Box 271"/>
                        <wps:cNvSpPr txBox="1">
                          <a:spLocks noChangeArrowheads="1"/>
                        </wps:cNvSpPr>
                        <wps:spPr bwMode="auto">
                          <a:xfrm>
                            <a:off x="3644" y="10432"/>
                            <a:ext cx="1889" cy="444"/>
                          </a:xfrm>
                          <a:prstGeom prst="rect">
                            <a:avLst/>
                          </a:prstGeom>
                          <a:noFill/>
                          <a:ln>
                            <a:noFill/>
                          </a:ln>
                          <a:effectLst/>
                        </wps:spPr>
                        <wps:txbx>
                          <w:txbxContent>
                            <w:p w14:paraId="25AAA5F8">
                              <w:pPr>
                                <w:pStyle w:val="16"/>
                                <w:spacing w:before="0" w:beforeAutospacing="0" w:after="0" w:afterAutospacing="0" w:line="300" w:lineRule="exact"/>
                                <w:ind w:firstLine="0" w:firstLineChars="0"/>
                                <w:rPr>
                                  <w:rFonts w:hint="eastAsia"/>
                                  <w:sz w:val="21"/>
                                  <w:szCs w:val="21"/>
                                </w:rPr>
                              </w:pPr>
                              <w:r>
                                <w:rPr>
                                  <w:rFonts w:hint="eastAsia" w:cs="Times New Roman"/>
                                  <w:kern w:val="24"/>
                                  <w:sz w:val="21"/>
                                  <w:szCs w:val="21"/>
                                </w:rPr>
                                <w:t>提交复牌公告</w:t>
                              </w:r>
                            </w:p>
                          </w:txbxContent>
                        </wps:txbx>
                        <wps:bodyPr rot="0" vert="horz" wrap="square" lIns="91440" tIns="45720" rIns="91440" bIns="45720" anchor="t" anchorCtr="0" upright="1">
                          <a:spAutoFit/>
                        </wps:bodyPr>
                      </wps:wsp>
                    </wpg:wgp>
                  </a:graphicData>
                </a:graphic>
              </wp:anchor>
            </w:drawing>
          </mc:Choice>
          <mc:Fallback>
            <w:pict>
              <v:group id="Group 264" o:spid="_x0000_s1026" o:spt="203" style="position:absolute;left:0pt;margin-left:51.5pt;margin-top:27.1pt;height:69.1pt;width:340.15pt;z-index:251661312;mso-width-relative:page;mso-height-relative:page;" coordorigin="2675,10432" coordsize="6803,1382" o:gfxdata="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bdbUhNoAAAAKAQAADwAA&#10;AAAAAAABACAAAAAiAAAAZHJzL2Rvd25yZXYueG1sUEsBAhQAFAAAAAgAh07iQFsVQ4TcAwAAMRIA&#10;AA4AAAAAAAAAAQAgAAAAKQEAAGRycy9lMm9Eb2MueG1sUEsFBgAAAAAGAAYAWQEAAHcHAAAAAA==&#10;">
                <o:lock v:ext="edit" aspectratio="f"/>
                <v:shape id="AutoShape 265" o:spid="_x0000_s1026" o:spt="32" type="#_x0000_t32" style="position:absolute;left:2675;top:11367;height:0;width:6803;" filled="f" stroked="t" coordsize="21600,21600" o:gfxdata="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NNjO/&#10;AAAA3AAAAA8AAAAAAAAAAQAgAAAAIgAAAGRycy9kb3ducmV2LnhtbFBLAQIUABQAAAAIAIdO4kAz&#10;LwWeOwAAADkAAAAQAAAAAAAAAAEAIAAAAA4BAABkcnMvc2hhcGV4bWwueG1sUEsFBgAAAAAGAAYA&#10;WwEAALgDAAAAAA==&#10;">
                  <v:fill on="f" focussize="0,0"/>
                  <v:stroke weight="1.5pt" color="#000000" miterlimit="8" joinstyle="miter" endarrow="block"/>
                  <v:imagedata o:title=""/>
                  <o:lock v:ext="edit" aspectratio="f"/>
                </v:shape>
                <v:line id="Line 266" o:spid="_x0000_s1026" o:spt="20" style="position:absolute;left:4525;top:11188;height:170;width:0;" filled="f" stroked="t" coordsize="21600,21600" o:gfxdata="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8+2G8AAAA&#10;3A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line>
                <v:line id="Line 267" o:spid="_x0000_s1026" o:spt="20" style="position:absolute;left:7364;top:11200;height:170;width:0;" filled="f" stroked="t" coordsize="21600,21600" o:gfxdata="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wXvq/&#10;AAAA3AAAAA8AAAAAAAAAAQAgAAAAIgAAAGRycy9kb3ducmV2LnhtbFBLAQIUABQAAAAIAIdO4kAz&#10;LwWeOwAAADkAAAAQAAAAAAAAAAEAIAAAAA4BAABkcnMvc2hhcGV4bWwueG1sUEsFBgAAAAAGAAYA&#10;WwEAALgDAAAAAA==&#10;">
                  <v:fill on="f" focussize="0,0"/>
                  <v:stroke weight="1.5pt" color="#000000" miterlimit="8" joinstyle="miter"/>
                  <v:imagedata o:title=""/>
                  <o:lock v:ext="edit" aspectratio="f"/>
                </v:line>
                <v:shape id="Text Box 268" o:spid="_x0000_s1026" o:spt="202" type="#_x0000_t202" style="position:absolute;left:3644;top:11370;height:444;width:1740;" filled="f" stroked="f" coordsize="21600,21600" o:gfxdata="UEsDBAoAAAAAAIdO4kAAAAAAAAAAAAAAAAAEAAAAZHJzL1BLAwQUAAAACACHTuJATcMetbkAAADc&#10;AAAADwAAAGRycy9kb3ducmV2LnhtbEVPTWvCQBC9F/wPywi91d1YLC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3DHr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310CC4AC">
                        <w:pPr>
                          <w:pStyle w:val="16"/>
                          <w:spacing w:before="0" w:beforeAutospacing="0" w:after="0" w:afterAutospacing="0" w:line="300" w:lineRule="exact"/>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 15:30点前</w:t>
                        </w:r>
                      </w:p>
                    </w:txbxContent>
                  </v:textbox>
                </v:shape>
                <v:shape id="Text Box 269" o:spid="_x0000_s1026" o:spt="202" type="#_x0000_t202" style="position:absolute;left:6937;top:11357;height:444;width:853;" filled="f" stroked="f" coordsize="21600,21600" o:gfxdata="UEsDBAoAAAAAAIdO4kAAAAAAAAAAAAAAAAAEAAAAZHJzL1BLAwQUAAAACACHTuJAIo+7LrwAAADc&#10;AAAADwAAAGRycy9kb3ducmV2LnhtbEWPzWrDMBCE74G+g9hCb7Hkl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Puy6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5D8D3D7D">
                        <w:pPr>
                          <w:pStyle w:val="16"/>
                          <w:spacing w:before="0" w:beforeAutospacing="0" w:after="0" w:afterAutospacing="0" w:line="300" w:lineRule="exact"/>
                          <w:ind w:firstLine="174" w:firstLineChars="83"/>
                          <w:rPr>
                            <w:rFonts w:ascii="Times New Roman" w:hAnsi="Times New Roman" w:cs="Times New Roman"/>
                            <w:sz w:val="21"/>
                            <w:szCs w:val="21"/>
                          </w:rPr>
                        </w:pPr>
                        <w:r>
                          <w:rPr>
                            <w:rFonts w:ascii="Times New Roman" w:hAnsi="Times New Roman" w:cs="Times New Roman"/>
                            <w:kern w:val="24"/>
                            <w:sz w:val="21"/>
                            <w:szCs w:val="21"/>
                          </w:rPr>
                          <w:t>T</w:t>
                        </w:r>
                      </w:p>
                    </w:txbxContent>
                  </v:textbox>
                </v:shape>
                <v:shape id="Text Box 270" o:spid="_x0000_s1026" o:spt="202" type="#_x0000_t202" style="position:absolute;left:6394;top:10672;height:444;width:1871;" filled="f" stroked="f" coordsize="21600,21600" o:gfxdata="UEsDBAoAAAAAAIdO4kAAAAAAAAAAAAAAAAAEAAAAZHJzL1BLAwQUAAAACACHTuJA0l0lWbwAAADc&#10;AAAADwAAAGRycy9kb3ducmV2LnhtbEWPQUvDQBSE70L/w/IEb3Y3E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dJV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6652E41D">
                        <w:pPr>
                          <w:pStyle w:val="16"/>
                          <w:spacing w:before="0" w:beforeAutospacing="0" w:after="0" w:afterAutospacing="0" w:line="300" w:lineRule="exact"/>
                          <w:ind w:firstLine="420"/>
                          <w:rPr>
                            <w:rFonts w:hint="eastAsia"/>
                            <w:sz w:val="21"/>
                            <w:szCs w:val="21"/>
                          </w:rPr>
                        </w:pPr>
                        <w:r>
                          <w:rPr>
                            <w:rFonts w:hint="eastAsia" w:ascii="仿宋_GB2312" w:hAnsi="仿宋"/>
                            <w:sz w:val="21"/>
                            <w:szCs w:val="21"/>
                          </w:rPr>
                          <w:t>复牌</w:t>
                        </w:r>
                        <w:r>
                          <w:rPr>
                            <w:rFonts w:ascii="仿宋_GB2312" w:hAnsi="仿宋"/>
                            <w:sz w:val="21"/>
                            <w:szCs w:val="21"/>
                          </w:rPr>
                          <w:t>日</w:t>
                        </w:r>
                      </w:p>
                    </w:txbxContent>
                  </v:textbox>
                </v:shape>
                <v:shape id="Text Box 271" o:spid="_x0000_s1026" o:spt="202" type="#_x0000_t202" style="position:absolute;left:3644;top:10432;height:444;width:1889;"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25AAA5F8">
                        <w:pPr>
                          <w:pStyle w:val="16"/>
                          <w:spacing w:before="0" w:beforeAutospacing="0" w:after="0" w:afterAutospacing="0" w:line="300" w:lineRule="exact"/>
                          <w:ind w:firstLine="0" w:firstLineChars="0"/>
                          <w:rPr>
                            <w:rFonts w:hint="eastAsia"/>
                            <w:sz w:val="21"/>
                            <w:szCs w:val="21"/>
                          </w:rPr>
                        </w:pPr>
                        <w:r>
                          <w:rPr>
                            <w:rFonts w:hint="eastAsia" w:cs="Times New Roman"/>
                            <w:kern w:val="24"/>
                            <w:sz w:val="21"/>
                            <w:szCs w:val="21"/>
                          </w:rPr>
                          <w:t>提交复牌公告</w:t>
                        </w:r>
                      </w:p>
                    </w:txbxContent>
                  </v:textbox>
                </v:shape>
              </v:group>
            </w:pict>
          </mc:Fallback>
        </mc:AlternateContent>
      </w:r>
      <w:r>
        <w:rPr>
          <w:rFonts w:ascii="Times New Roman" w:hAnsi="Times New Roman"/>
          <w:b/>
          <w:szCs w:val="30"/>
        </w:rPr>
        <w:t>2.办理时间</w:t>
      </w:r>
    </w:p>
    <w:p w14:paraId="677D8C56">
      <w:pPr>
        <w:snapToGrid w:val="0"/>
        <w:spacing w:line="360" w:lineRule="auto"/>
        <w:ind w:firstLine="600"/>
        <w:rPr>
          <w:rFonts w:ascii="Times New Roman" w:hAnsi="Times New Roman"/>
          <w:color w:val="000000"/>
          <w:kern w:val="0"/>
          <w:szCs w:val="30"/>
        </w:rPr>
      </w:pPr>
    </w:p>
    <w:p w14:paraId="567DB328">
      <w:pPr>
        <w:spacing w:line="400" w:lineRule="exact"/>
        <w:ind w:firstLine="560"/>
        <w:rPr>
          <w:rFonts w:ascii="Times New Roman" w:hAnsi="Times New Roman"/>
          <w:color w:val="000000"/>
          <w:kern w:val="0"/>
          <w:sz w:val="28"/>
          <w:szCs w:val="28"/>
        </w:rPr>
      </w:pPr>
    </w:p>
    <w:p w14:paraId="2F4EDF4C">
      <w:pPr>
        <w:spacing w:line="400" w:lineRule="exact"/>
        <w:ind w:firstLine="0" w:firstLineChars="0"/>
        <w:rPr>
          <w:rFonts w:ascii="Times New Roman" w:hAnsi="Times New Roman"/>
          <w:color w:val="000000"/>
          <w:kern w:val="0"/>
          <w:sz w:val="28"/>
          <w:szCs w:val="28"/>
        </w:rPr>
      </w:pPr>
    </w:p>
    <w:p w14:paraId="7FD9314F">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图2-3-3 公募REITs复牌业务办理时间</w:t>
      </w:r>
    </w:p>
    <w:p w14:paraId="4A45A793">
      <w:pPr>
        <w:ind w:firstLine="600"/>
        <w:rPr>
          <w:rFonts w:ascii="Times New Roman"/>
          <w:kern w:val="0"/>
        </w:rPr>
      </w:pPr>
      <w:r>
        <w:rPr>
          <w:rFonts w:ascii="Times New Roman"/>
          <w:kern w:val="0"/>
        </w:rPr>
        <w:t>基金管理人需至少在复牌日前</w:t>
      </w:r>
      <w:r>
        <w:rPr>
          <w:rFonts w:ascii="Times New Roman" w:hAnsi="Times New Roman"/>
          <w:kern w:val="0"/>
        </w:rPr>
        <w:t>1</w:t>
      </w:r>
      <w:r>
        <w:rPr>
          <w:rFonts w:ascii="Times New Roman"/>
          <w:kern w:val="0"/>
        </w:rPr>
        <w:t>个交易日提交复牌公告（格式参考附件</w:t>
      </w:r>
      <w:r>
        <w:rPr>
          <w:rFonts w:hint="eastAsia" w:ascii="Times New Roman" w:hAnsi="Times New Roman"/>
          <w:kern w:val="0"/>
        </w:rPr>
        <w:t>3</w:t>
      </w:r>
      <w:r>
        <w:rPr>
          <w:rFonts w:ascii="Times New Roman"/>
          <w:kern w:val="0"/>
        </w:rPr>
        <w:t>）。</w:t>
      </w:r>
    </w:p>
    <w:p w14:paraId="6D3A8040">
      <w:pPr>
        <w:widowControl/>
        <w:spacing w:line="240" w:lineRule="auto"/>
        <w:ind w:firstLine="0" w:firstLineChars="0"/>
        <w:jc w:val="left"/>
        <w:rPr>
          <w:rFonts w:ascii="Times New Roman"/>
          <w:kern w:val="0"/>
        </w:rPr>
      </w:pPr>
      <w:r>
        <w:rPr>
          <w:rFonts w:ascii="Times New Roman"/>
          <w:kern w:val="0"/>
        </w:rPr>
        <w:br w:type="page"/>
      </w:r>
    </w:p>
    <w:p w14:paraId="78570CE2">
      <w:pPr>
        <w:ind w:firstLine="602"/>
        <w:rPr>
          <w:rFonts w:ascii="Times New Roman" w:hAnsi="Times New Roman"/>
          <w:b/>
          <w:szCs w:val="30"/>
        </w:rPr>
      </w:pPr>
      <w:r>
        <w:rPr>
          <w:rFonts w:ascii="Times New Roman" w:hAnsi="Times New Roman"/>
          <w:b/>
          <w:szCs w:val="30"/>
        </w:rPr>
        <w:t>3.具体操作</w:t>
      </w:r>
    </w:p>
    <w:p w14:paraId="3E964133">
      <w:pPr>
        <w:ind w:firstLine="600"/>
        <w:rPr>
          <w:rFonts w:ascii="Times New Roman" w:hAnsi="Times New Roman"/>
        </w:rPr>
      </w:pPr>
      <w:r>
        <w:rPr>
          <w:rFonts w:ascii="Times New Roman"/>
        </w:rPr>
        <w:t>复牌流程和连续停牌流程基本一致，不同点在于无需填写停牌起始日，只填写停牌终止日即可。停牌终止日次一交易日为复牌日。</w:t>
      </w:r>
    </w:p>
    <w:p w14:paraId="25500830">
      <w:pPr>
        <w:ind w:firstLine="600"/>
        <w:rPr>
          <w:rFonts w:ascii="Times New Roman" w:hAnsi="Times New Roman"/>
        </w:rPr>
      </w:pPr>
      <w:r>
        <w:rPr>
          <w:rFonts w:ascii="Times New Roman"/>
        </w:rPr>
        <w:t>基金管理人通过业务管理系统平台的</w:t>
      </w:r>
      <w:r>
        <w:rPr>
          <w:rFonts w:ascii="Times New Roman" w:hAnsi="Times New Roman"/>
        </w:rPr>
        <w:t>“REITs-</w:t>
      </w:r>
      <w:r>
        <w:rPr>
          <w:rFonts w:ascii="Times New Roman"/>
        </w:rPr>
        <w:t>常规停复牌</w:t>
      </w:r>
      <w:r>
        <w:rPr>
          <w:rFonts w:ascii="Times New Roman" w:hAnsi="Times New Roman"/>
        </w:rPr>
        <w:t>”</w:t>
      </w:r>
      <w:r>
        <w:rPr>
          <w:rFonts w:ascii="Times New Roman"/>
        </w:rPr>
        <w:t>通道，进入</w:t>
      </w:r>
      <w:r>
        <w:rPr>
          <w:rFonts w:ascii="Times New Roman" w:hAnsi="Times New Roman"/>
          <w:color w:val="000000"/>
          <w:kern w:val="0"/>
        </w:rPr>
        <w:t>停复牌</w:t>
      </w:r>
      <w:r>
        <w:rPr>
          <w:rFonts w:ascii="Times New Roman"/>
        </w:rPr>
        <w:t>申请表（见上图</w:t>
      </w:r>
      <w:r>
        <w:rPr>
          <w:rFonts w:ascii="Times New Roman" w:hAnsi="Times New Roman"/>
        </w:rPr>
        <w:t>2-</w:t>
      </w:r>
      <w:r>
        <w:rPr>
          <w:rFonts w:hint="eastAsia" w:ascii="Times New Roman" w:hAnsi="Times New Roman"/>
        </w:rPr>
        <w:t>3</w:t>
      </w:r>
      <w:r>
        <w:rPr>
          <w:rFonts w:ascii="Times New Roman" w:hAnsi="Times New Roman"/>
        </w:rPr>
        <w:t>-2</w:t>
      </w:r>
      <w:r>
        <w:rPr>
          <w:rFonts w:ascii="Times New Roman"/>
        </w:rPr>
        <w:t>）。在申请表中填写证券代码，选择停牌类型为</w:t>
      </w:r>
      <w:r>
        <w:rPr>
          <w:rFonts w:ascii="Times New Roman" w:hAnsi="Times New Roman"/>
        </w:rPr>
        <w:t>“</w:t>
      </w:r>
      <w:r>
        <w:rPr>
          <w:rFonts w:ascii="Times New Roman"/>
        </w:rPr>
        <w:t>连续停牌</w:t>
      </w:r>
      <w:r>
        <w:rPr>
          <w:rFonts w:ascii="Times New Roman" w:hAnsi="Times New Roman"/>
        </w:rPr>
        <w:t>”</w:t>
      </w:r>
      <w:r>
        <w:rPr>
          <w:rFonts w:ascii="Times New Roman"/>
        </w:rPr>
        <w:t>，同时填写停牌终止日（停牌起始日为空），停牌原因一般为</w:t>
      </w:r>
      <w:r>
        <w:rPr>
          <w:rFonts w:ascii="Times New Roman" w:hAnsi="Times New Roman"/>
        </w:rPr>
        <w:t>“</w:t>
      </w:r>
      <w:r>
        <w:rPr>
          <w:rFonts w:ascii="Times New Roman"/>
        </w:rPr>
        <w:t>基金管理人申请</w:t>
      </w:r>
      <w:r>
        <w:rPr>
          <w:rFonts w:ascii="Times New Roman" w:hAnsi="Times New Roman"/>
        </w:rPr>
        <w:t>”</w:t>
      </w:r>
      <w:r>
        <w:rPr>
          <w:rFonts w:ascii="Times New Roman"/>
        </w:rPr>
        <w:t>，并上传复牌公告等材料，上传材料均以</w:t>
      </w:r>
      <w:r>
        <w:rPr>
          <w:rFonts w:ascii="Times New Roman" w:hAnsi="Times New Roman"/>
        </w:rPr>
        <w:t>PDF</w:t>
      </w:r>
      <w:r>
        <w:rPr>
          <w:rFonts w:ascii="Times New Roman"/>
        </w:rPr>
        <w:t>格式的电子文件提交。同时，基金管理人需要及时联系本所债券业务</w:t>
      </w:r>
      <w:r>
        <w:rPr>
          <w:rFonts w:hint="eastAsia" w:ascii="Times New Roman" w:hAnsi="Times New Roman"/>
        </w:rPr>
        <w:t>中心专管员</w:t>
      </w:r>
      <w:r>
        <w:rPr>
          <w:rFonts w:ascii="Times New Roman"/>
        </w:rPr>
        <w:t>，确保流程按时完结。</w:t>
      </w:r>
    </w:p>
    <w:p w14:paraId="0A56D7EE">
      <w:pPr>
        <w:pStyle w:val="4"/>
        <w:ind w:firstLine="602"/>
        <w:rPr>
          <w:rFonts w:ascii="Times New Roman" w:hAnsi="Times New Roman"/>
        </w:rPr>
      </w:pPr>
      <w:bookmarkStart w:id="25" w:name="_Toc72324912"/>
      <w:r>
        <w:rPr>
          <w:rFonts w:ascii="Times New Roman"/>
        </w:rPr>
        <w:t>（三）紧急停牌</w:t>
      </w:r>
      <w:bookmarkEnd w:id="25"/>
    </w:p>
    <w:p w14:paraId="40A68BAB">
      <w:pPr>
        <w:ind w:firstLine="602"/>
        <w:rPr>
          <w:rFonts w:ascii="Times New Roman" w:hAnsi="Times New Roman"/>
          <w:b/>
        </w:rPr>
      </w:pPr>
      <w:r>
        <w:rPr>
          <w:rFonts w:ascii="Times New Roman" w:hAnsi="Times New Roman"/>
          <w:b/>
        </w:rPr>
        <w:t>1.</w:t>
      </w:r>
      <w:r>
        <w:rPr>
          <w:rFonts w:ascii="Times New Roman"/>
          <w:b/>
        </w:rPr>
        <w:t>适用情形</w:t>
      </w:r>
    </w:p>
    <w:p w14:paraId="50490087">
      <w:pPr>
        <w:ind w:firstLine="600"/>
        <w:rPr>
          <w:rFonts w:ascii="Times New Roman" w:hAnsi="Times New Roman"/>
        </w:rPr>
      </w:pPr>
      <w:r>
        <w:rPr>
          <w:rFonts w:ascii="Times New Roman"/>
        </w:rPr>
        <w:t>本流程适用于基金管理人申请的公募</w:t>
      </w:r>
      <w:r>
        <w:rPr>
          <w:rFonts w:ascii="Times New Roman" w:hAnsi="Times New Roman"/>
        </w:rPr>
        <w:t>REITs</w:t>
      </w:r>
      <w:r>
        <w:rPr>
          <w:rFonts w:ascii="Times New Roman"/>
        </w:rPr>
        <w:t>二级市场交易当日紧急暂停的情形。</w:t>
      </w:r>
    </w:p>
    <w:p w14:paraId="1BA619FB">
      <w:pPr>
        <w:ind w:firstLine="602"/>
        <w:rPr>
          <w:rFonts w:ascii="Times New Roman" w:hAnsi="Times New Roman"/>
          <w:b/>
        </w:rPr>
      </w:pPr>
      <w:r>
        <w:rPr>
          <w:rFonts w:ascii="Times New Roman" w:hAnsi="Times New Roman"/>
          <w:b/>
        </w:rPr>
        <w:t>2.</w:t>
      </w:r>
      <w:r>
        <w:rPr>
          <w:rFonts w:ascii="Times New Roman"/>
          <w:b/>
        </w:rPr>
        <w:t>办理时间</w:t>
      </w:r>
    </w:p>
    <w:p w14:paraId="4E3F6AFB">
      <w:pPr>
        <w:ind w:firstLine="600"/>
        <w:rPr>
          <w:rFonts w:ascii="Times New Roman" w:hAnsi="Times New Roman"/>
        </w:rPr>
      </w:pPr>
      <w:r>
        <w:rPr>
          <w:rFonts w:ascii="Times New Roman"/>
          <w:color w:val="000000"/>
          <w:kern w:val="0"/>
        </w:rPr>
        <w:t>基金管理人选择当日停牌时间为</w:t>
      </w:r>
      <w:r>
        <w:rPr>
          <w:rFonts w:ascii="Times New Roman" w:hAnsi="Times New Roman"/>
          <w:color w:val="000000"/>
          <w:kern w:val="0"/>
        </w:rPr>
        <w:t>“</w:t>
      </w:r>
      <w:r>
        <w:rPr>
          <w:rFonts w:ascii="Times New Roman"/>
          <w:color w:val="000000"/>
          <w:kern w:val="0"/>
        </w:rPr>
        <w:t>全天</w:t>
      </w:r>
      <w:r>
        <w:rPr>
          <w:rFonts w:ascii="Times New Roman" w:hAnsi="Times New Roman"/>
          <w:color w:val="000000"/>
          <w:kern w:val="0"/>
        </w:rPr>
        <w:t>”</w:t>
      </w:r>
      <w:r>
        <w:rPr>
          <w:rFonts w:ascii="Times New Roman"/>
          <w:color w:val="000000"/>
          <w:kern w:val="0"/>
        </w:rPr>
        <w:t>或</w:t>
      </w:r>
      <w:r>
        <w:rPr>
          <w:rFonts w:ascii="Times New Roman" w:hAnsi="Times New Roman"/>
          <w:color w:val="000000"/>
          <w:kern w:val="0"/>
        </w:rPr>
        <w:t>“</w:t>
      </w:r>
      <w:r>
        <w:rPr>
          <w:rFonts w:ascii="Times New Roman"/>
          <w:color w:val="000000"/>
          <w:kern w:val="0"/>
        </w:rPr>
        <w:t>上午</w:t>
      </w:r>
      <w:r>
        <w:rPr>
          <w:rFonts w:ascii="Times New Roman" w:hAnsi="Times New Roman"/>
          <w:color w:val="000000"/>
          <w:kern w:val="0"/>
        </w:rPr>
        <w:t>”</w:t>
      </w:r>
      <w:r>
        <w:rPr>
          <w:rFonts w:ascii="Times New Roman"/>
          <w:color w:val="000000"/>
          <w:kern w:val="0"/>
        </w:rPr>
        <w:t>的，应当至少在</w:t>
      </w:r>
      <w:r>
        <w:rPr>
          <w:rFonts w:ascii="Times New Roman" w:hAnsi="Times New Roman"/>
          <w:color w:val="000000"/>
          <w:kern w:val="0"/>
        </w:rPr>
        <w:t>8:00</w:t>
      </w:r>
      <w:r>
        <w:rPr>
          <w:rFonts w:ascii="Times New Roman"/>
          <w:color w:val="000000"/>
          <w:kern w:val="0"/>
        </w:rPr>
        <w:t>之前完成提交；选择停牌时间为</w:t>
      </w:r>
      <w:r>
        <w:rPr>
          <w:rFonts w:ascii="Times New Roman" w:hAnsi="Times New Roman"/>
          <w:color w:val="000000"/>
          <w:kern w:val="0"/>
        </w:rPr>
        <w:t>“</w:t>
      </w:r>
      <w:r>
        <w:rPr>
          <w:rFonts w:ascii="Times New Roman"/>
          <w:color w:val="000000"/>
          <w:kern w:val="0"/>
        </w:rPr>
        <w:t>下午</w:t>
      </w:r>
      <w:r>
        <w:rPr>
          <w:rFonts w:ascii="Times New Roman" w:hAnsi="Times New Roman"/>
          <w:color w:val="000000"/>
          <w:kern w:val="0"/>
        </w:rPr>
        <w:t>”</w:t>
      </w:r>
      <w:r>
        <w:rPr>
          <w:rFonts w:ascii="Times New Roman"/>
          <w:color w:val="000000"/>
          <w:kern w:val="0"/>
        </w:rPr>
        <w:t>的，则需在</w:t>
      </w:r>
      <w:r>
        <w:rPr>
          <w:rFonts w:ascii="Times New Roman" w:hAnsi="Times New Roman"/>
          <w:color w:val="000000"/>
          <w:kern w:val="0"/>
        </w:rPr>
        <w:t>12:00</w:t>
      </w:r>
      <w:r>
        <w:rPr>
          <w:rFonts w:ascii="Times New Roman"/>
          <w:color w:val="000000"/>
          <w:kern w:val="0"/>
        </w:rPr>
        <w:t>之前完成提交</w:t>
      </w:r>
      <w:r>
        <w:rPr>
          <w:rFonts w:hint="eastAsia" w:ascii="Times New Roman"/>
          <w:color w:val="000000"/>
          <w:kern w:val="0"/>
        </w:rPr>
        <w:t>；选择停牌时间为交易时间内的具体时间段的，需在拟停牌时间段之前及时完成提交，并为后续流程处理预留充足时间</w:t>
      </w:r>
      <w:r>
        <w:rPr>
          <w:rFonts w:ascii="Times New Roman"/>
          <w:color w:val="000000"/>
          <w:kern w:val="0"/>
        </w:rPr>
        <w:t>。</w:t>
      </w:r>
    </w:p>
    <w:p w14:paraId="71F7ECE2">
      <w:pPr>
        <w:ind w:firstLine="602"/>
        <w:rPr>
          <w:rFonts w:ascii="Times New Roman" w:hAnsi="Times New Roman"/>
          <w:b/>
        </w:rPr>
      </w:pPr>
      <w:r>
        <w:rPr>
          <w:rFonts w:ascii="Times New Roman" w:hAnsi="Times New Roman"/>
          <w:b/>
        </w:rPr>
        <w:t>3.</w:t>
      </w:r>
      <w:r>
        <w:rPr>
          <w:rFonts w:ascii="Times New Roman"/>
          <w:b/>
        </w:rPr>
        <w:t>具体操作</w:t>
      </w:r>
    </w:p>
    <w:p w14:paraId="4F4781CD">
      <w:pPr>
        <w:ind w:firstLine="600"/>
        <w:rPr>
          <w:rFonts w:ascii="Times New Roman" w:hAnsi="Times New Roman"/>
          <w:color w:val="000000"/>
          <w:kern w:val="0"/>
        </w:rPr>
      </w:pPr>
      <w:r>
        <w:rPr>
          <w:rFonts w:ascii="Times New Roman"/>
          <w:color w:val="000000"/>
          <w:kern w:val="0"/>
        </w:rPr>
        <w:t>基金管理人如需申请紧急停牌，应在第一时间电话通知本所债券业务中心专管人员，确认相关流程后，通过</w:t>
      </w:r>
      <w:r>
        <w:rPr>
          <w:rFonts w:ascii="Times New Roman" w:hAnsi="Times New Roman"/>
        </w:rPr>
        <w:t>业务管理系统平台</w:t>
      </w:r>
      <w:r>
        <w:rPr>
          <w:rFonts w:ascii="Times New Roman" w:hAnsi="Times New Roman"/>
          <w:color w:val="000000"/>
          <w:kern w:val="0"/>
        </w:rPr>
        <w:t>“REITs-</w:t>
      </w:r>
      <w:r>
        <w:rPr>
          <w:rFonts w:ascii="Times New Roman"/>
          <w:color w:val="000000"/>
          <w:kern w:val="0"/>
        </w:rPr>
        <w:t>紧急停牌</w:t>
      </w:r>
      <w:r>
        <w:rPr>
          <w:rFonts w:ascii="Times New Roman" w:hAnsi="Times New Roman"/>
          <w:color w:val="000000"/>
          <w:kern w:val="0"/>
        </w:rPr>
        <w:t>”</w:t>
      </w:r>
      <w:r>
        <w:rPr>
          <w:rFonts w:ascii="Times New Roman"/>
          <w:color w:val="000000"/>
          <w:kern w:val="0"/>
        </w:rPr>
        <w:t>流程上传紧急停牌公告（格式参考附件</w:t>
      </w:r>
      <w:r>
        <w:rPr>
          <w:rFonts w:hint="eastAsia" w:ascii="Times New Roman" w:hAnsi="Times New Roman"/>
          <w:color w:val="000000"/>
          <w:kern w:val="0"/>
        </w:rPr>
        <w:t>3</w:t>
      </w:r>
      <w:r>
        <w:rPr>
          <w:rFonts w:ascii="Times New Roman"/>
          <w:color w:val="000000"/>
          <w:kern w:val="0"/>
        </w:rPr>
        <w:t>）等材料，上传材料均以</w:t>
      </w:r>
      <w:r>
        <w:rPr>
          <w:rFonts w:ascii="Times New Roman" w:hAnsi="Times New Roman"/>
          <w:color w:val="000000"/>
          <w:kern w:val="0"/>
        </w:rPr>
        <w:t>PDF</w:t>
      </w:r>
      <w:r>
        <w:rPr>
          <w:rFonts w:ascii="Times New Roman"/>
          <w:color w:val="000000"/>
          <w:kern w:val="0"/>
        </w:rPr>
        <w:t>格式的电子文件提交。</w:t>
      </w:r>
    </w:p>
    <w:p w14:paraId="054B7E4D">
      <w:pPr>
        <w:pStyle w:val="3"/>
        <w:spacing w:before="156" w:after="156"/>
        <w:ind w:firstLine="643"/>
        <w:rPr>
          <w:rFonts w:ascii="Times New Roman" w:hAnsi="Times New Roman"/>
        </w:rPr>
      </w:pPr>
      <w:bookmarkStart w:id="26" w:name="_Toc217484334"/>
      <w:bookmarkStart w:id="27" w:name="_Toc72419519"/>
      <w:r>
        <w:rPr>
          <w:rFonts w:ascii="Times New Roman"/>
        </w:rPr>
        <w:t>四、</w:t>
      </w:r>
      <w:bookmarkStart w:id="28" w:name="_Toc72324913"/>
      <w:r>
        <w:rPr>
          <w:rFonts w:ascii="Times New Roman"/>
        </w:rPr>
        <w:t>分红</w:t>
      </w:r>
      <w:bookmarkEnd w:id="26"/>
      <w:bookmarkEnd w:id="28"/>
      <w:r>
        <w:rPr>
          <w:rFonts w:ascii="Times New Roman" w:hAnsi="Times New Roman"/>
        </w:rPr>
        <w:tab/>
      </w:r>
    </w:p>
    <w:p w14:paraId="3C3907DF">
      <w:pPr>
        <w:pStyle w:val="4"/>
        <w:ind w:firstLine="602"/>
        <w:rPr>
          <w:rFonts w:ascii="Times New Roman" w:hAnsi="Times New Roman"/>
        </w:rPr>
      </w:pPr>
      <w:r>
        <w:rPr>
          <w:rFonts w:ascii="Times New Roman"/>
        </w:rPr>
        <w:t>（一）适用情形</w:t>
      </w:r>
    </w:p>
    <w:p w14:paraId="72EFBCD1">
      <w:pPr>
        <w:ind w:firstLine="600"/>
        <w:rPr>
          <w:rFonts w:ascii="Times New Roman" w:hAnsi="Times New Roman"/>
          <w:b/>
        </w:rPr>
      </w:pPr>
      <w:r>
        <w:rPr>
          <w:rFonts w:ascii="Times New Roman" w:hAnsi="Times New Roman"/>
        </w:rPr>
        <w:t>本流程适用于公募REITs分红业务的情形。</w:t>
      </w:r>
    </w:p>
    <w:p w14:paraId="722B90B7">
      <w:pPr>
        <w:pStyle w:val="4"/>
        <w:ind w:firstLine="602"/>
        <w:rPr>
          <w:rFonts w:ascii="Times New Roman" w:hAnsi="Times New Roman"/>
        </w:rPr>
      </w:pPr>
      <w:r>
        <w:rPr>
          <w:rFonts w:ascii="Times New Roman" w:hAnsi="Times New Roman"/>
          <w:szCs w:val="30"/>
        </w:rPr>
        <mc:AlternateContent>
          <mc:Choice Requires="wps">
            <w:drawing>
              <wp:anchor distT="0" distB="0" distL="114300" distR="114300" simplePos="0" relativeHeight="251672576" behindDoc="0" locked="0" layoutInCell="1" allowOverlap="1">
                <wp:simplePos x="0" y="0"/>
                <wp:positionH relativeFrom="column">
                  <wp:posOffset>233680</wp:posOffset>
                </wp:positionH>
                <wp:positionV relativeFrom="paragraph">
                  <wp:posOffset>354330</wp:posOffset>
                </wp:positionV>
                <wp:extent cx="1180465" cy="472440"/>
                <wp:effectExtent l="0" t="0" r="0" b="0"/>
                <wp:wrapNone/>
                <wp:docPr id="224" name="Text Box 283"/>
                <wp:cNvGraphicFramePr/>
                <a:graphic xmlns:a="http://schemas.openxmlformats.org/drawingml/2006/main">
                  <a:graphicData uri="http://schemas.microsoft.com/office/word/2010/wordprocessingShape">
                    <wps:wsp>
                      <wps:cNvSpPr txBox="1">
                        <a:spLocks noChangeArrowheads="1"/>
                      </wps:cNvSpPr>
                      <wps:spPr bwMode="auto">
                        <a:xfrm>
                          <a:off x="0" y="0"/>
                          <a:ext cx="1180465" cy="472440"/>
                        </a:xfrm>
                        <a:prstGeom prst="rect">
                          <a:avLst/>
                        </a:prstGeom>
                        <a:noFill/>
                        <a:ln>
                          <a:noFill/>
                        </a:ln>
                        <a:effectLst/>
                      </wps:spPr>
                      <wps:txbx>
                        <w:txbxContent>
                          <w:p w14:paraId="0E47984A">
                            <w:pPr>
                              <w:pStyle w:val="16"/>
                              <w:spacing w:before="0" w:beforeAutospacing="0" w:after="0" w:afterAutospacing="0" w:line="300" w:lineRule="exact"/>
                              <w:ind w:firstLine="42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提交REITs分红业务申请</w:t>
                            </w:r>
                          </w:p>
                        </w:txbxContent>
                      </wps:txbx>
                      <wps:bodyPr rot="0" vert="horz" wrap="square" lIns="91440" tIns="45720" rIns="91440" bIns="45720" anchor="t" anchorCtr="0" upright="1">
                        <a:spAutoFit/>
                      </wps:bodyPr>
                    </wps:wsp>
                  </a:graphicData>
                </a:graphic>
              </wp:anchor>
            </w:drawing>
          </mc:Choice>
          <mc:Fallback>
            <w:pict>
              <v:shape id="Text Box 283" o:spid="_x0000_s1026" o:spt="202" type="#_x0000_t202" style="position:absolute;left:0pt;margin-left:18.4pt;margin-top:27.9pt;height:37.2pt;width:92.95pt;z-index:251672576;mso-width-relative:page;mso-height-relative:page;" filled="f" stroked="f" coordsize="21600,21600" o:gfxdata="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7ub91gAAAAkBAAAPAAAAAAAAAAEAIAAA&#10;ACIAAABkcnMvZG93bnJldi54bWxQSwECFAAUAAAACACHTuJAs+ZSeA4CAAAmBAAADgAAAAAAAAAB&#10;ACAAAAAlAQAAZHJzL2Uyb0RvYy54bWxQSwUGAAAAAAYABgBZAQAApQUAAAAA&#10;">
                <v:fill on="f" focussize="0,0"/>
                <v:stroke on="f"/>
                <v:imagedata o:title=""/>
                <o:lock v:ext="edit" aspectratio="f"/>
                <v:textbox style="mso-fit-shape-to-text:t;">
                  <w:txbxContent>
                    <w:p w14:paraId="0E47984A">
                      <w:pPr>
                        <w:pStyle w:val="16"/>
                        <w:spacing w:before="0" w:beforeAutospacing="0" w:after="0" w:afterAutospacing="0" w:line="300" w:lineRule="exact"/>
                        <w:ind w:firstLine="42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提交REITs分红业务申请</w:t>
                      </w:r>
                    </w:p>
                  </w:txbxContent>
                </v:textbox>
              </v:shape>
            </w:pict>
          </mc:Fallback>
        </mc:AlternateContent>
      </w:r>
      <w:r>
        <w:rPr>
          <w:rFonts w:ascii="Times New Roman" w:hAnsi="Times New Roman"/>
        </w:rPr>
        <w:t>（二）办理时间</w:t>
      </w:r>
    </w:p>
    <w:p w14:paraId="0C5BA0D0">
      <w:pPr>
        <w:pStyle w:val="16"/>
        <w:snapToGrid w:val="0"/>
        <w:spacing w:before="0" w:beforeAutospacing="0" w:after="0" w:afterAutospacing="0" w:line="360" w:lineRule="auto"/>
        <w:ind w:left="420"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mc:AlternateContent>
          <mc:Choice Requires="wps">
            <w:drawing>
              <wp:anchor distT="0" distB="0" distL="114300" distR="114300" simplePos="0" relativeHeight="251675648" behindDoc="0" locked="0" layoutInCell="1" allowOverlap="1">
                <wp:simplePos x="0" y="0"/>
                <wp:positionH relativeFrom="column">
                  <wp:posOffset>2264410</wp:posOffset>
                </wp:positionH>
                <wp:positionV relativeFrom="paragraph">
                  <wp:posOffset>70485</wp:posOffset>
                </wp:positionV>
                <wp:extent cx="1158240" cy="281940"/>
                <wp:effectExtent l="0" t="0" r="0" b="0"/>
                <wp:wrapNone/>
                <wp:docPr id="225" name="Text Box 289"/>
                <wp:cNvGraphicFramePr/>
                <a:graphic xmlns:a="http://schemas.openxmlformats.org/drawingml/2006/main">
                  <a:graphicData uri="http://schemas.microsoft.com/office/word/2010/wordprocessingShape">
                    <wps:wsp>
                      <wps:cNvSpPr txBox="1">
                        <a:spLocks noChangeArrowheads="1"/>
                      </wps:cNvSpPr>
                      <wps:spPr bwMode="auto">
                        <a:xfrm>
                          <a:off x="0" y="0"/>
                          <a:ext cx="1158240" cy="281940"/>
                        </a:xfrm>
                        <a:prstGeom prst="rect">
                          <a:avLst/>
                        </a:prstGeom>
                        <a:noFill/>
                        <a:ln>
                          <a:noFill/>
                        </a:ln>
                        <a:effectLst/>
                      </wps:spPr>
                      <wps:txbx>
                        <w:txbxContent>
                          <w:p w14:paraId="76261E33">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转托管业务暂停</w:t>
                            </w:r>
                          </w:p>
                        </w:txbxContent>
                      </wps:txbx>
                      <wps:bodyPr rot="0" vert="horz" wrap="square" lIns="91440" tIns="45720" rIns="91440" bIns="45720" anchor="t" anchorCtr="0" upright="1">
                        <a:spAutoFit/>
                      </wps:bodyPr>
                    </wps:wsp>
                  </a:graphicData>
                </a:graphic>
              </wp:anchor>
            </w:drawing>
          </mc:Choice>
          <mc:Fallback>
            <w:pict>
              <v:shape id="Text Box 289" o:spid="_x0000_s1026" o:spt="202" type="#_x0000_t202" style="position:absolute;left:0pt;margin-left:178.3pt;margin-top:5.55pt;height:22.2pt;width:91.2pt;z-index:251675648;mso-width-relative:page;mso-height-relative:page;" filled="f" stroked="f" coordsize="21600,21600" o:gfxdata="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MndB1gAAAAkBAAAPAAAAAAAAAAEAIAAAACIA&#10;AABkcnMvZG93bnJldi54bWxQSwECFAAUAAAACACHTuJApJuC2wsCAAAmBAAADgAAAAAAAAABACAA&#10;AAAlAQAAZHJzL2Uyb0RvYy54bWxQSwUGAAAAAAYABgBZAQAAogUAAAAA&#10;">
                <v:fill on="f" focussize="0,0"/>
                <v:stroke on="f"/>
                <v:imagedata o:title=""/>
                <o:lock v:ext="edit" aspectratio="f"/>
                <v:textbox style="mso-fit-shape-to-text:t;">
                  <w:txbxContent>
                    <w:p w14:paraId="76261E33">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转托管业务暂停</w:t>
                      </w:r>
                    </w:p>
                  </w:txbxContent>
                </v:textbox>
              </v:shape>
            </w:pict>
          </mc:Fallback>
        </mc:AlternateContent>
      </w:r>
    </w:p>
    <w:p w14:paraId="3235076E">
      <w:pPr>
        <w:pStyle w:val="16"/>
        <w:snapToGrid w:val="0"/>
        <w:spacing w:before="0" w:beforeAutospacing="0" w:after="0" w:afterAutospacing="0" w:line="360" w:lineRule="auto"/>
        <w:ind w:left="420"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mc:AlternateContent>
          <mc:Choice Requires="wps">
            <w:drawing>
              <wp:anchor distT="0" distB="0" distL="114300" distR="114300" simplePos="0" relativeHeight="251670528" behindDoc="0" locked="0" layoutInCell="1" allowOverlap="1">
                <wp:simplePos x="0" y="0"/>
                <wp:positionH relativeFrom="column">
                  <wp:posOffset>3620135</wp:posOffset>
                </wp:positionH>
                <wp:positionV relativeFrom="paragraph">
                  <wp:posOffset>212090</wp:posOffset>
                </wp:positionV>
                <wp:extent cx="370205" cy="281940"/>
                <wp:effectExtent l="0" t="0" r="0" b="0"/>
                <wp:wrapNone/>
                <wp:docPr id="28" name="Text Box 281"/>
                <wp:cNvGraphicFramePr/>
                <a:graphic xmlns:a="http://schemas.openxmlformats.org/drawingml/2006/main">
                  <a:graphicData uri="http://schemas.microsoft.com/office/word/2010/wordprocessingShape">
                    <wps:wsp>
                      <wps:cNvSpPr txBox="1">
                        <a:spLocks noChangeArrowheads="1"/>
                      </wps:cNvSpPr>
                      <wps:spPr bwMode="auto">
                        <a:xfrm>
                          <a:off x="0" y="0"/>
                          <a:ext cx="541655" cy="281940"/>
                        </a:xfrm>
                        <a:prstGeom prst="rect">
                          <a:avLst/>
                        </a:prstGeom>
                        <a:noFill/>
                        <a:ln>
                          <a:noFill/>
                        </a:ln>
                        <a:effectLst/>
                      </wps:spPr>
                      <wps:txbx>
                        <w:txbxContent>
                          <w:p w14:paraId="4BF17B3B">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wps:txbx>
                      <wps:bodyPr rot="0" vert="horz" wrap="square" lIns="91440" tIns="45720" rIns="91440" bIns="45720" anchor="t" anchorCtr="0" upright="1">
                        <a:spAutoFit/>
                      </wps:bodyPr>
                    </wps:wsp>
                  </a:graphicData>
                </a:graphic>
              </wp:anchor>
            </w:drawing>
          </mc:Choice>
          <mc:Fallback>
            <w:pict>
              <v:shape id="Text Box 281" o:spid="_x0000_s1026" o:spt="202" type="#_x0000_t202" style="position:absolute;left:0pt;margin-left:285.05pt;margin-top:16.7pt;height:22.2pt;width:29.15pt;z-index:251670528;mso-width-relative:page;mso-height-relative:page;" filled="f" stroked="f" coordsize="21600,21600" o:gfxdata="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uG9S2AAAAAkBAAAPAAAAAAAAAAEAIAAA&#10;ACIAAABkcnMvZG93bnJldi54bWxQSwECFAAUAAAACACHTuJATQHS3gwCAAAkBAAADgAAAAAAAAAB&#10;ACAAAAAnAQAAZHJzL2Uyb0RvYy54bWxQSwUGAAAAAAYABgBZAQAApQUAAAAA&#10;">
                <v:fill on="f" focussize="0,0"/>
                <v:stroke on="f"/>
                <v:imagedata o:title=""/>
                <o:lock v:ext="edit" aspectratio="f"/>
                <v:textbox style="mso-fit-shape-to-text:t;">
                  <w:txbxContent>
                    <w:p w14:paraId="4BF17B3B">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v:textbox>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71552" behindDoc="0" locked="0" layoutInCell="1" allowOverlap="1">
                <wp:simplePos x="0" y="0"/>
                <wp:positionH relativeFrom="column">
                  <wp:posOffset>4320540</wp:posOffset>
                </wp:positionH>
                <wp:positionV relativeFrom="paragraph">
                  <wp:posOffset>228600</wp:posOffset>
                </wp:positionV>
                <wp:extent cx="541655" cy="281940"/>
                <wp:effectExtent l="0" t="0" r="0" b="0"/>
                <wp:wrapNone/>
                <wp:docPr id="29" name="Text Box 282"/>
                <wp:cNvGraphicFramePr/>
                <a:graphic xmlns:a="http://schemas.openxmlformats.org/drawingml/2006/main">
                  <a:graphicData uri="http://schemas.microsoft.com/office/word/2010/wordprocessingShape">
                    <wps:wsp>
                      <wps:cNvSpPr txBox="1">
                        <a:spLocks noChangeArrowheads="1"/>
                      </wps:cNvSpPr>
                      <wps:spPr bwMode="auto">
                        <a:xfrm>
                          <a:off x="0" y="0"/>
                          <a:ext cx="541655" cy="281940"/>
                        </a:xfrm>
                        <a:prstGeom prst="rect">
                          <a:avLst/>
                        </a:prstGeom>
                        <a:noFill/>
                        <a:ln>
                          <a:noFill/>
                        </a:ln>
                        <a:effectLst/>
                      </wps:spPr>
                      <wps:txbx>
                        <w:txbxContent>
                          <w:p w14:paraId="5A4AB0B5">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w:t>
                            </w:r>
                          </w:p>
                        </w:txbxContent>
                      </wps:txbx>
                      <wps:bodyPr rot="0" vert="horz" wrap="square" lIns="91440" tIns="45720" rIns="91440" bIns="45720" anchor="t" anchorCtr="0" upright="1">
                        <a:spAutoFit/>
                      </wps:bodyPr>
                    </wps:wsp>
                  </a:graphicData>
                </a:graphic>
              </wp:anchor>
            </w:drawing>
          </mc:Choice>
          <mc:Fallback>
            <w:pict>
              <v:shape id="Text Box 282" o:spid="_x0000_s1026" o:spt="202" type="#_x0000_t202" style="position:absolute;left:0pt;margin-left:340.2pt;margin-top:18pt;height:22.2pt;width:42.65pt;z-index:251671552;mso-width-relative:page;mso-height-relative:page;" filled="f" stroked="f" coordsize="21600,21600" o:gfxdata="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BfPO1gAAAAkBAAAPAAAAAAAAAAEAIAAA&#10;ACIAAABkcnMvZG93bnJldi54bWxQSwECFAAUAAAACACHTuJA3re42w4CAAAkBAAADgAAAAAAAAAB&#10;ACAAAAAlAQAAZHJzL2Uyb0RvYy54bWxQSwUGAAAAAAYABgBZAQAApQUAAAAA&#10;">
                <v:fill on="f" focussize="0,0"/>
                <v:stroke on="f"/>
                <v:imagedata o:title=""/>
                <o:lock v:ext="edit" aspectratio="f"/>
                <v:textbox style="mso-fit-shape-to-text:t;">
                  <w:txbxContent>
                    <w:p w14:paraId="5A4AB0B5">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T+1</w:t>
                      </w:r>
                    </w:p>
                  </w:txbxContent>
                </v:textbox>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74624" behindDoc="0" locked="0" layoutInCell="1" allowOverlap="1">
                <wp:simplePos x="0" y="0"/>
                <wp:positionH relativeFrom="column">
                  <wp:posOffset>2694305</wp:posOffset>
                </wp:positionH>
                <wp:positionV relativeFrom="paragraph">
                  <wp:posOffset>220345</wp:posOffset>
                </wp:positionV>
                <wp:extent cx="541655" cy="281940"/>
                <wp:effectExtent l="0" t="0" r="0" b="0"/>
                <wp:wrapNone/>
                <wp:docPr id="31" name="Text Box 288"/>
                <wp:cNvGraphicFramePr/>
                <a:graphic xmlns:a="http://schemas.openxmlformats.org/drawingml/2006/main">
                  <a:graphicData uri="http://schemas.microsoft.com/office/word/2010/wordprocessingShape">
                    <wps:wsp>
                      <wps:cNvSpPr txBox="1">
                        <a:spLocks noChangeArrowheads="1"/>
                      </wps:cNvSpPr>
                      <wps:spPr bwMode="auto">
                        <a:xfrm>
                          <a:off x="0" y="0"/>
                          <a:ext cx="541655" cy="281940"/>
                        </a:xfrm>
                        <a:prstGeom prst="rect">
                          <a:avLst/>
                        </a:prstGeom>
                        <a:noFill/>
                        <a:ln>
                          <a:noFill/>
                        </a:ln>
                        <a:effectLst/>
                      </wps:spPr>
                      <wps:txbx>
                        <w:txbxContent>
                          <w:p w14:paraId="447A6C9E">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R-2</w:t>
                            </w:r>
                          </w:p>
                        </w:txbxContent>
                      </wps:txbx>
                      <wps:bodyPr rot="0" vert="horz" wrap="square" lIns="91440" tIns="45720" rIns="91440" bIns="45720" anchor="t" anchorCtr="0" upright="1">
                        <a:spAutoFit/>
                      </wps:bodyPr>
                    </wps:wsp>
                  </a:graphicData>
                </a:graphic>
              </wp:anchor>
            </w:drawing>
          </mc:Choice>
          <mc:Fallback>
            <w:pict>
              <v:shape id="Text Box 288" o:spid="_x0000_s1026" o:spt="202" type="#_x0000_t202" style="position:absolute;left:0pt;margin-left:212.15pt;margin-top:17.35pt;height:22.2pt;width:42.65pt;z-index:251674624;mso-width-relative:page;mso-height-relative:page;" filled="f" stroked="f" coordsize="21600,21600" o:gfxdata="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cDeR7YAAAACQEAAA8AAAAAAAAAAQAg&#10;AAAAIgAAAGRycy9kb3ducmV2LnhtbFBLAQIUABQAAAAIAIdO4kAwDdDbDgIAACQEAAAOAAAAAAAA&#10;AAEAIAAAACcBAABkcnMvZTJvRG9jLnhtbFBLBQYAAAAABgAGAFkBAACnBQAAAAA=&#10;">
                <v:fill on="f" focussize="0,0"/>
                <v:stroke on="f"/>
                <v:imagedata o:title=""/>
                <o:lock v:ext="edit" aspectratio="f"/>
                <v:textbox style="mso-fit-shape-to-text:t;">
                  <w:txbxContent>
                    <w:p w14:paraId="447A6C9E">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R-2</w:t>
                      </w:r>
                    </w:p>
                  </w:txbxContent>
                </v:textbox>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8480" behindDoc="0" locked="0" layoutInCell="1" allowOverlap="1">
                <wp:simplePos x="0" y="0"/>
                <wp:positionH relativeFrom="column">
                  <wp:posOffset>544195</wp:posOffset>
                </wp:positionH>
                <wp:positionV relativeFrom="paragraph">
                  <wp:posOffset>240665</wp:posOffset>
                </wp:positionV>
                <wp:extent cx="699770" cy="281940"/>
                <wp:effectExtent l="0" t="0" r="0" b="0"/>
                <wp:wrapNone/>
                <wp:docPr id="26"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699770" cy="281940"/>
                        </a:xfrm>
                        <a:prstGeom prst="rect">
                          <a:avLst/>
                        </a:prstGeom>
                        <a:noFill/>
                        <a:ln>
                          <a:noFill/>
                        </a:ln>
                        <a:effectLst/>
                      </wps:spPr>
                      <wps:txbx>
                        <w:txbxContent>
                          <w:p w14:paraId="1D9BC8B2">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R-6前</w:t>
                            </w:r>
                          </w:p>
                        </w:txbxContent>
                      </wps:txbx>
                      <wps:bodyPr rot="0" vert="horz" wrap="square" lIns="91440" tIns="45720" rIns="91440" bIns="45720" anchor="t" anchorCtr="0" upright="1">
                        <a:spAutoFit/>
                      </wps:bodyPr>
                    </wps:wsp>
                  </a:graphicData>
                </a:graphic>
              </wp:anchor>
            </w:drawing>
          </mc:Choice>
          <mc:Fallback>
            <w:pict>
              <v:shape id="Text Box 279" o:spid="_x0000_s1026" o:spt="202" type="#_x0000_t202" style="position:absolute;left:0pt;margin-left:42.85pt;margin-top:18.95pt;height:22.2pt;width:55.1pt;z-index:251668480;mso-width-relative:page;mso-height-relative:page;" filled="f" stroked="f" coordsize="21600,21600" o:gfxdata="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ALl/WAAAACAEAAA8AAAAAAAAAAQAgAAAA&#10;IgAAAGRycy9kb3ducmV2LnhtbFBLAQIUABQAAAAIAIdO4kCK2ZW6DQIAACQEAAAOAAAAAAAAAAEA&#10;IAAAACUBAABkcnMvZTJvRG9jLnhtbFBLBQYAAAAABgAGAFkBAACkBQAAAAA=&#10;">
                <v:fill on="f" focussize="0,0"/>
                <v:stroke on="f"/>
                <v:imagedata o:title=""/>
                <o:lock v:ext="edit" aspectratio="f"/>
                <v:textbox style="mso-fit-shape-to-text:t;">
                  <w:txbxContent>
                    <w:p w14:paraId="1D9BC8B2">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R-6前</w:t>
                      </w:r>
                    </w:p>
                  </w:txbxContent>
                </v:textbox>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73600" behindDoc="0" locked="0" layoutInCell="1" allowOverlap="1">
                <wp:simplePos x="0" y="0"/>
                <wp:positionH relativeFrom="column">
                  <wp:posOffset>2863215</wp:posOffset>
                </wp:positionH>
                <wp:positionV relativeFrom="paragraph">
                  <wp:posOffset>104140</wp:posOffset>
                </wp:positionV>
                <wp:extent cx="0" cy="107950"/>
                <wp:effectExtent l="9525" t="0" r="9525" b="6350"/>
                <wp:wrapNone/>
                <wp:docPr id="30" name="Line 287"/>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287" o:spid="_x0000_s1026" o:spt="20" style="position:absolute;left:0pt;margin-left:225.45pt;margin-top:8.2pt;height:8.5pt;width:0pt;z-index:251673600;mso-width-relative:page;mso-height-relative:page;" filled="f" stroked="t" coordsize="21600,21600" o:gfxdata="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YVJDb2AAAAAkBAAAPAAAAAAAAAAEAIAAA&#10;ACIAAABkcnMvZG93bnJldi54bWxQSwECFAAUAAAACACHTuJAH7G/1dMBAAC9AwAADgAAAAAAAAAB&#10;ACAAAAAnAQAAZHJzL2Uyb0RvYy54bWxQSwUGAAAAAAYABgBZAQAAbAUAAAAA&#10;">
                <v:fill on="f" focussize="0,0"/>
                <v:stroke weight="1.5pt" color="#000000" miterlimit="8" joinstyle="miter"/>
                <v:imagedata o:title=""/>
                <o:lock v:ext="edit" aspectratio="f"/>
              </v:lin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9504" behindDoc="0" locked="0" layoutInCell="1" allowOverlap="1">
                <wp:simplePos x="0" y="0"/>
                <wp:positionH relativeFrom="column">
                  <wp:posOffset>1457325</wp:posOffset>
                </wp:positionH>
                <wp:positionV relativeFrom="paragraph">
                  <wp:posOffset>228600</wp:posOffset>
                </wp:positionV>
                <wp:extent cx="948690" cy="281940"/>
                <wp:effectExtent l="0" t="0" r="0" b="0"/>
                <wp:wrapNone/>
                <wp:docPr id="27"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948690" cy="281940"/>
                        </a:xfrm>
                        <a:prstGeom prst="rect">
                          <a:avLst/>
                        </a:prstGeom>
                        <a:noFill/>
                        <a:ln>
                          <a:noFill/>
                        </a:ln>
                        <a:effectLst/>
                      </wps:spPr>
                      <wps:txbx>
                        <w:txbxContent>
                          <w:p w14:paraId="4DC2BA48">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R-4 12点前</w:t>
                            </w:r>
                          </w:p>
                        </w:txbxContent>
                      </wps:txbx>
                      <wps:bodyPr rot="0" vert="horz" wrap="square" lIns="91440" tIns="45720" rIns="91440" bIns="45720" anchor="t" anchorCtr="0" upright="1">
                        <a:spAutoFit/>
                      </wps:bodyPr>
                    </wps:wsp>
                  </a:graphicData>
                </a:graphic>
              </wp:anchor>
            </w:drawing>
          </mc:Choice>
          <mc:Fallback>
            <w:pict>
              <v:shape id="Text Box 280" o:spid="_x0000_s1026" o:spt="202" type="#_x0000_t202" style="position:absolute;left:0pt;margin-left:114.75pt;margin-top:18pt;height:22.2pt;width:74.7pt;z-index:251669504;mso-width-relative:page;mso-height-relative:page;" filled="f" stroked="f" coordsize="21600,21600" o:gfxdata="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reRdNcAAAAJAQAADwAAAAAAAAABACAAAAAi&#10;AAAAZHJzL2Rvd25yZXYueG1sUEsBAhQAFAAAAAgAh07iQHU+kqgLAgAAJAQAAA4AAAAAAAAAAQAg&#10;AAAAJgEAAGRycy9lMm9Eb2MueG1sUEsFBgAAAAAGAAYAWQEAAKMFAAAAAA==&#10;">
                <v:fill on="f" focussize="0,0"/>
                <v:stroke on="f"/>
                <v:imagedata o:title=""/>
                <o:lock v:ext="edit" aspectratio="f"/>
                <v:textbox style="mso-fit-shape-to-text:t;">
                  <w:txbxContent>
                    <w:p w14:paraId="4DC2BA48">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R-4 12点前</w:t>
                      </w:r>
                    </w:p>
                  </w:txbxContent>
                </v:textbox>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7456" behindDoc="0" locked="0" layoutInCell="1" allowOverlap="1">
                <wp:simplePos x="0" y="0"/>
                <wp:positionH relativeFrom="column">
                  <wp:posOffset>4526280</wp:posOffset>
                </wp:positionH>
                <wp:positionV relativeFrom="paragraph">
                  <wp:posOffset>120650</wp:posOffset>
                </wp:positionV>
                <wp:extent cx="0" cy="107950"/>
                <wp:effectExtent l="9525" t="0" r="9525" b="6350"/>
                <wp:wrapNone/>
                <wp:docPr id="24" name="Line 278"/>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278" o:spid="_x0000_s1026" o:spt="20" style="position:absolute;left:0pt;margin-left:356.4pt;margin-top:9.5pt;height:8.5pt;width:0pt;z-index:251667456;mso-width-relative:page;mso-height-relative:page;" filled="f" stroked="t" coordsize="21600,21600" o:gfxdata="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ioN57XAAAACQEAAA8AAAAAAAAAAQAgAAAA&#10;IgAAAGRycy9kb3ducmV2LnhtbFBLAQIUABQAAAAIAIdO4kBopmlN0wEAAL0DAAAOAAAAAAAAAAEA&#10;IAAAACY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6432" behindDoc="0" locked="0" layoutInCell="1" allowOverlap="1">
                <wp:simplePos x="0" y="0"/>
                <wp:positionH relativeFrom="column">
                  <wp:posOffset>3782060</wp:posOffset>
                </wp:positionH>
                <wp:positionV relativeFrom="paragraph">
                  <wp:posOffset>120650</wp:posOffset>
                </wp:positionV>
                <wp:extent cx="0" cy="107950"/>
                <wp:effectExtent l="9525" t="0" r="9525" b="6350"/>
                <wp:wrapNone/>
                <wp:docPr id="23" name="Line 277"/>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277" o:spid="_x0000_s1026" o:spt="20" style="position:absolute;left:0pt;margin-left:297.8pt;margin-top:9.5pt;height:8.5pt;width:0pt;z-index:251666432;mso-width-relative:page;mso-height-relative:page;" filled="f" stroked="t" coordsize="21600,21600" o:gfxdata="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UZALXAAAACQEAAA8AAAAAAAAAAQAgAAAA&#10;IgAAAGRycy9kb3ducmV2LnhtbFBLAQIUABQAAAAIAIdO4kCGgtB00wEAAL0DAAAOAAAAAAAAAAEA&#10;IAAAACY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5408" behindDoc="0" locked="0" layoutInCell="1" allowOverlap="1">
                <wp:simplePos x="0" y="0"/>
                <wp:positionH relativeFrom="column">
                  <wp:posOffset>1904365</wp:posOffset>
                </wp:positionH>
                <wp:positionV relativeFrom="paragraph">
                  <wp:posOffset>120650</wp:posOffset>
                </wp:positionV>
                <wp:extent cx="0" cy="107950"/>
                <wp:effectExtent l="9525" t="0" r="9525" b="6350"/>
                <wp:wrapNone/>
                <wp:docPr id="22" name="Line 276"/>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276" o:spid="_x0000_s1026" o:spt="20" style="position:absolute;left:0pt;margin-left:149.95pt;margin-top:9.5pt;height:8.5pt;width:0pt;z-index:251665408;mso-width-relative:page;mso-height-relative:page;" filled="f" stroked="t" coordsize="21600,21600" o:gfxdata="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RssrXAAAACQEAAA8AAAAAAAAAAQAgAAAA&#10;IgAAAGRycy9kb3ducmV2LnhtbFBLAQIUABQAAAAIAIdO4kBTmNCB0wEAAL0DAAAOAAAAAAAAAAEA&#10;IAAAACY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4384" behindDoc="0" locked="0" layoutInCell="1" allowOverlap="1">
                <wp:simplePos x="0" y="0"/>
                <wp:positionH relativeFrom="column">
                  <wp:posOffset>812165</wp:posOffset>
                </wp:positionH>
                <wp:positionV relativeFrom="paragraph">
                  <wp:posOffset>220345</wp:posOffset>
                </wp:positionV>
                <wp:extent cx="4319905" cy="0"/>
                <wp:effectExtent l="0" t="38100" r="4445" b="38100"/>
                <wp:wrapNone/>
                <wp:docPr id="21" name="AutoShape 275"/>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9050">
                          <a:solidFill>
                            <a:srgbClr val="000000"/>
                          </a:solidFill>
                          <a:miter lim="800000"/>
                          <a:tailEnd type="triangle" w="med" len="med"/>
                        </a:ln>
                        <a:effectLst/>
                      </wps:spPr>
                      <wps:bodyPr/>
                    </wps:wsp>
                  </a:graphicData>
                </a:graphic>
              </wp:anchor>
            </w:drawing>
          </mc:Choice>
          <mc:Fallback>
            <w:pict>
              <v:shape id="AutoShape 275" o:spid="_x0000_s1026" o:spt="32" type="#_x0000_t32" style="position:absolute;left:0pt;margin-left:63.95pt;margin-top:17.35pt;height:0pt;width:340.15pt;z-index:251664384;mso-width-relative:page;mso-height-relative:page;" filled="f" stroked="t" coordsize="21600,21600" o:gfxdata="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eScn1gAAAAkBAAAPAAAAAAAAAAEAIAAAACIAAABkcnMvZG93bnJldi54&#10;bWxQSwECFAAUAAAACACHTuJAXERhl/wBAAD/AwAADgAAAAAAAAABACAAAAAlAQAAZHJzL2Uyb0Rv&#10;Yy54bWxQSwUGAAAAAAYABgBZAQAAkwUAAAAA&#10;">
                <v:fill on="f" focussize="0,0"/>
                <v:stroke weight="1.5pt" color="#000000" miterlimit="8" joinstyle="miter" endarrow="block"/>
                <v:imagedata o:title=""/>
                <o:lock v:ext="edit" aspectratio="f"/>
              </v:shap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3360" behindDoc="0" locked="0" layoutInCell="1" allowOverlap="1">
                <wp:simplePos x="0" y="0"/>
                <wp:positionH relativeFrom="column">
                  <wp:posOffset>812165</wp:posOffset>
                </wp:positionH>
                <wp:positionV relativeFrom="paragraph">
                  <wp:posOffset>120650</wp:posOffset>
                </wp:positionV>
                <wp:extent cx="0" cy="107950"/>
                <wp:effectExtent l="9525" t="0" r="9525" b="6350"/>
                <wp:wrapNone/>
                <wp:docPr id="20" name="Line 274"/>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274" o:spid="_x0000_s1026" o:spt="20" style="position:absolute;left:0pt;margin-left:63.95pt;margin-top:9.5pt;height:8.5pt;width:0pt;z-index:251663360;mso-width-relative:page;mso-height-relative:page;" filled="f" stroked="t" coordsize="21600,21600" o:gfxdata="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ux253XAAAACQEAAA8AAAAAAAAAAQAgAAAA&#10;IgAAAGRycy9kb3ducmV2LnhtbFBLAQIUABQAAAAIAIdO4kC4q6Gw0wEAAL0DAAAOAAAAAAAAAAEA&#10;IAAAACY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eastAsia="仿宋_GB2312" w:cs="Times New Roman"/>
          <w:sz w:val="30"/>
          <w:szCs w:val="30"/>
        </w:rPr>
        <mc:AlternateContent>
          <mc:Choice Requires="wps">
            <w:drawing>
              <wp:anchor distT="0" distB="0" distL="114300" distR="114300" simplePos="0" relativeHeight="251662336" behindDoc="0" locked="0" layoutInCell="1" allowOverlap="1">
                <wp:simplePos x="0" y="0"/>
                <wp:positionH relativeFrom="column">
                  <wp:posOffset>2981325</wp:posOffset>
                </wp:positionH>
                <wp:positionV relativeFrom="paragraph">
                  <wp:posOffset>327025</wp:posOffset>
                </wp:positionV>
                <wp:extent cx="541655" cy="447040"/>
                <wp:effectExtent l="0" t="0" r="0" b="0"/>
                <wp:wrapNone/>
                <wp:docPr id="19" name="Text Box 273"/>
                <wp:cNvGraphicFramePr/>
                <a:graphic xmlns:a="http://schemas.openxmlformats.org/drawingml/2006/main">
                  <a:graphicData uri="http://schemas.microsoft.com/office/word/2010/wordprocessingShape">
                    <wps:wsp>
                      <wps:cNvSpPr txBox="1">
                        <a:spLocks noChangeArrowheads="1"/>
                      </wps:cNvSpPr>
                      <wps:spPr bwMode="auto">
                        <a:xfrm>
                          <a:off x="0" y="0"/>
                          <a:ext cx="541655" cy="447040"/>
                        </a:xfrm>
                        <a:prstGeom prst="rect">
                          <a:avLst/>
                        </a:prstGeom>
                        <a:noFill/>
                        <a:ln>
                          <a:noFill/>
                        </a:ln>
                        <a:effectLst/>
                      </wps:spPr>
                      <wps:txbx>
                        <w:txbxContent>
                          <w:p w14:paraId="0A70DD7D">
                            <w:pPr>
                              <w:pStyle w:val="16"/>
                              <w:spacing w:before="0" w:beforeAutospacing="0" w:after="0" w:afterAutospacing="0"/>
                              <w:ind w:firstLine="480"/>
                              <w:rPr>
                                <w:rFonts w:hint="eastAsia"/>
                              </w:rPr>
                            </w:pPr>
                          </w:p>
                        </w:txbxContent>
                      </wps:txbx>
                      <wps:bodyPr rot="0" vert="horz" wrap="square" lIns="91440" tIns="45720" rIns="91440" bIns="45720" anchor="t" anchorCtr="0" upright="1">
                        <a:spAutoFit/>
                      </wps:bodyPr>
                    </wps:wsp>
                  </a:graphicData>
                </a:graphic>
              </wp:anchor>
            </w:drawing>
          </mc:Choice>
          <mc:Fallback>
            <w:pict>
              <v:shape id="Text Box 273" o:spid="_x0000_s1026" o:spt="202" type="#_x0000_t202" style="position:absolute;left:0pt;margin-left:234.75pt;margin-top:25.75pt;height:35.2pt;width:42.65pt;z-index:251662336;mso-width-relative:page;mso-height-relative:page;" filled="f" stroked="f" coordsize="21600,21600" o:gfxdata="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Bj8/1wAAAAoBAAAPAAAAAAAAAAEAIAAA&#10;ACIAAABkcnMvZG93bnJldi54bWxQSwECFAAUAAAACACHTuJAYFBDDQ0CAAAkBAAADgAAAAAAAAAB&#10;ACAAAAAmAQAAZHJzL2Uyb0RvYy54bWxQSwUGAAAAAAYABgBZAQAApQUAAAAA&#10;">
                <v:fill on="f" focussize="0,0"/>
                <v:stroke on="f"/>
                <v:imagedata o:title=""/>
                <o:lock v:ext="edit" aspectratio="f"/>
                <v:textbox style="mso-fit-shape-to-text:t;">
                  <w:txbxContent>
                    <w:p w14:paraId="0A70DD7D">
                      <w:pPr>
                        <w:pStyle w:val="16"/>
                        <w:spacing w:before="0" w:beforeAutospacing="0" w:after="0" w:afterAutospacing="0"/>
                        <w:ind w:firstLine="480"/>
                        <w:rPr>
                          <w:rFonts w:hint="eastAsia"/>
                        </w:rPr>
                      </w:pPr>
                    </w:p>
                  </w:txbxContent>
                </v:textbox>
              </v:shape>
            </w:pict>
          </mc:Fallback>
        </mc:AlternateContent>
      </w:r>
    </w:p>
    <w:p w14:paraId="376AE5D2">
      <w:pPr>
        <w:snapToGrid w:val="0"/>
        <w:spacing w:line="360" w:lineRule="auto"/>
        <w:ind w:firstLine="600"/>
        <w:rPr>
          <w:rFonts w:ascii="Times New Roman" w:hAnsi="Times New Roman"/>
          <w:color w:val="000000"/>
          <w:kern w:val="0"/>
          <w:szCs w:val="30"/>
        </w:rPr>
      </w:pPr>
    </w:p>
    <w:p w14:paraId="1AFF817B">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图2-4-1 公募REITs分红业务办理时间</w:t>
      </w:r>
    </w:p>
    <w:p w14:paraId="57171D81">
      <w:pPr>
        <w:ind w:firstLine="600"/>
        <w:rPr>
          <w:rFonts w:ascii="Times New Roman" w:hAnsi="Times New Roman"/>
          <w:kern w:val="0"/>
        </w:rPr>
      </w:pPr>
      <w:r>
        <w:rPr>
          <w:rFonts w:ascii="Times New Roman" w:hAnsi="Times New Roman"/>
          <w:kern w:val="0"/>
        </w:rPr>
        <w:t>基金管理人需至少在权益登记日</w:t>
      </w:r>
      <w:r>
        <w:rPr>
          <w:rFonts w:hint="eastAsia" w:ascii="Times New Roman" w:hAnsi="Times New Roman"/>
          <w:kern w:val="0"/>
        </w:rPr>
        <w:t>R</w:t>
      </w:r>
      <w:r>
        <w:rPr>
          <w:rFonts w:ascii="Times New Roman" w:hAnsi="Times New Roman"/>
          <w:kern w:val="0"/>
        </w:rPr>
        <w:t>前6个交易日根据中国结算相关要求，向中国结算上海分公司相关业务部提交</w:t>
      </w:r>
      <w:r>
        <w:rPr>
          <w:rFonts w:hint="eastAsia" w:ascii="Times New Roman" w:hAnsi="Times New Roman"/>
        </w:rPr>
        <w:t>公募</w:t>
      </w:r>
      <w:r>
        <w:rPr>
          <w:rFonts w:ascii="Times New Roman" w:hAnsi="Times New Roman"/>
          <w:kern w:val="0"/>
        </w:rPr>
        <w:t>REITs分红业务申请。</w:t>
      </w:r>
    </w:p>
    <w:p w14:paraId="2CD3C531">
      <w:pPr>
        <w:ind w:firstLine="600"/>
        <w:rPr>
          <w:rFonts w:ascii="Times New Roman" w:hAnsi="Times New Roman"/>
        </w:rPr>
      </w:pPr>
      <w:r>
        <w:rPr>
          <w:rFonts w:ascii="Times New Roman" w:hAnsi="Times New Roman"/>
          <w:kern w:val="0"/>
        </w:rPr>
        <w:t>基金管理人需至少在权益登记日</w:t>
      </w:r>
      <w:r>
        <w:rPr>
          <w:rFonts w:hint="eastAsia" w:ascii="Times New Roman" w:hAnsi="Times New Roman"/>
          <w:kern w:val="0"/>
        </w:rPr>
        <w:t>R</w:t>
      </w:r>
      <w:r>
        <w:rPr>
          <w:rFonts w:ascii="Times New Roman" w:hAnsi="Times New Roman"/>
          <w:kern w:val="0"/>
        </w:rPr>
        <w:t>前4个交易日提交分红公告（格式参考附件</w:t>
      </w:r>
      <w:r>
        <w:rPr>
          <w:rFonts w:hint="eastAsia" w:ascii="Times New Roman" w:hAnsi="Times New Roman"/>
          <w:kern w:val="0"/>
        </w:rPr>
        <w:t>4</w:t>
      </w:r>
      <w:r>
        <w:rPr>
          <w:rFonts w:ascii="Times New Roman" w:hAnsi="Times New Roman"/>
          <w:kern w:val="0"/>
        </w:rPr>
        <w:t>）</w:t>
      </w:r>
      <w:r>
        <w:rPr>
          <w:rFonts w:hint="eastAsia" w:ascii="Times New Roman" w:hAnsi="Times New Roman"/>
          <w:kern w:val="0"/>
        </w:rPr>
        <w:t>，并在公告中明确暂停恢复转托管事宜</w:t>
      </w:r>
      <w:r>
        <w:rPr>
          <w:rFonts w:ascii="Times New Roman" w:hAnsi="Times New Roman"/>
        </w:rPr>
        <w:t>。</w:t>
      </w:r>
    </w:p>
    <w:p w14:paraId="5340AEC8">
      <w:pPr>
        <w:pStyle w:val="4"/>
        <w:ind w:firstLine="602"/>
        <w:rPr>
          <w:rFonts w:ascii="Times New Roman" w:hAnsi="Times New Roman"/>
        </w:rPr>
      </w:pPr>
      <w:r>
        <w:rPr>
          <w:rFonts w:ascii="Times New Roman" w:hAnsi="Times New Roman"/>
        </w:rPr>
        <w:t>（三）具体操作</w:t>
      </w:r>
    </w:p>
    <w:p w14:paraId="737E2185">
      <w:pPr>
        <w:ind w:firstLine="600"/>
        <w:rPr>
          <w:rFonts w:ascii="Times New Roman" w:hAnsi="Times New Roman"/>
          <w:kern w:val="0"/>
        </w:rPr>
      </w:pPr>
      <w:r>
        <w:rPr>
          <w:rFonts w:ascii="Times New Roman" w:hAnsi="Times New Roman"/>
          <w:kern w:val="0"/>
        </w:rPr>
        <w:t>基金管理人通过</w:t>
      </w:r>
      <w:r>
        <w:rPr>
          <w:rFonts w:ascii="Times New Roman" w:hAnsi="Times New Roman"/>
        </w:rPr>
        <w:t>业务管理系统平台</w:t>
      </w:r>
      <w:r>
        <w:rPr>
          <w:rFonts w:ascii="Times New Roman" w:hAnsi="Times New Roman"/>
          <w:kern w:val="0"/>
        </w:rPr>
        <w:t>“REITs-分红”流程提交分红申请，填写业务要素相关信息，上传分红公告，上传材料均以PDF格式的电子文件提交。</w:t>
      </w:r>
    </w:p>
    <w:p w14:paraId="48D8D69D">
      <w:pPr>
        <w:pStyle w:val="3"/>
        <w:spacing w:before="156" w:after="156"/>
        <w:ind w:firstLine="643"/>
        <w:rPr>
          <w:rFonts w:ascii="Times New Roman" w:hAnsi="Times New Roman"/>
        </w:rPr>
      </w:pPr>
      <w:bookmarkStart w:id="29" w:name="_Toc217484335"/>
      <w:r>
        <w:rPr>
          <w:rFonts w:ascii="Times New Roman" w:hAnsi="Times New Roman"/>
        </w:rPr>
        <w:t>五、更名</w:t>
      </w:r>
      <w:bookmarkEnd w:id="27"/>
      <w:bookmarkEnd w:id="29"/>
    </w:p>
    <w:p w14:paraId="41AE2312">
      <w:pPr>
        <w:pStyle w:val="4"/>
        <w:ind w:firstLine="602"/>
        <w:rPr>
          <w:rFonts w:ascii="Times New Roman" w:hAnsi="Times New Roman"/>
        </w:rPr>
      </w:pPr>
      <w:bookmarkStart w:id="30" w:name="_Toc72419520"/>
      <w:r>
        <w:rPr>
          <w:rFonts w:ascii="Times New Roman" w:hAnsi="Times New Roman"/>
        </w:rPr>
        <w:t>（一）适用情形</w:t>
      </w:r>
      <w:bookmarkEnd w:id="30"/>
    </w:p>
    <w:p w14:paraId="508441CE">
      <w:pPr>
        <w:widowControl/>
        <w:snapToGrid w:val="0"/>
        <w:ind w:firstLine="600"/>
        <w:rPr>
          <w:rFonts w:ascii="Times New Roman" w:hAnsi="Times New Roman"/>
          <w:kern w:val="0"/>
          <w:szCs w:val="30"/>
        </w:rPr>
      </w:pPr>
      <w:r>
        <w:rPr>
          <w:rFonts w:ascii="Times New Roman" w:hAnsi="Times New Roman"/>
          <w:kern w:val="0"/>
          <w:szCs w:val="30"/>
        </w:rPr>
        <w:t>本流程适用于公募REITs全称、</w:t>
      </w:r>
      <w:r>
        <w:rPr>
          <w:rFonts w:hint="eastAsia" w:ascii="Times New Roman" w:hAnsi="Times New Roman"/>
          <w:kern w:val="0"/>
          <w:szCs w:val="30"/>
        </w:rPr>
        <w:t>证券</w:t>
      </w:r>
      <w:r>
        <w:rPr>
          <w:rFonts w:ascii="Times New Roman" w:hAnsi="Times New Roman"/>
          <w:kern w:val="0"/>
          <w:szCs w:val="30"/>
        </w:rPr>
        <w:t>简称（场内短简称）、扩位简称的更名业务。</w:t>
      </w:r>
    </w:p>
    <w:p w14:paraId="7CDD549F">
      <w:pPr>
        <w:pStyle w:val="4"/>
        <w:ind w:firstLine="602"/>
        <w:rPr>
          <w:rFonts w:ascii="Times New Roman" w:hAnsi="Times New Roman"/>
        </w:rPr>
      </w:pPr>
      <w:bookmarkStart w:id="31" w:name="_Toc72419521"/>
      <w:r>
        <w:rPr>
          <w:rFonts w:ascii="Times New Roman" w:hAnsi="Times New Roman"/>
        </w:rPr>
        <mc:AlternateContent>
          <mc:Choice Requires="wps">
            <w:drawing>
              <wp:anchor distT="0" distB="0" distL="114300" distR="114300" simplePos="0" relativeHeight="251693056" behindDoc="1" locked="0" layoutInCell="1" allowOverlap="1">
                <wp:simplePos x="0" y="0"/>
                <wp:positionH relativeFrom="column">
                  <wp:posOffset>3181350</wp:posOffset>
                </wp:positionH>
                <wp:positionV relativeFrom="paragraph">
                  <wp:posOffset>351790</wp:posOffset>
                </wp:positionV>
                <wp:extent cx="1188085" cy="281940"/>
                <wp:effectExtent l="0" t="0" r="0" b="0"/>
                <wp:wrapNone/>
                <wp:docPr id="16" name="Text Box 296"/>
                <wp:cNvGraphicFramePr/>
                <a:graphic xmlns:a="http://schemas.openxmlformats.org/drawingml/2006/main">
                  <a:graphicData uri="http://schemas.microsoft.com/office/word/2010/wordprocessingShape">
                    <wps:wsp>
                      <wps:cNvSpPr txBox="1"/>
                      <wps:spPr>
                        <a:xfrm>
                          <a:off x="0" y="0"/>
                          <a:ext cx="1188085" cy="281940"/>
                        </a:xfrm>
                        <a:prstGeom prst="rect">
                          <a:avLst/>
                        </a:prstGeom>
                        <a:noFill/>
                        <a:ln>
                          <a:noFill/>
                        </a:ln>
                      </wps:spPr>
                      <wps:txbx>
                        <w:txbxContent>
                          <w:p w14:paraId="073EA1F4">
                            <w:pPr>
                              <w:pStyle w:val="16"/>
                              <w:spacing w:before="0" w:beforeAutospacing="0" w:after="0" w:afterAutospacing="0" w:line="300" w:lineRule="exact"/>
                              <w:ind w:firstLine="0" w:firstLineChars="0"/>
                              <w:rPr>
                                <w:rFonts w:hint="eastAsia"/>
                                <w:sz w:val="21"/>
                                <w:szCs w:val="21"/>
                              </w:rPr>
                            </w:pPr>
                            <w:r>
                              <w:rPr>
                                <w:rFonts w:hint="eastAsia" w:ascii="仿宋_GB2312" w:hAnsi="仿宋"/>
                                <w:sz w:val="21"/>
                                <w:szCs w:val="21"/>
                              </w:rPr>
                              <w:t>更名生效</w:t>
                            </w:r>
                            <w:r>
                              <w:rPr>
                                <w:rFonts w:ascii="仿宋_GB2312" w:hAnsi="仿宋"/>
                                <w:sz w:val="21"/>
                                <w:szCs w:val="21"/>
                              </w:rPr>
                              <w:t>日</w:t>
                            </w:r>
                          </w:p>
                        </w:txbxContent>
                      </wps:txbx>
                      <wps:bodyPr upright="1">
                        <a:spAutoFit/>
                      </wps:bodyPr>
                    </wps:wsp>
                  </a:graphicData>
                </a:graphic>
              </wp:anchor>
            </w:drawing>
          </mc:Choice>
          <mc:Fallback>
            <w:pict>
              <v:shape id="Text Box 296" o:spid="_x0000_s1026" o:spt="202" type="#_x0000_t202" style="position:absolute;left:0pt;margin-left:250.5pt;margin-top:27.7pt;height:22.2pt;width:93.55pt;z-index:-251623424;mso-width-relative:page;mso-height-relative:page;" filled="f" stroked="f" coordsize="21600,21600" o:gfxdata="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lLn/dcAAAAJ&#10;AQAADwAAAAAAAAABACAAAAAiAAAAZHJzL2Rvd25yZXYueG1sUEsBAhQAFAAAAAgAh07iQASFF22r&#10;AQAAagMAAA4AAAAAAAAAAQAgAAAAJgEAAGRycy9lMm9Eb2MueG1sUEsFBgAAAAAGAAYAWQEAAEMF&#10;AAAAAA==&#10;">
                <v:fill on="f" focussize="0,0"/>
                <v:stroke on="f"/>
                <v:imagedata o:title=""/>
                <o:lock v:ext="edit" aspectratio="f"/>
                <v:textbox style="mso-fit-shape-to-text:t;">
                  <w:txbxContent>
                    <w:p w14:paraId="073EA1F4">
                      <w:pPr>
                        <w:pStyle w:val="16"/>
                        <w:spacing w:before="0" w:beforeAutospacing="0" w:after="0" w:afterAutospacing="0" w:line="300" w:lineRule="exact"/>
                        <w:ind w:firstLine="0" w:firstLineChars="0"/>
                        <w:rPr>
                          <w:rFonts w:hint="eastAsia"/>
                          <w:sz w:val="21"/>
                          <w:szCs w:val="21"/>
                        </w:rPr>
                      </w:pPr>
                      <w:r>
                        <w:rPr>
                          <w:rFonts w:hint="eastAsia" w:ascii="仿宋_GB2312" w:hAnsi="仿宋"/>
                          <w:sz w:val="21"/>
                          <w:szCs w:val="21"/>
                        </w:rPr>
                        <w:t>更名生效</w:t>
                      </w:r>
                      <w:r>
                        <w:rPr>
                          <w:rFonts w:ascii="仿宋_GB2312" w:hAnsi="仿宋"/>
                          <w:sz w:val="21"/>
                          <w:szCs w:val="21"/>
                        </w:rPr>
                        <w:t>日</w:t>
                      </w:r>
                    </w:p>
                  </w:txbxContent>
                </v:textbox>
              </v:shape>
            </w:pict>
          </mc:Fallback>
        </mc:AlternateContent>
      </w:r>
      <w:r>
        <w:rPr>
          <w:rFonts w:ascii="Times New Roman" w:hAnsi="Times New Roman"/>
        </w:rPr>
        <mc:AlternateContent>
          <mc:Choice Requires="wps">
            <w:drawing>
              <wp:anchor distT="0" distB="0" distL="114300" distR="114300" simplePos="0" relativeHeight="251694080" behindDoc="1" locked="0" layoutInCell="1" allowOverlap="1">
                <wp:simplePos x="0" y="0"/>
                <wp:positionH relativeFrom="column">
                  <wp:posOffset>1312545</wp:posOffset>
                </wp:positionH>
                <wp:positionV relativeFrom="paragraph">
                  <wp:posOffset>313690</wp:posOffset>
                </wp:positionV>
                <wp:extent cx="1199515" cy="281940"/>
                <wp:effectExtent l="0" t="0" r="0" b="0"/>
                <wp:wrapNone/>
                <wp:docPr id="17" name="Text Box 297"/>
                <wp:cNvGraphicFramePr/>
                <a:graphic xmlns:a="http://schemas.openxmlformats.org/drawingml/2006/main">
                  <a:graphicData uri="http://schemas.microsoft.com/office/word/2010/wordprocessingShape">
                    <wps:wsp>
                      <wps:cNvSpPr txBox="1"/>
                      <wps:spPr>
                        <a:xfrm>
                          <a:off x="0" y="0"/>
                          <a:ext cx="1199515" cy="281940"/>
                        </a:xfrm>
                        <a:prstGeom prst="rect">
                          <a:avLst/>
                        </a:prstGeom>
                        <a:noFill/>
                        <a:ln>
                          <a:noFill/>
                        </a:ln>
                      </wps:spPr>
                      <wps:txbx>
                        <w:txbxContent>
                          <w:p w14:paraId="57D370AC">
                            <w:pPr>
                              <w:pStyle w:val="16"/>
                              <w:spacing w:before="0" w:beforeAutospacing="0" w:after="0" w:afterAutospacing="0" w:line="300" w:lineRule="exact"/>
                              <w:ind w:firstLine="0" w:firstLineChars="0"/>
                              <w:rPr>
                                <w:rFonts w:hint="eastAsia"/>
                                <w:sz w:val="21"/>
                                <w:szCs w:val="21"/>
                              </w:rPr>
                            </w:pPr>
                            <w:r>
                              <w:rPr>
                                <w:rFonts w:hint="eastAsia" w:cs="Times New Roman"/>
                                <w:kern w:val="24"/>
                                <w:sz w:val="21"/>
                                <w:szCs w:val="21"/>
                              </w:rPr>
                              <w:t>提交更名公告</w:t>
                            </w:r>
                          </w:p>
                        </w:txbxContent>
                      </wps:txbx>
                      <wps:bodyPr upright="1">
                        <a:spAutoFit/>
                      </wps:bodyPr>
                    </wps:wsp>
                  </a:graphicData>
                </a:graphic>
              </wp:anchor>
            </w:drawing>
          </mc:Choice>
          <mc:Fallback>
            <w:pict>
              <v:shape id="Text Box 297" o:spid="_x0000_s1026" o:spt="202" type="#_x0000_t202" style="position:absolute;left:0pt;margin-left:103.35pt;margin-top:24.7pt;height:22.2pt;width:94.45pt;z-index:-251622400;mso-width-relative:page;mso-height-relative:page;" filled="f" stroked="f" coordsize="21600,21600" o:gfxdata="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r7Us2AAA&#10;AAkBAAAPAAAAAAAAAAEAIAAAACIAAABkcnMvZG93bnJldi54bWxQSwECFAAUAAAACACHTuJAL+7Q&#10;Q6wBAABqAwAADgAAAAAAAAABACAAAAAnAQAAZHJzL2Uyb0RvYy54bWxQSwUGAAAAAAYABgBZAQAA&#10;RQUAAAAA&#10;">
                <v:fill on="f" focussize="0,0"/>
                <v:stroke on="f"/>
                <v:imagedata o:title=""/>
                <o:lock v:ext="edit" aspectratio="f"/>
                <v:textbox style="mso-fit-shape-to-text:t;">
                  <w:txbxContent>
                    <w:p w14:paraId="57D370AC">
                      <w:pPr>
                        <w:pStyle w:val="16"/>
                        <w:spacing w:before="0" w:beforeAutospacing="0" w:after="0" w:afterAutospacing="0" w:line="300" w:lineRule="exact"/>
                        <w:ind w:firstLine="0" w:firstLineChars="0"/>
                        <w:rPr>
                          <w:rFonts w:hint="eastAsia"/>
                          <w:sz w:val="21"/>
                          <w:szCs w:val="21"/>
                        </w:rPr>
                      </w:pPr>
                      <w:r>
                        <w:rPr>
                          <w:rFonts w:hint="eastAsia" w:cs="Times New Roman"/>
                          <w:kern w:val="24"/>
                          <w:sz w:val="21"/>
                          <w:szCs w:val="21"/>
                        </w:rPr>
                        <w:t>提交更名公告</w:t>
                      </w:r>
                    </w:p>
                  </w:txbxContent>
                </v:textbox>
              </v:shape>
            </w:pict>
          </mc:Fallback>
        </mc:AlternateContent>
      </w:r>
      <w:r>
        <w:rPr>
          <w:rFonts w:ascii="Times New Roman" w:hAnsi="Times New Roman"/>
        </w:rPr>
        <w:t>（二）办理时间</w:t>
      </w:r>
      <w:bookmarkEnd w:id="31"/>
    </w:p>
    <w:p w14:paraId="52046154">
      <w:pPr>
        <w:adjustRightInd w:val="0"/>
        <w:snapToGrid w:val="0"/>
        <w:spacing w:line="400" w:lineRule="exact"/>
        <w:ind w:firstLine="560"/>
        <w:rPr>
          <w:rFonts w:ascii="Times New Roman" w:hAnsi="Times New Roman"/>
          <w:color w:val="000000"/>
          <w:kern w:val="0"/>
          <w:sz w:val="28"/>
          <w:szCs w:val="28"/>
        </w:rPr>
      </w:pPr>
    </w:p>
    <w:p w14:paraId="0D16C03D">
      <w:pPr>
        <w:adjustRightInd w:val="0"/>
        <w:snapToGrid w:val="0"/>
        <w:spacing w:line="400" w:lineRule="exact"/>
        <w:ind w:firstLine="560"/>
        <w:rPr>
          <w:rFonts w:ascii="Times New Roman" w:hAnsi="Times New Roman"/>
          <w:color w:val="000000"/>
          <w:kern w:val="0"/>
          <w:sz w:val="28"/>
          <w:szCs w:val="28"/>
        </w:rPr>
      </w:pPr>
      <w:r>
        <w:rPr>
          <w:rFonts w:ascii="Times New Roman" w:hAnsi="Times New Roman"/>
          <w:color w:val="000000"/>
          <w:kern w:val="0"/>
          <w:sz w:val="28"/>
          <w:szCs w:val="28"/>
        </w:rPr>
        <mc:AlternateContent>
          <mc:Choice Requires="wps">
            <w:drawing>
              <wp:anchor distT="0" distB="0" distL="114300" distR="114300" simplePos="0" relativeHeight="251692032" behindDoc="1" locked="0" layoutInCell="1" allowOverlap="1">
                <wp:simplePos x="0" y="0"/>
                <wp:positionH relativeFrom="column">
                  <wp:posOffset>3555365</wp:posOffset>
                </wp:positionH>
                <wp:positionV relativeFrom="paragraph">
                  <wp:posOffset>120015</wp:posOffset>
                </wp:positionV>
                <wp:extent cx="541655" cy="281940"/>
                <wp:effectExtent l="0" t="0" r="0" b="0"/>
                <wp:wrapNone/>
                <wp:docPr id="15" name="Text Box 295"/>
                <wp:cNvGraphicFramePr/>
                <a:graphic xmlns:a="http://schemas.openxmlformats.org/drawingml/2006/main">
                  <a:graphicData uri="http://schemas.microsoft.com/office/word/2010/wordprocessingShape">
                    <wps:wsp>
                      <wps:cNvSpPr txBox="1"/>
                      <wps:spPr>
                        <a:xfrm>
                          <a:off x="0" y="0"/>
                          <a:ext cx="541655" cy="281940"/>
                        </a:xfrm>
                        <a:prstGeom prst="rect">
                          <a:avLst/>
                        </a:prstGeom>
                        <a:noFill/>
                        <a:ln>
                          <a:noFill/>
                        </a:ln>
                      </wps:spPr>
                      <wps:txbx>
                        <w:txbxContent>
                          <w:p w14:paraId="55D5EC52">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wps:txbx>
                      <wps:bodyPr upright="1">
                        <a:spAutoFit/>
                      </wps:bodyPr>
                    </wps:wsp>
                  </a:graphicData>
                </a:graphic>
              </wp:anchor>
            </w:drawing>
          </mc:Choice>
          <mc:Fallback>
            <w:pict>
              <v:shape id="Text Box 295" o:spid="_x0000_s1026" o:spt="202" type="#_x0000_t202" style="position:absolute;left:0pt;margin-left:279.95pt;margin-top:9.45pt;height:22.2pt;width:42.65pt;z-index:-251624448;mso-width-relative:page;mso-height-relative:page;" filled="f" stroked="f" coordsize="21600,21600" o:gfxdata="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P6uX9cAAAAJ&#10;AQAADwAAAAAAAAABACAAAAAiAAAAZHJzL2Rvd25yZXYueG1sUEsBAhQAFAAAAAgAh07iQKJwNMur&#10;AQAAaQMAAA4AAAAAAAAAAQAgAAAAJgEAAGRycy9lMm9Eb2MueG1sUEsFBgAAAAAGAAYAWQEAAEMF&#10;AAAAAA==&#10;">
                <v:fill on="f" focussize="0,0"/>
                <v:stroke on="f"/>
                <v:imagedata o:title=""/>
                <o:lock v:ext="edit" aspectratio="f"/>
                <v:textbox style="mso-fit-shape-to-text:t;">
                  <w:txbxContent>
                    <w:p w14:paraId="55D5EC52">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w:t>
                      </w:r>
                    </w:p>
                  </w:txbxContent>
                </v:textbox>
              </v:shape>
            </w:pict>
          </mc:Fallback>
        </mc:AlternateContent>
      </w:r>
      <w:r>
        <w:rPr>
          <w:rFonts w:ascii="Times New Roman" w:hAnsi="Times New Roman"/>
          <w:color w:val="000000"/>
          <w:kern w:val="0"/>
          <w:sz w:val="28"/>
          <w:szCs w:val="28"/>
        </w:rPr>
        <mc:AlternateContent>
          <mc:Choice Requires="wps">
            <w:drawing>
              <wp:anchor distT="0" distB="0" distL="114300" distR="114300" simplePos="0" relativeHeight="251691008" behindDoc="1" locked="0" layoutInCell="1" allowOverlap="1">
                <wp:simplePos x="0" y="0"/>
                <wp:positionH relativeFrom="column">
                  <wp:posOffset>1416050</wp:posOffset>
                </wp:positionH>
                <wp:positionV relativeFrom="paragraph">
                  <wp:posOffset>139065</wp:posOffset>
                </wp:positionV>
                <wp:extent cx="1104900" cy="281940"/>
                <wp:effectExtent l="0" t="0" r="0" b="0"/>
                <wp:wrapNone/>
                <wp:docPr id="14" name="Text Box 294"/>
                <wp:cNvGraphicFramePr/>
                <a:graphic xmlns:a="http://schemas.openxmlformats.org/drawingml/2006/main">
                  <a:graphicData uri="http://schemas.microsoft.com/office/word/2010/wordprocessingShape">
                    <wps:wsp>
                      <wps:cNvSpPr txBox="1"/>
                      <wps:spPr>
                        <a:xfrm>
                          <a:off x="0" y="0"/>
                          <a:ext cx="1104900" cy="281940"/>
                        </a:xfrm>
                        <a:prstGeom prst="rect">
                          <a:avLst/>
                        </a:prstGeom>
                        <a:noFill/>
                        <a:ln>
                          <a:noFill/>
                        </a:ln>
                      </wps:spPr>
                      <wps:txbx>
                        <w:txbxContent>
                          <w:p w14:paraId="15B98007">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T-3 12点前</w:t>
                            </w:r>
                          </w:p>
                        </w:txbxContent>
                      </wps:txbx>
                      <wps:bodyPr upright="1">
                        <a:spAutoFit/>
                      </wps:bodyPr>
                    </wps:wsp>
                  </a:graphicData>
                </a:graphic>
              </wp:anchor>
            </w:drawing>
          </mc:Choice>
          <mc:Fallback>
            <w:pict>
              <v:shape id="Text Box 294" o:spid="_x0000_s1026" o:spt="202" type="#_x0000_t202" style="position:absolute;left:0pt;margin-left:111.5pt;margin-top:10.95pt;height:22.2pt;width:87pt;z-index:-251625472;mso-width-relative:page;mso-height-relative:page;" filled="f" stroked="f" coordsize="21600,21600" o:gfxdata="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QQ+t1wAAAAkB&#10;AAAPAAAAAAAAAAEAIAAAACIAAABkcnMvZG93bnJldi54bWxQSwECFAAUAAAACACHTuJAGkSfi6oB&#10;AABqAwAADgAAAAAAAAABACAAAAAmAQAAZHJzL2Uyb0RvYy54bWxQSwUGAAAAAAYABgBZAQAAQgUA&#10;AAAA&#10;">
                <v:fill on="f" focussize="0,0"/>
                <v:stroke on="f"/>
                <v:imagedata o:title=""/>
                <o:lock v:ext="edit" aspectratio="f"/>
                <v:textbox style="mso-fit-shape-to-text:t;">
                  <w:txbxContent>
                    <w:p w14:paraId="15B98007">
                      <w:pPr>
                        <w:pStyle w:val="16"/>
                        <w:spacing w:before="0" w:beforeAutospacing="0" w:after="0" w:afterAutospacing="0" w:line="300" w:lineRule="exact"/>
                        <w:ind w:firstLine="0" w:firstLineChars="0"/>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T-3 12点前</w:t>
                      </w:r>
                    </w:p>
                  </w:txbxContent>
                </v:textbox>
              </v:shape>
            </w:pict>
          </mc:Fallback>
        </mc:AlternateContent>
      </w:r>
      <w:r>
        <w:rPr>
          <w:rFonts w:ascii="Times New Roman" w:hAnsi="Times New Roman"/>
          <w:color w:val="000000"/>
          <w:kern w:val="0"/>
          <w:sz w:val="28"/>
          <w:szCs w:val="28"/>
        </w:rPr>
        <mc:AlternateContent>
          <mc:Choice Requires="wps">
            <w:drawing>
              <wp:anchor distT="0" distB="0" distL="114300" distR="114300" simplePos="0" relativeHeight="251689984" behindDoc="1" locked="0" layoutInCell="1" allowOverlap="1">
                <wp:simplePos x="0" y="0"/>
                <wp:positionH relativeFrom="column">
                  <wp:posOffset>3659505</wp:posOffset>
                </wp:positionH>
                <wp:positionV relativeFrom="paragraph">
                  <wp:posOffset>39370</wp:posOffset>
                </wp:positionV>
                <wp:extent cx="0" cy="107950"/>
                <wp:effectExtent l="9525" t="0" r="9525" b="6350"/>
                <wp:wrapNone/>
                <wp:docPr id="13" name="Line 293"/>
                <wp:cNvGraphicFramePr/>
                <a:graphic xmlns:a="http://schemas.openxmlformats.org/drawingml/2006/main">
                  <a:graphicData uri="http://schemas.microsoft.com/office/word/2010/wordprocessingShape">
                    <wps:wsp>
                      <wps:cNvCnPr/>
                      <wps:spPr>
                        <a:xfrm>
                          <a:off x="0" y="0"/>
                          <a:ext cx="0" cy="10795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Line 293" o:spid="_x0000_s1026" o:spt="20" style="position:absolute;left:0pt;margin-left:288.15pt;margin-top:3.1pt;height:8.5pt;width:0pt;z-index:-251626496;mso-width-relative:page;mso-height-relative:page;" filled="f" stroked="t" coordsize="21600,21600" o:gfxdata="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PqEGNcAAAAIAQAADwAAAAAAAAAB&#10;ACAAAAAiAAAAZHJzL2Rvd25yZXYueG1sUEsBAhQAFAAAAAgAh07iQH6Dlk/YAQAA2gMAAA4AAAAA&#10;AAAAAQAgAAAAJgEAAGRycy9lMm9Eb2MueG1sUEsFBgAAAAAGAAYAWQEAAHAFAAAAAA==&#10;">
                <v:fill on="f" focussize="0,0"/>
                <v:stroke weight="1.5pt" color="#000000" joinstyle="miter"/>
                <v:imagedata o:title=""/>
                <o:lock v:ext="edit" aspectratio="f"/>
              </v:line>
            </w:pict>
          </mc:Fallback>
        </mc:AlternateContent>
      </w:r>
      <w:r>
        <w:rPr>
          <w:rFonts w:ascii="Times New Roman" w:hAnsi="Times New Roman"/>
          <w:color w:val="000000"/>
          <w:kern w:val="0"/>
          <w:sz w:val="28"/>
          <w:szCs w:val="28"/>
        </w:rPr>
        <mc:AlternateContent>
          <mc:Choice Requires="wps">
            <w:drawing>
              <wp:anchor distT="0" distB="0" distL="114300" distR="114300" simplePos="0" relativeHeight="251688960" behindDoc="1" locked="0" layoutInCell="1" allowOverlap="1">
                <wp:simplePos x="0" y="0"/>
                <wp:positionH relativeFrom="column">
                  <wp:posOffset>1856740</wp:posOffset>
                </wp:positionH>
                <wp:positionV relativeFrom="paragraph">
                  <wp:posOffset>31750</wp:posOffset>
                </wp:positionV>
                <wp:extent cx="0" cy="107950"/>
                <wp:effectExtent l="9525" t="0" r="9525" b="6350"/>
                <wp:wrapNone/>
                <wp:docPr id="12" name="Line 292"/>
                <wp:cNvGraphicFramePr/>
                <a:graphic xmlns:a="http://schemas.openxmlformats.org/drawingml/2006/main">
                  <a:graphicData uri="http://schemas.microsoft.com/office/word/2010/wordprocessingShape">
                    <wps:wsp>
                      <wps:cNvCnPr/>
                      <wps:spPr>
                        <a:xfrm>
                          <a:off x="0" y="0"/>
                          <a:ext cx="0" cy="10795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id="Line 292" o:spid="_x0000_s1026" o:spt="20" style="position:absolute;left:0pt;margin-left:146.2pt;margin-top:2.5pt;height:8.5pt;width:0pt;z-index:-251627520;mso-width-relative:page;mso-height-relative:page;" filled="f" stroked="t" coordsize="21600,21600" o:gfxdata="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Fuyd1wAAAAgBAAAPAAAAAAAAAAEA&#10;IAAAACIAAABkcnMvZG93bnJldi54bWxQSwECFAAUAAAACACHTuJAUUFuDdcBAADaAwAADgAAAAAA&#10;AAABACAAAAAmAQAAZHJzL2Uyb0RvYy54bWxQSwUGAAAAAAYABgBZAQAAbwUAAAAA&#10;">
                <v:fill on="f" focussize="0,0"/>
                <v:stroke weight="1.5pt" color="#000000" joinstyle="miter"/>
                <v:imagedata o:title=""/>
                <o:lock v:ext="edit" aspectratio="f"/>
              </v:line>
            </w:pict>
          </mc:Fallback>
        </mc:AlternateContent>
      </w:r>
      <w:r>
        <w:rPr>
          <w:rFonts w:ascii="Times New Roman" w:hAnsi="Times New Roman"/>
          <w:color w:val="000000"/>
          <w:kern w:val="0"/>
          <w:sz w:val="28"/>
          <w:szCs w:val="28"/>
        </w:rPr>
        <mc:AlternateContent>
          <mc:Choice Requires="wps">
            <w:drawing>
              <wp:anchor distT="0" distB="0" distL="114300" distR="114300" simplePos="0" relativeHeight="251687936" behindDoc="1" locked="0" layoutInCell="1" allowOverlap="1">
                <wp:simplePos x="0" y="0"/>
                <wp:positionH relativeFrom="column">
                  <wp:posOffset>681990</wp:posOffset>
                </wp:positionH>
                <wp:positionV relativeFrom="paragraph">
                  <wp:posOffset>145415</wp:posOffset>
                </wp:positionV>
                <wp:extent cx="4319905" cy="0"/>
                <wp:effectExtent l="0" t="38100" r="4445" b="38100"/>
                <wp:wrapNone/>
                <wp:docPr id="11" name="AutoShape 291"/>
                <wp:cNvGraphicFramePr/>
                <a:graphic xmlns:a="http://schemas.openxmlformats.org/drawingml/2006/main">
                  <a:graphicData uri="http://schemas.microsoft.com/office/word/2010/wordprocessingShape">
                    <wps:wsp>
                      <wps:cNvCnPr/>
                      <wps:spPr>
                        <a:xfrm>
                          <a:off x="0" y="0"/>
                          <a:ext cx="4319905" cy="0"/>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id="AutoShape 291" o:spid="_x0000_s1026" o:spt="32" type="#_x0000_t32" style="position:absolute;left:0pt;margin-left:53.7pt;margin-top:11.45pt;height:0pt;width:340.15pt;z-index:-251628544;mso-width-relative:page;mso-height-relative:page;" filled="f" stroked="t" coordsize="21600,21600" o:gfxdata="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yG&#10;QfrWAAAACQEAAA8AAAAAAAAAAQAgAAAAIgAAAGRycy9kb3ducmV2LnhtbFBLAQIUABQAAAAIAIdO&#10;4kAtUFKA7AEAAPIDAAAOAAAAAAAAAAEAIAAAACUBAABkcnMvZTJvRG9jLnhtbFBLBQYAAAAABgAG&#10;AFkBAACDBQAAAAA=&#10;">
                <v:fill on="f" focussize="0,0"/>
                <v:stroke weight="1.5pt" color="#000000" joinstyle="miter" endarrow="block"/>
                <v:imagedata o:title=""/>
                <o:lock v:ext="edit" aspectratio="f"/>
              </v:shape>
            </w:pict>
          </mc:Fallback>
        </mc:AlternateContent>
      </w:r>
    </w:p>
    <w:p w14:paraId="3CD9AD24">
      <w:pPr>
        <w:adjustRightInd w:val="0"/>
        <w:snapToGrid w:val="0"/>
        <w:spacing w:line="400" w:lineRule="exact"/>
        <w:ind w:firstLine="560"/>
        <w:rPr>
          <w:rFonts w:ascii="Times New Roman" w:hAnsi="Times New Roman"/>
          <w:color w:val="000000"/>
          <w:kern w:val="0"/>
          <w:sz w:val="28"/>
          <w:szCs w:val="28"/>
        </w:rPr>
      </w:pPr>
    </w:p>
    <w:p w14:paraId="05D414C6">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图2-5-1 公募REITs更名业务办理时间</w:t>
      </w:r>
    </w:p>
    <w:p w14:paraId="342DA97A">
      <w:pPr>
        <w:ind w:firstLine="600"/>
        <w:rPr>
          <w:rFonts w:ascii="Times New Roman" w:hAnsi="Times New Roman"/>
          <w:b/>
          <w:kern w:val="0"/>
        </w:rPr>
      </w:pPr>
      <w:r>
        <w:rPr>
          <w:rFonts w:ascii="Times New Roman" w:hAnsi="Times New Roman"/>
          <w:kern w:val="0"/>
        </w:rPr>
        <w:t>基金管理人需至少在更名生效日前3个交易日提交公告。</w:t>
      </w:r>
    </w:p>
    <w:p w14:paraId="56CB73FA">
      <w:pPr>
        <w:pStyle w:val="4"/>
        <w:ind w:firstLine="602"/>
        <w:rPr>
          <w:rFonts w:ascii="Times New Roman" w:hAnsi="Times New Roman"/>
        </w:rPr>
      </w:pPr>
      <w:bookmarkStart w:id="32" w:name="_Toc72419522"/>
      <w:r>
        <w:rPr>
          <w:rFonts w:ascii="Times New Roman" w:hAnsi="Times New Roman"/>
        </w:rPr>
        <w:t>（三）</w:t>
      </w:r>
      <w:bookmarkEnd w:id="32"/>
      <w:bookmarkStart w:id="33" w:name="_Toc72419523"/>
      <w:r>
        <w:rPr>
          <w:rFonts w:ascii="Times New Roman" w:hAnsi="Times New Roman"/>
        </w:rPr>
        <w:t>具体操作</w:t>
      </w:r>
      <w:bookmarkEnd w:id="33"/>
    </w:p>
    <w:p w14:paraId="562D22AC">
      <w:pPr>
        <w:ind w:firstLine="600"/>
        <w:rPr>
          <w:rFonts w:ascii="Times New Roman" w:hAnsi="Times New Roman"/>
          <w:kern w:val="0"/>
        </w:rPr>
      </w:pPr>
      <w:r>
        <w:rPr>
          <w:rFonts w:ascii="Times New Roman" w:hAnsi="Times New Roman"/>
          <w:kern w:val="0"/>
        </w:rPr>
        <w:t>基金管理人通过业务管理系统平台“REITs-更名”通道，进入更名申请表（见图</w:t>
      </w:r>
      <w:r>
        <w:rPr>
          <w:rFonts w:hint="eastAsia" w:ascii="Times New Roman" w:hAnsi="Times New Roman"/>
          <w:kern w:val="0"/>
        </w:rPr>
        <w:t>2-5-2</w:t>
      </w:r>
      <w:r>
        <w:rPr>
          <w:rFonts w:ascii="Times New Roman" w:hAnsi="Times New Roman"/>
          <w:kern w:val="0"/>
        </w:rPr>
        <w:t>）填写业务要素相关信息，并上传更名公告（格式参考附件</w:t>
      </w:r>
      <w:r>
        <w:rPr>
          <w:rFonts w:hint="eastAsia" w:ascii="Times New Roman" w:hAnsi="Times New Roman"/>
          <w:kern w:val="0"/>
        </w:rPr>
        <w:t>5</w:t>
      </w:r>
      <w:r>
        <w:rPr>
          <w:rFonts w:ascii="Times New Roman" w:hAnsi="Times New Roman"/>
          <w:kern w:val="0"/>
        </w:rPr>
        <w:t>），上传材料均以PDF格式电子文件提交。</w:t>
      </w:r>
    </w:p>
    <w:p w14:paraId="1C980D0F">
      <w:pPr>
        <w:spacing w:line="240" w:lineRule="auto"/>
        <w:ind w:firstLine="0" w:firstLineChars="0"/>
        <w:jc w:val="center"/>
        <w:rPr>
          <w:rFonts w:ascii="Times New Roman" w:hAnsi="Times New Roman"/>
          <w:kern w:val="0"/>
        </w:rPr>
      </w:pPr>
      <w:r>
        <w:rPr>
          <w:rFonts w:ascii="Times New Roman" w:hAnsi="Times New Roman"/>
          <w:kern w:val="0"/>
        </w:rPr>
        <w:drawing>
          <wp:inline distT="0" distB="0" distL="0" distR="0">
            <wp:extent cx="5414010" cy="4879975"/>
            <wp:effectExtent l="0" t="0" r="0" b="0"/>
            <wp:docPr id="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14010" cy="4879975"/>
                    </a:xfrm>
                    <a:prstGeom prst="rect">
                      <a:avLst/>
                    </a:prstGeom>
                    <a:noFill/>
                    <a:ln w="9525">
                      <a:noFill/>
                      <a:miter lim="800000"/>
                      <a:headEnd/>
                      <a:tailEnd/>
                    </a:ln>
                  </pic:spPr>
                </pic:pic>
              </a:graphicData>
            </a:graphic>
          </wp:inline>
        </w:drawing>
      </w:r>
    </w:p>
    <w:p w14:paraId="1039B37F">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图2-5-2 公募REITs更名业务新建申请页面</w:t>
      </w:r>
      <w:bookmarkStart w:id="34" w:name="_Toc71646030"/>
      <w:bookmarkStart w:id="35" w:name="_Toc72419525"/>
    </w:p>
    <w:p w14:paraId="10A7C7B6">
      <w:pPr>
        <w:pStyle w:val="3"/>
        <w:spacing w:before="156" w:after="156"/>
        <w:ind w:firstLine="643"/>
        <w:rPr>
          <w:rFonts w:ascii="Times New Roman" w:hAnsi="Times New Roman"/>
        </w:rPr>
      </w:pPr>
      <w:bookmarkStart w:id="36" w:name="_Toc217484336"/>
      <w:r>
        <w:rPr>
          <w:rFonts w:ascii="Times New Roman" w:hAnsi="Times New Roman"/>
        </w:rPr>
        <w:t>六、定期和临时报告信息披露</w:t>
      </w:r>
      <w:bookmarkEnd w:id="34"/>
      <w:bookmarkEnd w:id="35"/>
      <w:bookmarkEnd w:id="36"/>
    </w:p>
    <w:p w14:paraId="0FA549EB">
      <w:pPr>
        <w:pStyle w:val="4"/>
        <w:ind w:firstLine="602"/>
        <w:rPr>
          <w:rFonts w:ascii="Times New Roman" w:hAnsi="Times New Roman"/>
        </w:rPr>
      </w:pPr>
      <w:bookmarkStart w:id="37" w:name="_Toc72419526"/>
      <w:r>
        <w:rPr>
          <w:rFonts w:ascii="Times New Roman" w:hAnsi="Times New Roman"/>
        </w:rPr>
        <w:t>（一）适用情形</w:t>
      </w:r>
      <w:bookmarkEnd w:id="37"/>
    </w:p>
    <w:p w14:paraId="531163B5">
      <w:pPr>
        <w:ind w:firstLine="600"/>
        <w:rPr>
          <w:rFonts w:ascii="Times New Roman" w:hAnsi="Times New Roman"/>
          <w:kern w:val="0"/>
        </w:rPr>
      </w:pPr>
      <w:r>
        <w:rPr>
          <w:rFonts w:ascii="Times New Roman" w:hAnsi="Times New Roman"/>
          <w:kern w:val="0"/>
        </w:rPr>
        <w:t>适用于公募REITs上市后基金管理人、基金托管人等信息披露义务人披露</w:t>
      </w:r>
      <w:r>
        <w:rPr>
          <w:rFonts w:hint="eastAsia" w:ascii="Times New Roman" w:hAnsi="Times New Roman"/>
          <w:kern w:val="0"/>
        </w:rPr>
        <w:t>不动产</w:t>
      </w:r>
      <w:r>
        <w:rPr>
          <w:rFonts w:ascii="Times New Roman" w:hAnsi="Times New Roman"/>
          <w:kern w:val="0"/>
        </w:rPr>
        <w:t>基金定期报告或临时报告的业务。</w:t>
      </w:r>
    </w:p>
    <w:p w14:paraId="5D2AFE74">
      <w:pPr>
        <w:ind w:firstLine="602"/>
        <w:rPr>
          <w:rFonts w:ascii="Times New Roman" w:hAnsi="Times New Roman"/>
        </w:rPr>
      </w:pPr>
      <w:r>
        <w:rPr>
          <w:rFonts w:ascii="Times New Roman" w:hAnsi="Times New Roman"/>
          <w:b/>
        </w:rPr>
        <w:t>1.定期报告。</w:t>
      </w:r>
      <w:r>
        <w:rPr>
          <w:rFonts w:ascii="Times New Roman" w:hAnsi="Times New Roman"/>
        </w:rPr>
        <w:t>基金管理人应当在每年结束之日起三个月内，披露基金年度报告正文及摘要，年度报告的财务会计报告应当经过审计。基金管理人应当在上半年结束之日起两个月内，披露基金中期报告。基金管理人应当在季度结束之日起十五个工作日内，披露基金季度报告。</w:t>
      </w:r>
    </w:p>
    <w:p w14:paraId="557090F7">
      <w:pPr>
        <w:ind w:firstLine="602"/>
        <w:rPr>
          <w:rFonts w:ascii="Times New Roman" w:hAnsi="Times New Roman"/>
          <w:szCs w:val="30"/>
        </w:rPr>
      </w:pPr>
      <w:r>
        <w:rPr>
          <w:rFonts w:ascii="Times New Roman" w:hAnsi="Times New Roman"/>
          <w:b/>
          <w:szCs w:val="30"/>
        </w:rPr>
        <w:t>2.临时报告。</w:t>
      </w:r>
      <w:r>
        <w:rPr>
          <w:rFonts w:ascii="Times New Roman" w:hAnsi="Times New Roman"/>
          <w:szCs w:val="30"/>
        </w:rPr>
        <w:t>不动产基金发生重大事件时，基金管理人应当按照《上海证券交易所公开募集不动产投资信托基金（REITs）业务办法（试行）》《上海证券交易所公开募集不动产投资信托基金（REITs）规则适用指引第5号</w:t>
      </w:r>
      <w:r>
        <w:rPr>
          <w:rFonts w:hint="eastAsia" w:ascii="Times New Roman" w:hAnsi="Times New Roman"/>
          <w:szCs w:val="30"/>
        </w:rPr>
        <w:t>——</w:t>
      </w:r>
      <w:r>
        <w:rPr>
          <w:rFonts w:ascii="Times New Roman" w:hAnsi="Times New Roman"/>
          <w:szCs w:val="30"/>
        </w:rPr>
        <w:t>临时报告（试行）》等相关规定在两日内编制并披露临时报告。</w:t>
      </w:r>
    </w:p>
    <w:p w14:paraId="5A7631FD">
      <w:pPr>
        <w:pStyle w:val="4"/>
        <w:ind w:firstLine="602"/>
        <w:rPr>
          <w:rFonts w:ascii="Times New Roman" w:hAnsi="Times New Roman"/>
          <w:szCs w:val="30"/>
        </w:rPr>
      </w:pPr>
      <w:bookmarkStart w:id="38" w:name="_Toc72419527"/>
      <w:r>
        <w:rPr>
          <w:rFonts w:ascii="Times New Roman" w:hAnsi="Times New Roman"/>
          <w:szCs w:val="30"/>
        </w:rPr>
        <w:t>（二）办理时间</w:t>
      </w:r>
      <w:bookmarkEnd w:id="38"/>
    </w:p>
    <w:p w14:paraId="0368A416">
      <w:pPr>
        <w:widowControl/>
        <w:snapToGrid w:val="0"/>
        <w:ind w:firstLine="600"/>
        <w:rPr>
          <w:rFonts w:ascii="Times New Roman" w:hAnsi="Times New Roman"/>
          <w:kern w:val="0"/>
          <w:szCs w:val="30"/>
        </w:rPr>
      </w:pPr>
      <w:r>
        <w:rPr>
          <w:rFonts w:ascii="Times New Roman" w:hAnsi="Times New Roman"/>
          <w:kern w:val="0"/>
          <w:szCs w:val="30"/>
        </w:rPr>
        <w:t>基金管理人应当至少在公告日</w:t>
      </w:r>
      <w:r>
        <w:rPr>
          <w:rFonts w:hint="eastAsia" w:ascii="Times New Roman" w:hAnsi="Times New Roman"/>
          <w:kern w:val="0"/>
          <w:szCs w:val="30"/>
        </w:rPr>
        <w:t>15：30</w:t>
      </w:r>
      <w:r>
        <w:rPr>
          <w:rFonts w:ascii="Times New Roman" w:hAnsi="Times New Roman"/>
          <w:kern w:val="0"/>
          <w:szCs w:val="30"/>
        </w:rPr>
        <w:t>前通过业务管理系统平台流程上传信息披露文件。</w:t>
      </w:r>
      <w:r>
        <w:rPr>
          <w:rFonts w:hint="eastAsia" w:ascii="Times New Roman" w:hAnsi="Times New Roman"/>
          <w:kern w:val="0"/>
          <w:szCs w:val="30"/>
        </w:rPr>
        <w:t>交易日17：00之后上传的信息披露文件，最早仅可于第2个交易日予以披露。</w:t>
      </w:r>
    </w:p>
    <w:p w14:paraId="606B860E">
      <w:pPr>
        <w:pStyle w:val="4"/>
        <w:ind w:firstLine="602"/>
        <w:rPr>
          <w:rFonts w:ascii="Times New Roman" w:hAnsi="Times New Roman"/>
        </w:rPr>
      </w:pPr>
      <w:bookmarkStart w:id="39" w:name="_Toc72419528"/>
      <w:r>
        <w:rPr>
          <w:rFonts w:ascii="Times New Roman" w:hAnsi="Times New Roman"/>
          <w:szCs w:val="30"/>
        </w:rPr>
        <w:t>（三）</w:t>
      </w:r>
      <w:bookmarkEnd w:id="39"/>
      <w:bookmarkStart w:id="40" w:name="_Toc72419529"/>
      <w:r>
        <w:rPr>
          <w:rFonts w:ascii="Times New Roman" w:hAnsi="Times New Roman"/>
        </w:rPr>
        <w:t>具体操作</w:t>
      </w:r>
      <w:bookmarkEnd w:id="40"/>
    </w:p>
    <w:p w14:paraId="1802AB6B">
      <w:pPr>
        <w:ind w:firstLine="600"/>
        <w:rPr>
          <w:rFonts w:ascii="Times New Roman" w:hAnsi="Times New Roman"/>
          <w:kern w:val="0"/>
        </w:rPr>
      </w:pPr>
      <w:r>
        <w:rPr>
          <w:rFonts w:ascii="Times New Roman" w:hAnsi="Times New Roman"/>
          <w:kern w:val="0"/>
        </w:rPr>
        <w:t>基金管理人通过业务管理系统平台的“REITs-信息披露”流程，选择公告类型并上传信息披露文件。公告类型包括定期报告、临时报告、基金运作、基金管理人公告、其他公告，信息披露文件包括公告和附件。</w:t>
      </w:r>
    </w:p>
    <w:p w14:paraId="3976E3AA">
      <w:pPr>
        <w:ind w:firstLine="600"/>
        <w:rPr>
          <w:rFonts w:ascii="Times New Roman" w:hAnsi="Times New Roman"/>
        </w:rPr>
      </w:pPr>
      <w:r>
        <w:rPr>
          <w:rFonts w:ascii="Times New Roman" w:hAnsi="Times New Roman"/>
        </w:rPr>
        <w:t>基金托管人涉及的信息披露文件应当委托基金管理人通过上述流程上传。</w:t>
      </w:r>
      <w:r>
        <w:rPr>
          <w:rFonts w:ascii="Times New Roman" w:hAnsi="Times New Roman"/>
          <w:kern w:val="0"/>
        </w:rPr>
        <w:t>基金管理人需注意：</w:t>
      </w:r>
    </w:p>
    <w:p w14:paraId="2108C8A7">
      <w:pPr>
        <w:ind w:firstLine="600"/>
        <w:rPr>
          <w:rFonts w:ascii="Times New Roman" w:hAnsi="Times New Roman"/>
          <w:kern w:val="0"/>
        </w:rPr>
      </w:pPr>
      <w:r>
        <w:rPr>
          <w:rFonts w:ascii="Times New Roman" w:hAnsi="Times New Roman"/>
          <w:kern w:val="0"/>
        </w:rPr>
        <w:t>1.确认上传信息披露文件时已准确填写公募REITs证券代码、公告类型、公告标题、公告日期、登报选择、是否发布、是否登报等信息；</w:t>
      </w:r>
    </w:p>
    <w:p w14:paraId="6906649D">
      <w:pPr>
        <w:ind w:firstLine="600"/>
        <w:rPr>
          <w:rFonts w:ascii="Times New Roman" w:hAnsi="Times New Roman"/>
          <w:kern w:val="0"/>
        </w:rPr>
      </w:pPr>
      <w:r>
        <w:rPr>
          <w:rFonts w:ascii="Times New Roman" w:hAnsi="Times New Roman"/>
          <w:kern w:val="0"/>
        </w:rPr>
        <w:t>2.确认“公告标题”和“文件标题”填写的是拟发布公告的上网标题，即与公告文档所显示的标题一致，不得包含特殊符号。基金管理人应当正确选择文件是否发布，对于备查文件或其他非公告上网文件，应当选择“否”。</w:t>
      </w:r>
    </w:p>
    <w:p w14:paraId="354ED2D9">
      <w:pPr>
        <w:spacing w:line="240" w:lineRule="auto"/>
        <w:ind w:firstLine="0" w:firstLineChars="0"/>
        <w:jc w:val="center"/>
        <w:rPr>
          <w:rFonts w:ascii="Times New Roman" w:hAnsi="Times New Roman"/>
          <w:kern w:val="0"/>
        </w:rPr>
      </w:pPr>
      <w:r>
        <w:rPr>
          <w:rFonts w:ascii="Times New Roman" w:hAnsi="Times New Roman"/>
          <w:kern w:val="0"/>
        </w:rPr>
        <w:drawing>
          <wp:inline distT="0" distB="0" distL="0" distR="0">
            <wp:extent cx="5361305" cy="40405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60359" cy="4039870"/>
                    </a:xfrm>
                    <a:prstGeom prst="rect">
                      <a:avLst/>
                    </a:prstGeom>
                    <a:noFill/>
                    <a:ln w="9525">
                      <a:noFill/>
                      <a:miter lim="800000"/>
                      <a:headEnd/>
                      <a:tailEnd/>
                    </a:ln>
                  </pic:spPr>
                </pic:pic>
              </a:graphicData>
            </a:graphic>
          </wp:inline>
        </w:drawing>
      </w:r>
    </w:p>
    <w:p w14:paraId="2BFB9351">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图2-6-</w:t>
      </w:r>
      <w:r>
        <w:rPr>
          <w:rFonts w:hint="eastAsia" w:ascii="Times New Roman" w:hAnsi="Times New Roman" w:eastAsiaTheme="minorEastAsia"/>
          <w:b/>
          <w:bCs/>
          <w:sz w:val="21"/>
          <w:szCs w:val="21"/>
        </w:rPr>
        <w:t>1</w:t>
      </w:r>
      <w:r>
        <w:rPr>
          <w:rFonts w:ascii="Times New Roman" w:hAnsi="Times New Roman" w:eastAsiaTheme="minorEastAsia"/>
          <w:b/>
          <w:bCs/>
          <w:sz w:val="21"/>
          <w:szCs w:val="21"/>
        </w:rPr>
        <w:t xml:space="preserve"> 公募REITs定期报告和临时报告业务新建申请页面</w:t>
      </w:r>
    </w:p>
    <w:p w14:paraId="6D4F6503">
      <w:pPr>
        <w:widowControl/>
        <w:spacing w:line="240" w:lineRule="auto"/>
        <w:ind w:firstLine="0" w:firstLineChars="0"/>
        <w:jc w:val="left"/>
        <w:rPr>
          <w:rFonts w:ascii="Times New Roman" w:hAnsi="Times New Roman" w:eastAsiaTheme="minorEastAsia"/>
          <w:b/>
          <w:bCs/>
          <w:sz w:val="21"/>
          <w:szCs w:val="21"/>
        </w:rPr>
      </w:pPr>
      <w:r>
        <w:rPr>
          <w:rFonts w:ascii="Times New Roman" w:hAnsi="Times New Roman" w:eastAsiaTheme="minorEastAsia"/>
          <w:b/>
          <w:bCs/>
          <w:sz w:val="21"/>
          <w:szCs w:val="21"/>
        </w:rPr>
        <w:br w:type="page"/>
      </w:r>
    </w:p>
    <w:p w14:paraId="19E31516">
      <w:pPr>
        <w:pStyle w:val="3"/>
        <w:spacing w:before="156" w:after="156"/>
        <w:ind w:firstLine="643"/>
        <w:rPr>
          <w:rFonts w:ascii="Times New Roman" w:hAnsi="Times New Roman"/>
        </w:rPr>
      </w:pPr>
      <w:bookmarkStart w:id="41" w:name="_Toc217484337"/>
      <w:r>
        <w:rPr>
          <w:rFonts w:ascii="Times New Roman" w:hAnsi="Times New Roman"/>
        </w:rPr>
        <w:t>七、</w:t>
      </w:r>
      <w:bookmarkStart w:id="42" w:name="_Toc72324915"/>
      <w:r>
        <w:rPr>
          <w:rFonts w:ascii="Times New Roman" w:hAnsi="Times New Roman"/>
        </w:rPr>
        <w:t>摘牌</w:t>
      </w:r>
      <w:bookmarkEnd w:id="41"/>
      <w:bookmarkEnd w:id="42"/>
    </w:p>
    <w:p w14:paraId="37AC9D2C">
      <w:pPr>
        <w:ind w:firstLine="600"/>
        <w:rPr>
          <w:rFonts w:ascii="Times New Roman" w:hAnsi="Times New Roman"/>
        </w:rPr>
      </w:pPr>
      <w:r>
        <w:rPr>
          <w:rFonts w:ascii="Times New Roman" w:hAnsi="Times New Roman"/>
        </w:rPr>
        <w:t>公募REITs出现上市规则规定的终止上市情形时，基金管理人应及时向本所报告并提出摘牌申请。</w:t>
      </w:r>
    </w:p>
    <w:p w14:paraId="741672F4">
      <w:pPr>
        <w:pStyle w:val="3"/>
        <w:spacing w:before="156" w:after="156"/>
        <w:ind w:firstLine="643"/>
        <w:rPr>
          <w:rFonts w:ascii="Times New Roman" w:hAnsi="Times New Roman"/>
        </w:rPr>
      </w:pPr>
      <w:bookmarkStart w:id="43" w:name="_Toc217484338"/>
      <w:bookmarkStart w:id="44" w:name="_Toc72324917"/>
      <w:r>
        <w:rPr>
          <w:rFonts w:ascii="Times New Roman" w:hAnsi="Times New Roman"/>
        </w:rPr>
        <w:t>八、解除限售/锁定</w:t>
      </w:r>
      <w:bookmarkEnd w:id="43"/>
      <w:bookmarkEnd w:id="44"/>
    </w:p>
    <w:p w14:paraId="1C44EFE8">
      <w:pPr>
        <w:pStyle w:val="4"/>
        <w:ind w:firstLine="602"/>
        <w:rPr>
          <w:rFonts w:ascii="Times New Roman" w:hAnsi="Times New Roman"/>
        </w:rPr>
      </w:pPr>
      <w:r>
        <w:rPr>
          <w:rFonts w:ascii="Times New Roman" w:hAnsi="Times New Roman"/>
        </w:rPr>
        <w:t>（一）适用情形</w:t>
      </w:r>
    </w:p>
    <w:p w14:paraId="1BB4551A">
      <w:pPr>
        <w:ind w:firstLine="600"/>
        <w:rPr>
          <w:rFonts w:ascii="Times New Roman" w:hAnsi="Times New Roman"/>
        </w:rPr>
      </w:pPr>
      <w:r>
        <w:rPr>
          <w:rFonts w:ascii="Times New Roman" w:hAnsi="Times New Roman"/>
        </w:rPr>
        <w:t>本流程适用于公募REITs上市后解除限售/锁定的业务。</w:t>
      </w:r>
    </w:p>
    <w:p w14:paraId="7031744C">
      <w:pPr>
        <w:pStyle w:val="4"/>
        <w:ind w:firstLine="602"/>
        <w:rPr>
          <w:rFonts w:ascii="Times New Roman" w:hAnsi="Times New Roman"/>
        </w:rPr>
      </w:pP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1779905</wp:posOffset>
                </wp:positionH>
                <wp:positionV relativeFrom="paragraph">
                  <wp:posOffset>353695</wp:posOffset>
                </wp:positionV>
                <wp:extent cx="904875" cy="472440"/>
                <wp:effectExtent l="0" t="0" r="0" b="0"/>
                <wp:wrapNone/>
                <wp:docPr id="10"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904875" cy="472440"/>
                        </a:xfrm>
                        <a:prstGeom prst="rect">
                          <a:avLst/>
                        </a:prstGeom>
                        <a:noFill/>
                        <a:ln>
                          <a:noFill/>
                        </a:ln>
                        <a:effectLst/>
                      </wps:spPr>
                      <wps:txbx>
                        <w:txbxContent>
                          <w:p w14:paraId="7BC310B5">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确认申请已通过</w:t>
                            </w:r>
                          </w:p>
                        </w:txbxContent>
                      </wps:txbx>
                      <wps:bodyPr rot="0" vert="horz" wrap="square" lIns="91440" tIns="45720" rIns="91440" bIns="45720" anchor="t" anchorCtr="0" upright="1">
                        <a:spAutoFit/>
                      </wps:bodyPr>
                    </wps:wsp>
                  </a:graphicData>
                </a:graphic>
              </wp:anchor>
            </w:drawing>
          </mc:Choice>
          <mc:Fallback>
            <w:pict>
              <v:shape id="Text Box 318" o:spid="_x0000_s1026" o:spt="202" type="#_x0000_t202" style="position:absolute;left:0pt;margin-left:140.15pt;margin-top:27.85pt;height:37.2pt;width:71.25pt;z-index:251685888;mso-width-relative:page;mso-height-relative:page;" filled="f" stroked="f" coordsize="21600,21600" o:gfxdata="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RvvPXAAAACgEAAA8AAAAAAAAAAQAgAAAA&#10;IgAAAGRycy9kb3ducmV2LnhtbFBLAQIUABQAAAAIAIdO4kAD20VkDAIAACQEAAAOAAAAAAAAAAEA&#10;IAAAACYBAABkcnMvZTJvRG9jLnhtbFBLBQYAAAAABgAGAFkBAACkBQAAAAA=&#10;">
                <v:fill on="f" focussize="0,0"/>
                <v:stroke on="f"/>
                <v:imagedata o:title=""/>
                <o:lock v:ext="edit" aspectratio="f"/>
                <v:textbox style="mso-fit-shape-to-text:t;">
                  <w:txbxContent>
                    <w:p w14:paraId="7BC310B5">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确认申请已通过</w:t>
                      </w:r>
                    </w:p>
                  </w:txbxContent>
                </v:textbox>
              </v:shape>
            </w:pict>
          </mc:Fallback>
        </mc:AlternateContent>
      </w:r>
      <w:r>
        <w:rPr>
          <w:rFonts w:ascii="Times New Roman" w:hAnsi="Times New Roman"/>
        </w:rPr>
        <mc:AlternateContent>
          <mc:Choice Requires="wps">
            <w:drawing>
              <wp:anchor distT="0" distB="0" distL="114300" distR="114300" simplePos="0" relativeHeight="251682816" behindDoc="0" locked="0" layoutInCell="1" allowOverlap="1">
                <wp:simplePos x="0" y="0"/>
                <wp:positionH relativeFrom="column">
                  <wp:posOffset>3288665</wp:posOffset>
                </wp:positionH>
                <wp:positionV relativeFrom="paragraph">
                  <wp:posOffset>353695</wp:posOffset>
                </wp:positionV>
                <wp:extent cx="978535" cy="472440"/>
                <wp:effectExtent l="0" t="0" r="0" b="0"/>
                <wp:wrapNone/>
                <wp:docPr id="9" name="Text Box 315"/>
                <wp:cNvGraphicFramePr/>
                <a:graphic xmlns:a="http://schemas.openxmlformats.org/drawingml/2006/main">
                  <a:graphicData uri="http://schemas.microsoft.com/office/word/2010/wordprocessingShape">
                    <wps:wsp>
                      <wps:cNvSpPr txBox="1">
                        <a:spLocks noChangeArrowheads="1"/>
                      </wps:cNvSpPr>
                      <wps:spPr bwMode="auto">
                        <a:xfrm>
                          <a:off x="0" y="0"/>
                          <a:ext cx="978535" cy="472440"/>
                        </a:xfrm>
                        <a:prstGeom prst="rect">
                          <a:avLst/>
                        </a:prstGeom>
                        <a:noFill/>
                        <a:ln>
                          <a:noFill/>
                        </a:ln>
                        <a:effectLst/>
                      </wps:spPr>
                      <wps:txbx>
                        <w:txbxContent>
                          <w:p w14:paraId="0E5044FE">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解除限售/冻结日</w:t>
                            </w:r>
                          </w:p>
                        </w:txbxContent>
                      </wps:txbx>
                      <wps:bodyPr rot="0" vert="horz" wrap="square" lIns="91440" tIns="45720" rIns="91440" bIns="45720" anchor="t" anchorCtr="0" upright="1">
                        <a:spAutoFit/>
                      </wps:bodyPr>
                    </wps:wsp>
                  </a:graphicData>
                </a:graphic>
              </wp:anchor>
            </w:drawing>
          </mc:Choice>
          <mc:Fallback>
            <w:pict>
              <v:shape id="Text Box 315" o:spid="_x0000_s1026" o:spt="202" type="#_x0000_t202" style="position:absolute;left:0pt;margin-left:258.95pt;margin-top:27.85pt;height:37.2pt;width:77.05pt;z-index:251682816;mso-width-relative:page;mso-height-relative:page;" filled="f" stroked="f" coordsize="21600,21600" o:gfxdata="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ezS7XAAAACgEAAA8AAAAAAAAAAQAgAAAA&#10;IgAAAGRycy9kb3ducmV2LnhtbFBLAQIUABQAAAAIAIdO4kCwCtMsDAIAACMEAAAOAAAAAAAAAAEA&#10;IAAAACYBAABkcnMvZTJvRG9jLnhtbFBLBQYAAAAABgAGAFkBAACkBQAAAAA=&#10;">
                <v:fill on="f" focussize="0,0"/>
                <v:stroke on="f"/>
                <v:imagedata o:title=""/>
                <o:lock v:ext="edit" aspectratio="f"/>
                <v:textbox style="mso-fit-shape-to-text:t;">
                  <w:txbxContent>
                    <w:p w14:paraId="0E5044FE">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解除限售/冻结日</w:t>
                      </w:r>
                    </w:p>
                  </w:txbxContent>
                </v:textbox>
              </v:shape>
            </w:pict>
          </mc:Fallback>
        </mc:AlternateContent>
      </w:r>
      <w:r>
        <w:rPr>
          <w:rFonts w:ascii="Times New Roman" w:hAnsi="Times New Roman"/>
        </w:rPr>
        <mc:AlternateContent>
          <mc:Choice Requires="wps">
            <w:drawing>
              <wp:anchor distT="0" distB="0" distL="114300" distR="114300" simplePos="0" relativeHeight="251683840" behindDoc="0" locked="0" layoutInCell="1" allowOverlap="1">
                <wp:simplePos x="0" y="0"/>
                <wp:positionH relativeFrom="column">
                  <wp:posOffset>762000</wp:posOffset>
                </wp:positionH>
                <wp:positionV relativeFrom="paragraph">
                  <wp:posOffset>346075</wp:posOffset>
                </wp:positionV>
                <wp:extent cx="990600" cy="472440"/>
                <wp:effectExtent l="0" t="0" r="0" b="0"/>
                <wp:wrapNone/>
                <wp:docPr id="8" name="Text Box 316"/>
                <wp:cNvGraphicFramePr/>
                <a:graphic xmlns:a="http://schemas.openxmlformats.org/drawingml/2006/main">
                  <a:graphicData uri="http://schemas.microsoft.com/office/word/2010/wordprocessingShape">
                    <wps:wsp>
                      <wps:cNvSpPr txBox="1">
                        <a:spLocks noChangeArrowheads="1"/>
                      </wps:cNvSpPr>
                      <wps:spPr bwMode="auto">
                        <a:xfrm>
                          <a:off x="0" y="0"/>
                          <a:ext cx="990600" cy="472440"/>
                        </a:xfrm>
                        <a:prstGeom prst="rect">
                          <a:avLst/>
                        </a:prstGeom>
                        <a:noFill/>
                        <a:ln>
                          <a:noFill/>
                        </a:ln>
                        <a:effectLst/>
                      </wps:spPr>
                      <wps:txbx>
                        <w:txbxContent>
                          <w:p w14:paraId="4249E0F7">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提交解除限售/锁定申请</w:t>
                            </w:r>
                          </w:p>
                        </w:txbxContent>
                      </wps:txbx>
                      <wps:bodyPr rot="0" vert="horz" wrap="square" lIns="91440" tIns="45720" rIns="91440" bIns="45720" anchor="t" anchorCtr="0" upright="1">
                        <a:spAutoFit/>
                      </wps:bodyPr>
                    </wps:wsp>
                  </a:graphicData>
                </a:graphic>
              </wp:anchor>
            </w:drawing>
          </mc:Choice>
          <mc:Fallback>
            <w:pict>
              <v:shape id="Text Box 316" o:spid="_x0000_s1026" o:spt="202" type="#_x0000_t202" style="position:absolute;left:0pt;margin-left:60pt;margin-top:27.25pt;height:37.2pt;width:78pt;z-index:251683840;mso-width-relative:page;mso-height-relative:page;" filled="f" stroked="f" coordsize="21600,21600" o:gfxdata="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RtEjVAAAACgEAAA8AAAAAAAAAAQAgAAAAIgAA&#10;AGRycy9kb3ducmV2LnhtbFBLAQIUABQAAAAIAIdO4kBEFOOvCwIAACMEAAAOAAAAAAAAAAEAIAAA&#10;ACQBAABkcnMvZTJvRG9jLnhtbFBLBQYAAAAABgAGAFkBAAChBQAAAAA=&#10;">
                <v:fill on="f" focussize="0,0"/>
                <v:stroke on="f"/>
                <v:imagedata o:title=""/>
                <o:lock v:ext="edit" aspectratio="f"/>
                <v:textbox style="mso-fit-shape-to-text:t;">
                  <w:txbxContent>
                    <w:p w14:paraId="4249E0F7">
                      <w:pPr>
                        <w:pStyle w:val="16"/>
                        <w:spacing w:before="0" w:beforeAutospacing="0" w:after="0" w:afterAutospacing="0" w:line="300" w:lineRule="exact"/>
                        <w:ind w:firstLine="0" w:firstLineChars="0"/>
                        <w:jc w:val="center"/>
                        <w:rPr>
                          <w:rFonts w:hint="eastAsia" w:asciiTheme="minorEastAsia" w:hAnsiTheme="minorEastAsia" w:eastAsiaTheme="minorEastAsia"/>
                          <w:sz w:val="21"/>
                          <w:szCs w:val="21"/>
                        </w:rPr>
                      </w:pPr>
                      <w:r>
                        <w:rPr>
                          <w:rFonts w:hint="eastAsia" w:cs="Times New Roman" w:asciiTheme="minorEastAsia" w:hAnsiTheme="minorEastAsia" w:eastAsiaTheme="minorEastAsia"/>
                          <w:kern w:val="24"/>
                          <w:sz w:val="21"/>
                          <w:szCs w:val="21"/>
                        </w:rPr>
                        <w:t>提交解除限售/锁定申请</w:t>
                      </w:r>
                    </w:p>
                  </w:txbxContent>
                </v:textbox>
              </v:shape>
            </w:pict>
          </mc:Fallback>
        </mc:AlternateContent>
      </w:r>
      <w:r>
        <w:rPr>
          <w:rFonts w:ascii="Times New Roman" w:hAnsi="Times New Roman"/>
        </w:rPr>
        <w:t>（二）办理时间</w:t>
      </w:r>
    </w:p>
    <w:p w14:paraId="34478E1B">
      <w:pPr>
        <w:snapToGrid w:val="0"/>
        <w:spacing w:line="360" w:lineRule="auto"/>
        <w:ind w:left="840" w:firstLine="600"/>
        <w:rPr>
          <w:rFonts w:ascii="Times New Roman" w:hAnsi="Times New Roman"/>
          <w:color w:val="000000"/>
          <w:kern w:val="0"/>
          <w:szCs w:val="30"/>
        </w:rPr>
      </w:pPr>
    </w:p>
    <w:p w14:paraId="38237D72">
      <w:pPr>
        <w:snapToGrid w:val="0"/>
        <w:spacing w:line="360" w:lineRule="auto"/>
        <w:ind w:left="840" w:firstLine="600"/>
        <w:rPr>
          <w:rFonts w:ascii="Times New Roman" w:hAnsi="Times New Roman"/>
          <w:color w:val="000000"/>
          <w:kern w:val="0"/>
          <w:szCs w:val="30"/>
        </w:rPr>
      </w:pPr>
      <w:r>
        <w:rPr>
          <w:rFonts w:ascii="Times New Roman" w:hAnsi="Times New Roman"/>
          <w:color w:val="000000"/>
          <w:kern w:val="0"/>
          <w:szCs w:val="30"/>
        </w:rPr>
        <mc:AlternateContent>
          <mc:Choice Requires="wps">
            <w:drawing>
              <wp:anchor distT="0" distB="0" distL="114300" distR="114300" simplePos="0" relativeHeight="251684864" behindDoc="0" locked="0" layoutInCell="1" allowOverlap="1">
                <wp:simplePos x="0" y="0"/>
                <wp:positionH relativeFrom="column">
                  <wp:posOffset>2228850</wp:posOffset>
                </wp:positionH>
                <wp:positionV relativeFrom="paragraph">
                  <wp:posOffset>99060</wp:posOffset>
                </wp:positionV>
                <wp:extent cx="0" cy="107950"/>
                <wp:effectExtent l="9525" t="0" r="9525" b="6350"/>
                <wp:wrapNone/>
                <wp:docPr id="7" name="Line 317"/>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317" o:spid="_x0000_s1026" o:spt="20" style="position:absolute;left:0pt;margin-left:175.5pt;margin-top:7.8pt;height:8.5pt;width:0pt;z-index:251684864;mso-width-relative:page;mso-height-relative:page;" filled="f" stroked="t" coordsize="21600,21600" o:gfxdata="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Du7/YAAAACQEAAA8AAAAAAAAAAQAgAAAA&#10;IgAAAGRycy9kb3ducmV2LnhtbFBLAQIUABQAAAAIAIdO4kASrxK80gEAALwDAAAOAAAAAAAAAAEA&#10;IAAAACc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color w:val="000000"/>
          <w:kern w:val="0"/>
          <w:szCs w:val="30"/>
        </w:rPr>
        <mc:AlternateContent>
          <mc:Choice Requires="wps">
            <w:drawing>
              <wp:anchor distT="0" distB="0" distL="114300" distR="114300" simplePos="0" relativeHeight="251686912" behindDoc="0" locked="0" layoutInCell="1" allowOverlap="1">
                <wp:simplePos x="0" y="0"/>
                <wp:positionH relativeFrom="column">
                  <wp:posOffset>1733550</wp:posOffset>
                </wp:positionH>
                <wp:positionV relativeFrom="paragraph">
                  <wp:posOffset>198755</wp:posOffset>
                </wp:positionV>
                <wp:extent cx="1104900" cy="281940"/>
                <wp:effectExtent l="0" t="0" r="0" b="0"/>
                <wp:wrapNone/>
                <wp:docPr id="6" name="Text Box 319"/>
                <wp:cNvGraphicFramePr/>
                <a:graphic xmlns:a="http://schemas.openxmlformats.org/drawingml/2006/main">
                  <a:graphicData uri="http://schemas.microsoft.com/office/word/2010/wordprocessingShape">
                    <wps:wsp>
                      <wps:cNvSpPr txBox="1">
                        <a:spLocks noChangeArrowheads="1"/>
                      </wps:cNvSpPr>
                      <wps:spPr bwMode="auto">
                        <a:xfrm>
                          <a:off x="0" y="0"/>
                          <a:ext cx="1104900" cy="281940"/>
                        </a:xfrm>
                        <a:prstGeom prst="rect">
                          <a:avLst/>
                        </a:prstGeom>
                        <a:noFill/>
                        <a:ln>
                          <a:noFill/>
                        </a:ln>
                        <a:effectLst/>
                      </wps:spPr>
                      <wps:txbx>
                        <w:txbxContent>
                          <w:p w14:paraId="167ADDBA">
                            <w:pPr>
                              <w:pStyle w:val="16"/>
                              <w:spacing w:before="0" w:beforeAutospacing="0" w:after="0" w:afterAutospacing="0" w:line="300" w:lineRule="exact"/>
                              <w:ind w:firstLine="0" w:firstLineChars="0"/>
                              <w:jc w:val="center"/>
                              <w:rPr>
                                <w:rFonts w:ascii="Times New Roman" w:hAnsi="Times New Roman" w:cs="Times New Roman" w:eastAsiaTheme="majorEastAsia"/>
                                <w:sz w:val="21"/>
                                <w:szCs w:val="21"/>
                              </w:rPr>
                            </w:pPr>
                            <w:r>
                              <w:rPr>
                                <w:rFonts w:ascii="Times New Roman" w:hAnsi="Times New Roman" w:cs="Times New Roman" w:eastAsiaTheme="majorEastAsia"/>
                                <w:kern w:val="24"/>
                                <w:sz w:val="21"/>
                                <w:szCs w:val="21"/>
                              </w:rPr>
                              <w:t>L-6 10点前</w:t>
                            </w:r>
                          </w:p>
                        </w:txbxContent>
                      </wps:txbx>
                      <wps:bodyPr rot="0" vert="horz" wrap="square" lIns="91440" tIns="45720" rIns="91440" bIns="45720" anchor="t" anchorCtr="0" upright="1">
                        <a:spAutoFit/>
                      </wps:bodyPr>
                    </wps:wsp>
                  </a:graphicData>
                </a:graphic>
              </wp:anchor>
            </w:drawing>
          </mc:Choice>
          <mc:Fallback>
            <w:pict>
              <v:shape id="Text Box 319" o:spid="_x0000_s1026" o:spt="202" type="#_x0000_t202" style="position:absolute;left:0pt;margin-left:136.5pt;margin-top:15.65pt;height:22.2pt;width:87pt;z-index:251686912;mso-width-relative:page;mso-height-relative:page;" filled="f" stroked="f" coordsize="21600,21600" o:gfxdata="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FFpQzXAAAACQEAAA8AAAAAAAAAAQAgAAAA&#10;IgAAAGRycy9kb3ducmV2LnhtbFBLAQIUABQAAAAIAIdO4kBSJrsGDAIAACQEAAAOAAAAAAAAAAEA&#10;IAAAACYBAABkcnMvZTJvRG9jLnhtbFBLBQYAAAAABgAGAFkBAACkBQAAAAA=&#10;">
                <v:fill on="f" focussize="0,0"/>
                <v:stroke on="f"/>
                <v:imagedata o:title=""/>
                <o:lock v:ext="edit" aspectratio="f"/>
                <v:textbox style="mso-fit-shape-to-text:t;">
                  <w:txbxContent>
                    <w:p w14:paraId="167ADDBA">
                      <w:pPr>
                        <w:pStyle w:val="16"/>
                        <w:spacing w:before="0" w:beforeAutospacing="0" w:after="0" w:afterAutospacing="0" w:line="300" w:lineRule="exact"/>
                        <w:ind w:firstLine="0" w:firstLineChars="0"/>
                        <w:jc w:val="center"/>
                        <w:rPr>
                          <w:rFonts w:ascii="Times New Roman" w:hAnsi="Times New Roman" w:cs="Times New Roman" w:eastAsiaTheme="majorEastAsia"/>
                          <w:sz w:val="21"/>
                          <w:szCs w:val="21"/>
                        </w:rPr>
                      </w:pPr>
                      <w:r>
                        <w:rPr>
                          <w:rFonts w:ascii="Times New Roman" w:hAnsi="Times New Roman" w:cs="Times New Roman" w:eastAsiaTheme="majorEastAsia"/>
                          <w:kern w:val="24"/>
                          <w:sz w:val="21"/>
                          <w:szCs w:val="21"/>
                        </w:rPr>
                        <w:t>L-6 10点前</w:t>
                      </w:r>
                    </w:p>
                  </w:txbxContent>
                </v:textbox>
              </v:shape>
            </w:pict>
          </mc:Fallback>
        </mc:AlternateContent>
      </w:r>
      <w:r>
        <w:rPr>
          <w:rFonts w:ascii="Times New Roman" w:hAnsi="Times New Roman"/>
          <w:color w:val="000000"/>
          <w:kern w:val="0"/>
          <w:szCs w:val="30"/>
        </w:rPr>
        <mc:AlternateContent>
          <mc:Choice Requires="wps">
            <w:drawing>
              <wp:anchor distT="0" distB="0" distL="114300" distR="114300" simplePos="0" relativeHeight="251680768" behindDoc="0" locked="0" layoutInCell="1" allowOverlap="1">
                <wp:simplePos x="0" y="0"/>
                <wp:positionH relativeFrom="column">
                  <wp:posOffset>742315</wp:posOffset>
                </wp:positionH>
                <wp:positionV relativeFrom="paragraph">
                  <wp:posOffset>208280</wp:posOffset>
                </wp:positionV>
                <wp:extent cx="1010285" cy="511175"/>
                <wp:effectExtent l="0" t="0" r="0" b="0"/>
                <wp:wrapNone/>
                <wp:docPr id="5" name="Text Box 313"/>
                <wp:cNvGraphicFramePr/>
                <a:graphic xmlns:a="http://schemas.openxmlformats.org/drawingml/2006/main">
                  <a:graphicData uri="http://schemas.microsoft.com/office/word/2010/wordprocessingShape">
                    <wps:wsp>
                      <wps:cNvSpPr txBox="1">
                        <a:spLocks noChangeArrowheads="1"/>
                      </wps:cNvSpPr>
                      <wps:spPr bwMode="auto">
                        <a:xfrm>
                          <a:off x="0" y="0"/>
                          <a:ext cx="1010285" cy="511175"/>
                        </a:xfrm>
                        <a:prstGeom prst="rect">
                          <a:avLst/>
                        </a:prstGeom>
                        <a:noFill/>
                        <a:ln>
                          <a:noFill/>
                        </a:ln>
                        <a:effectLst/>
                      </wps:spPr>
                      <wps:txbx>
                        <w:txbxContent>
                          <w:p w14:paraId="3EA01A20">
                            <w:pPr>
                              <w:pStyle w:val="16"/>
                              <w:spacing w:before="0" w:beforeAutospacing="0" w:after="0" w:afterAutospacing="0" w:line="300" w:lineRule="exact"/>
                              <w:ind w:firstLine="0" w:firstLineChars="0"/>
                              <w:jc w:val="center"/>
                              <w:rPr>
                                <w:rFonts w:ascii="Times New Roman" w:hAnsi="Times New Roman" w:cs="Times New Roman"/>
                              </w:rPr>
                            </w:pPr>
                            <w:r>
                              <w:rPr>
                                <w:rFonts w:ascii="Times New Roman" w:hAnsi="Times New Roman" w:cs="Times New Roman" w:eastAsiaTheme="minorEastAsia"/>
                                <w:kern w:val="24"/>
                                <w:sz w:val="21"/>
                                <w:szCs w:val="21"/>
                              </w:rPr>
                              <w:t>L-7 17点前</w:t>
                            </w:r>
                          </w:p>
                        </w:txbxContent>
                      </wps:txbx>
                      <wps:bodyPr rot="0" vert="horz" wrap="square" lIns="91440" tIns="45720" rIns="91440" bIns="45720" anchor="t" anchorCtr="0" upright="1">
                        <a:noAutofit/>
                      </wps:bodyPr>
                    </wps:wsp>
                  </a:graphicData>
                </a:graphic>
              </wp:anchor>
            </w:drawing>
          </mc:Choice>
          <mc:Fallback>
            <w:pict>
              <v:shape id="Text Box 313" o:spid="_x0000_s1026" o:spt="202" type="#_x0000_t202" style="position:absolute;left:0pt;margin-left:58.45pt;margin-top:16.4pt;height:40.25pt;width:79.55pt;z-index:251680768;mso-width-relative:page;mso-height-relative:page;" filled="f" stroked="f" coordsize="21600,21600" o:gfxdata="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2BBNYAAAAKAQAADwAAAAAAAAABACAAAAAi&#10;AAAAZHJzL2Rvd25yZXYueG1sUEsBAhQAFAAAAAgAh07iQDzZLQoMAgAAJAQAAA4AAAAAAAAAAQAg&#10;AAAAJQEAAGRycy9lMm9Eb2MueG1sUEsFBgAAAAAGAAYAWQEAAKMFAAAAAA==&#10;">
                <v:fill on="f" focussize="0,0"/>
                <v:stroke on="f"/>
                <v:imagedata o:title=""/>
                <o:lock v:ext="edit" aspectratio="f"/>
                <v:textbox>
                  <w:txbxContent>
                    <w:p w14:paraId="3EA01A20">
                      <w:pPr>
                        <w:pStyle w:val="16"/>
                        <w:spacing w:before="0" w:beforeAutospacing="0" w:after="0" w:afterAutospacing="0" w:line="300" w:lineRule="exact"/>
                        <w:ind w:firstLine="0" w:firstLineChars="0"/>
                        <w:jc w:val="center"/>
                        <w:rPr>
                          <w:rFonts w:ascii="Times New Roman" w:hAnsi="Times New Roman" w:cs="Times New Roman"/>
                        </w:rPr>
                      </w:pPr>
                      <w:r>
                        <w:rPr>
                          <w:rFonts w:ascii="Times New Roman" w:hAnsi="Times New Roman" w:cs="Times New Roman" w:eastAsiaTheme="minorEastAsia"/>
                          <w:kern w:val="24"/>
                          <w:sz w:val="21"/>
                          <w:szCs w:val="21"/>
                        </w:rPr>
                        <w:t>L-7 17点前</w:t>
                      </w:r>
                    </w:p>
                  </w:txbxContent>
                </v:textbox>
              </v:shape>
            </w:pict>
          </mc:Fallback>
        </mc:AlternateContent>
      </w:r>
      <w:r>
        <w:rPr>
          <w:rFonts w:ascii="Times New Roman" w:hAnsi="Times New Roman"/>
          <w:color w:val="000000"/>
          <w:kern w:val="0"/>
          <w:szCs w:val="30"/>
        </w:rPr>
        <mc:AlternateContent>
          <mc:Choice Requires="wps">
            <w:drawing>
              <wp:anchor distT="0" distB="0" distL="114300" distR="114300" simplePos="0" relativeHeight="251681792" behindDoc="0" locked="0" layoutInCell="1" allowOverlap="1">
                <wp:simplePos x="0" y="0"/>
                <wp:positionH relativeFrom="column">
                  <wp:posOffset>3509645</wp:posOffset>
                </wp:positionH>
                <wp:positionV relativeFrom="paragraph">
                  <wp:posOffset>200025</wp:posOffset>
                </wp:positionV>
                <wp:extent cx="541655" cy="281940"/>
                <wp:effectExtent l="0" t="0" r="0" b="0"/>
                <wp:wrapNone/>
                <wp:docPr id="4" name="Text Box 314"/>
                <wp:cNvGraphicFramePr/>
                <a:graphic xmlns:a="http://schemas.openxmlformats.org/drawingml/2006/main">
                  <a:graphicData uri="http://schemas.microsoft.com/office/word/2010/wordprocessingShape">
                    <wps:wsp>
                      <wps:cNvSpPr txBox="1">
                        <a:spLocks noChangeArrowheads="1"/>
                      </wps:cNvSpPr>
                      <wps:spPr bwMode="auto">
                        <a:xfrm>
                          <a:off x="0" y="0"/>
                          <a:ext cx="541655" cy="281940"/>
                        </a:xfrm>
                        <a:prstGeom prst="rect">
                          <a:avLst/>
                        </a:prstGeom>
                        <a:noFill/>
                        <a:ln>
                          <a:noFill/>
                        </a:ln>
                        <a:effectLst/>
                      </wps:spPr>
                      <wps:txbx>
                        <w:txbxContent>
                          <w:p w14:paraId="52A187C7">
                            <w:pPr>
                              <w:pStyle w:val="16"/>
                              <w:spacing w:before="0" w:beforeAutospacing="0" w:after="0" w:afterAutospacing="0" w:line="300" w:lineRule="exact"/>
                              <w:ind w:firstLine="42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L</w:t>
                            </w:r>
                          </w:p>
                        </w:txbxContent>
                      </wps:txbx>
                      <wps:bodyPr rot="0" vert="horz" wrap="square" lIns="91440" tIns="45720" rIns="91440" bIns="45720" anchor="t" anchorCtr="0" upright="1">
                        <a:spAutoFit/>
                      </wps:bodyPr>
                    </wps:wsp>
                  </a:graphicData>
                </a:graphic>
              </wp:anchor>
            </w:drawing>
          </mc:Choice>
          <mc:Fallback>
            <w:pict>
              <v:shape id="Text Box 314" o:spid="_x0000_s1026" o:spt="202" type="#_x0000_t202" style="position:absolute;left:0pt;margin-left:276.35pt;margin-top:15.75pt;height:22.2pt;width:42.65pt;z-index:251681792;mso-width-relative:page;mso-height-relative:page;" filled="f" stroked="f" coordsize="21600,21600" o:gfxdata="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8Nqd1wAAAAkBAAAPAAAAAAAAAAEAIAAA&#10;ACIAAABkcnMvZG93bnJldi54bWxQSwECFAAUAAAACACHTuJAuWSLFA0CAAAjBAAADgAAAAAAAAAB&#10;ACAAAAAmAQAAZHJzL2Uyb0RvYy54bWxQSwUGAAAAAAYABgBZAQAApQUAAAAA&#10;">
                <v:fill on="f" focussize="0,0"/>
                <v:stroke on="f"/>
                <v:imagedata o:title=""/>
                <o:lock v:ext="edit" aspectratio="f"/>
                <v:textbox style="mso-fit-shape-to-text:t;">
                  <w:txbxContent>
                    <w:p w14:paraId="52A187C7">
                      <w:pPr>
                        <w:pStyle w:val="16"/>
                        <w:spacing w:before="0" w:beforeAutospacing="0" w:after="0" w:afterAutospacing="0" w:line="300" w:lineRule="exact"/>
                        <w:ind w:firstLine="420"/>
                        <w:jc w:val="center"/>
                        <w:rPr>
                          <w:rFonts w:ascii="Times New Roman" w:hAnsi="Times New Roman" w:cs="Times New Roman" w:eastAsiaTheme="minorEastAsia"/>
                          <w:sz w:val="21"/>
                          <w:szCs w:val="21"/>
                        </w:rPr>
                      </w:pPr>
                      <w:r>
                        <w:rPr>
                          <w:rFonts w:ascii="Times New Roman" w:hAnsi="Times New Roman" w:cs="Times New Roman" w:eastAsiaTheme="minorEastAsia"/>
                          <w:kern w:val="24"/>
                          <w:sz w:val="21"/>
                          <w:szCs w:val="21"/>
                        </w:rPr>
                        <w:t>L</w:t>
                      </w:r>
                    </w:p>
                  </w:txbxContent>
                </v:textbox>
              </v:shape>
            </w:pict>
          </mc:Fallback>
        </mc:AlternateContent>
      </w:r>
      <w:r>
        <w:rPr>
          <w:rFonts w:ascii="Times New Roman" w:hAnsi="Times New Roman"/>
          <w:color w:val="000000"/>
          <w:kern w:val="0"/>
          <w:szCs w:val="30"/>
        </w:rPr>
        <mc:AlternateContent>
          <mc:Choice Requires="wps">
            <w:drawing>
              <wp:anchor distT="0" distB="0" distL="114300" distR="114300" simplePos="0" relativeHeight="251679744" behindDoc="0" locked="0" layoutInCell="1" allowOverlap="1">
                <wp:simplePos x="0" y="0"/>
                <wp:positionH relativeFrom="column">
                  <wp:posOffset>3790315</wp:posOffset>
                </wp:positionH>
                <wp:positionV relativeFrom="paragraph">
                  <wp:posOffset>100330</wp:posOffset>
                </wp:positionV>
                <wp:extent cx="0" cy="107950"/>
                <wp:effectExtent l="9525" t="0" r="9525" b="6350"/>
                <wp:wrapNone/>
                <wp:docPr id="3" name="Line 312"/>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312" o:spid="_x0000_s1026" o:spt="20" style="position:absolute;left:0pt;margin-left:298.45pt;margin-top:7.9pt;height:8.5pt;width:0pt;z-index:251679744;mso-width-relative:page;mso-height-relative:page;" filled="f" stroked="t" coordsize="21600,21600" o:gfxdata="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2t1/bYAAAACQEAAA8AAAAAAAAAAQAgAAAA&#10;IgAAAGRycy9kb3ducmV2LnhtbFBLAQIUABQAAAAIAIdO4kA0R3FW0gEAALwDAAAOAAAAAAAAAAEA&#10;IAAAACcBAABkcnMvZTJvRG9jLnhtbFBLBQYAAAAABgAGAFkBAABrBQAAAAA=&#10;">
                <v:fill on="f" focussize="0,0"/>
                <v:stroke weight="1.5pt" color="#000000" miterlimit="8" joinstyle="miter"/>
                <v:imagedata o:title=""/>
                <o:lock v:ext="edit" aspectratio="f"/>
              </v:line>
            </w:pict>
          </mc:Fallback>
        </mc:AlternateContent>
      </w:r>
      <w:r>
        <w:rPr>
          <w:rFonts w:ascii="Times New Roman" w:hAnsi="Times New Roman"/>
          <w:color w:val="000000"/>
          <w:kern w:val="0"/>
          <w:szCs w:val="30"/>
        </w:rPr>
        <mc:AlternateContent>
          <mc:Choice Requires="wps">
            <w:drawing>
              <wp:anchor distT="0" distB="0" distL="114300" distR="114300" simplePos="0" relativeHeight="251677696" behindDoc="0" locked="0" layoutInCell="1" allowOverlap="1">
                <wp:simplePos x="0" y="0"/>
                <wp:positionH relativeFrom="column">
                  <wp:posOffset>1254125</wp:posOffset>
                </wp:positionH>
                <wp:positionV relativeFrom="paragraph">
                  <wp:posOffset>92710</wp:posOffset>
                </wp:positionV>
                <wp:extent cx="0" cy="107950"/>
                <wp:effectExtent l="9525" t="0" r="9525" b="6350"/>
                <wp:wrapNone/>
                <wp:docPr id="2" name="Line 311"/>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19050">
                          <a:solidFill>
                            <a:srgbClr val="000000"/>
                          </a:solidFill>
                          <a:miter lim="800000"/>
                        </a:ln>
                        <a:effectLst/>
                      </wps:spPr>
                      <wps:bodyPr/>
                    </wps:wsp>
                  </a:graphicData>
                </a:graphic>
              </wp:anchor>
            </w:drawing>
          </mc:Choice>
          <mc:Fallback>
            <w:pict>
              <v:line id="Line 311" o:spid="_x0000_s1026" o:spt="20" style="position:absolute;left:0pt;margin-left:98.75pt;margin-top:7.3pt;height:8.5pt;width:0pt;z-index:251677696;mso-width-relative:page;mso-height-relative:page;" filled="f" stroked="t" coordsize="21600,21600" o:gfxdata="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kz1WNgAAAAJAQAADwAAAAAAAAABACAA&#10;AAAiAAAAZHJzL2Rvd25yZXYueG1sUEsBAhQAFAAAAAgAh07iQEBEA2nUAQAAvAMAAA4AAAAAAAAA&#10;AQAgAAAAJwEAAGRycy9lMm9Eb2MueG1sUEsFBgAAAAAGAAYAWQEAAG0FAAAAAA==&#10;">
                <v:fill on="f" focussize="0,0"/>
                <v:stroke weight="1.5pt" color="#000000" miterlimit="8" joinstyle="miter"/>
                <v:imagedata o:title=""/>
                <o:lock v:ext="edit" aspectratio="f"/>
              </v:line>
            </w:pict>
          </mc:Fallback>
        </mc:AlternateContent>
      </w:r>
      <w:r>
        <w:rPr>
          <w:rFonts w:ascii="Times New Roman" w:hAnsi="Times New Roman"/>
          <w:color w:val="000000"/>
          <w:kern w:val="0"/>
          <w:szCs w:val="30"/>
        </w:rPr>
        <mc:AlternateContent>
          <mc:Choice Requires="wps">
            <w:drawing>
              <wp:anchor distT="0" distB="0" distL="114300" distR="114300" simplePos="0" relativeHeight="251676672" behindDoc="0" locked="0" layoutInCell="1" allowOverlap="1">
                <wp:simplePos x="0" y="0"/>
                <wp:positionH relativeFrom="column">
                  <wp:posOffset>479425</wp:posOffset>
                </wp:positionH>
                <wp:positionV relativeFrom="paragraph">
                  <wp:posOffset>206375</wp:posOffset>
                </wp:positionV>
                <wp:extent cx="4319905" cy="0"/>
                <wp:effectExtent l="0" t="38100" r="4445" b="38100"/>
                <wp:wrapNone/>
                <wp:docPr id="1" name="AutoShape 310"/>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9050">
                          <a:solidFill>
                            <a:srgbClr val="000000"/>
                          </a:solidFill>
                          <a:miter lim="800000"/>
                          <a:tailEnd type="triangle" w="med" len="med"/>
                        </a:ln>
                        <a:effectLst/>
                      </wps:spPr>
                      <wps:bodyPr/>
                    </wps:wsp>
                  </a:graphicData>
                </a:graphic>
              </wp:anchor>
            </w:drawing>
          </mc:Choice>
          <mc:Fallback>
            <w:pict>
              <v:shape id="AutoShape 310" o:spid="_x0000_s1026" o:spt="32" type="#_x0000_t32" style="position:absolute;left:0pt;margin-left:37.75pt;margin-top:16.25pt;height:0pt;width:340.15pt;z-index:251676672;mso-width-relative:page;mso-height-relative:page;" filled="f" stroked="t" coordsize="21600,21600" o:gfxdata="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iNGW1AAAAAgBAAAPAAAAAAAAAAEAIAAAACIAAABkcnMvZG93bnJldi54bWxQ&#10;SwECFAAUAAAACACHTuJAmvwQH/sBAAD+AwAADgAAAAAAAAABACAAAAAjAQAAZHJzL2Uyb0RvYy54&#10;bWxQSwUGAAAAAAYABgBZAQAAkAUAAAAA&#10;">
                <v:fill on="f" focussize="0,0"/>
                <v:stroke weight="1.5pt" color="#000000" miterlimit="8" joinstyle="miter" endarrow="block"/>
                <v:imagedata o:title=""/>
                <o:lock v:ext="edit" aspectratio="f"/>
              </v:shape>
            </w:pict>
          </mc:Fallback>
        </mc:AlternateContent>
      </w:r>
    </w:p>
    <w:p w14:paraId="44905DDF">
      <w:pPr>
        <w:spacing w:line="400" w:lineRule="exact"/>
        <w:ind w:firstLine="600"/>
        <w:jc w:val="center"/>
        <w:rPr>
          <w:rFonts w:ascii="Times New Roman" w:hAnsi="Times New Roman"/>
        </w:rPr>
      </w:pPr>
      <w:r>
        <w:rPr>
          <w:rFonts w:ascii="Times New Roman" w:hAnsi="Times New Roman"/>
        </w:rPr>
        <w:t xml:space="preserve">    </w:t>
      </w:r>
    </w:p>
    <w:p w14:paraId="716E1D95">
      <w:pPr>
        <w:widowControl/>
        <w:snapToGrid w:val="0"/>
        <w:spacing w:line="300" w:lineRule="exact"/>
        <w:ind w:firstLine="422"/>
        <w:jc w:val="center"/>
        <w:rPr>
          <w:rFonts w:ascii="Times New Roman" w:hAnsi="Times New Roman" w:eastAsiaTheme="minorEastAsia"/>
          <w:b/>
          <w:bCs/>
          <w:sz w:val="21"/>
          <w:szCs w:val="21"/>
        </w:rPr>
      </w:pPr>
      <w:r>
        <w:rPr>
          <w:rFonts w:ascii="Times New Roman" w:hAnsi="Times New Roman" w:eastAsiaTheme="minorEastAsia"/>
          <w:b/>
          <w:bCs/>
          <w:sz w:val="21"/>
          <w:szCs w:val="21"/>
        </w:rPr>
        <w:t>图2-8-1 公募REITs解除限售/锁定业务办理时间</w:t>
      </w:r>
    </w:p>
    <w:p w14:paraId="2871DAB6">
      <w:pPr>
        <w:ind w:firstLine="600"/>
        <w:rPr>
          <w:rFonts w:ascii="Times New Roman" w:hAnsi="Times New Roman"/>
        </w:rPr>
      </w:pPr>
      <w:r>
        <w:rPr>
          <w:rFonts w:ascii="Times New Roman" w:hAnsi="Times New Roman"/>
          <w:szCs w:val="30"/>
        </w:rPr>
        <w:t>对于场内份额，基金管理人需至少在解除限售日前7个交易日前通过基金业务管理系统提交</w:t>
      </w:r>
      <w:r>
        <w:rPr>
          <w:rFonts w:hint="eastAsia" w:ascii="Times New Roman" w:hAnsi="Times New Roman"/>
        </w:rPr>
        <w:t>公募</w:t>
      </w:r>
      <w:r>
        <w:rPr>
          <w:rFonts w:ascii="Times New Roman" w:hAnsi="Times New Roman"/>
          <w:szCs w:val="30"/>
        </w:rPr>
        <w:t>REITs场内份额解除限售申请（在线</w:t>
      </w:r>
      <w:r>
        <w:rPr>
          <w:rFonts w:ascii="Times New Roman" w:hAnsi="Times New Roman"/>
        </w:rPr>
        <w:t>填写解除限售总量）及公告。如出现非全部按期解禁等情形，还应发送《限售公募REITs解除限售申请表》（附件</w:t>
      </w:r>
      <w:r>
        <w:rPr>
          <w:rFonts w:hint="eastAsia" w:ascii="Times New Roman" w:hAnsi="Times New Roman"/>
        </w:rPr>
        <w:t>6</w:t>
      </w:r>
      <w:r>
        <w:rPr>
          <w:rFonts w:ascii="Times New Roman" w:hAnsi="Times New Roman"/>
        </w:rPr>
        <w:t>）。</w:t>
      </w:r>
    </w:p>
    <w:p w14:paraId="32E03C14">
      <w:pPr>
        <w:ind w:firstLine="600"/>
        <w:rPr>
          <w:rFonts w:ascii="Times New Roman" w:hAnsi="Times New Roman"/>
        </w:rPr>
      </w:pPr>
      <w:r>
        <w:rPr>
          <w:rFonts w:ascii="Times New Roman" w:hAnsi="Times New Roman"/>
        </w:rPr>
        <w:t>对于场外份额，基金管理人需至少在解除锁定日前7个交易日前通过基金业务管理系统提交</w:t>
      </w:r>
      <w:r>
        <w:rPr>
          <w:rFonts w:hint="eastAsia" w:ascii="Times New Roman" w:hAnsi="Times New Roman"/>
        </w:rPr>
        <w:t>公募</w:t>
      </w:r>
      <w:r>
        <w:rPr>
          <w:rFonts w:ascii="Times New Roman" w:hAnsi="Times New Roman"/>
        </w:rPr>
        <w:t>REITs场外份额解除锁定申请（在线填写申请并上传《</w:t>
      </w:r>
      <w:r>
        <w:rPr>
          <w:rFonts w:hint="eastAsia" w:ascii="Times New Roman" w:hAnsi="Times New Roman"/>
        </w:rPr>
        <w:t>公募</w:t>
      </w:r>
      <w:r>
        <w:rPr>
          <w:rFonts w:ascii="Times New Roman" w:hAnsi="Times New Roman"/>
        </w:rPr>
        <w:t>REITs场外份额解锁申请表》EXCEL，示例见附件</w:t>
      </w:r>
      <w:r>
        <w:rPr>
          <w:rFonts w:hint="eastAsia" w:ascii="Times New Roman" w:hAnsi="Times New Roman"/>
        </w:rPr>
        <w:t>7</w:t>
      </w:r>
      <w:r>
        <w:rPr>
          <w:rFonts w:ascii="Times New Roman" w:hAnsi="Times New Roman"/>
        </w:rPr>
        <w:t>）及公告。</w:t>
      </w:r>
    </w:p>
    <w:p w14:paraId="5F6D9B70">
      <w:pPr>
        <w:ind w:firstLine="600"/>
        <w:rPr>
          <w:rFonts w:ascii="Times New Roman" w:hAnsi="Times New Roman"/>
        </w:rPr>
      </w:pPr>
      <w:r>
        <w:rPr>
          <w:rFonts w:hint="eastAsia" w:ascii="Times New Roman" w:hAnsi="Times New Roman"/>
        </w:rPr>
        <w:t>公募</w:t>
      </w:r>
      <w:r>
        <w:rPr>
          <w:rFonts w:ascii="Times New Roman" w:hAnsi="Times New Roman"/>
        </w:rPr>
        <w:t>REITs份额解除限售/解锁的公告（必备要素见附件</w:t>
      </w:r>
      <w:r>
        <w:rPr>
          <w:rFonts w:hint="eastAsia" w:ascii="Times New Roman" w:hAnsi="Times New Roman"/>
        </w:rPr>
        <w:t>8</w:t>
      </w:r>
      <w:r>
        <w:rPr>
          <w:rFonts w:ascii="Times New Roman" w:hAnsi="Times New Roman"/>
        </w:rPr>
        <w:t>），上传材料均以PDF格式的电子文件提交。</w:t>
      </w:r>
    </w:p>
    <w:p w14:paraId="0AF0FF2B">
      <w:pPr>
        <w:ind w:firstLine="600"/>
        <w:rPr>
          <w:rFonts w:ascii="Times New Roman" w:hAnsi="Times New Roman"/>
          <w:color w:val="000000"/>
          <w:kern w:val="0"/>
        </w:rPr>
      </w:pPr>
      <w:r>
        <w:rPr>
          <w:rFonts w:ascii="Times New Roman" w:hAnsi="Times New Roman"/>
        </w:rPr>
        <w:t>上传申请后，基金</w:t>
      </w:r>
      <w:r>
        <w:rPr>
          <w:rFonts w:ascii="Times New Roman" w:hAnsi="Times New Roman"/>
          <w:color w:val="000000"/>
          <w:kern w:val="0"/>
          <w:szCs w:val="30"/>
        </w:rPr>
        <w:t>管理人应于解除限售/锁定日前6日10：00前确认上述申请审核通过，否则将影响生效日期。</w:t>
      </w:r>
    </w:p>
    <w:p w14:paraId="5A79C22D">
      <w:pPr>
        <w:pStyle w:val="4"/>
        <w:ind w:firstLine="602"/>
        <w:rPr>
          <w:rFonts w:ascii="Times New Roman" w:hAnsi="Times New Roman"/>
        </w:rPr>
      </w:pPr>
      <w:r>
        <w:rPr>
          <w:rFonts w:ascii="Times New Roman" w:hAnsi="Times New Roman"/>
          <w:szCs w:val="30"/>
        </w:rPr>
        <w:t>（三）</w:t>
      </w:r>
      <w:r>
        <w:rPr>
          <w:rFonts w:ascii="Times New Roman" w:hAnsi="Times New Roman"/>
        </w:rPr>
        <w:t>具体操作</w:t>
      </w:r>
    </w:p>
    <w:p w14:paraId="0C1B22F9">
      <w:pPr>
        <w:ind w:firstLine="600"/>
        <w:rPr>
          <w:rFonts w:ascii="Times New Roman" w:hAnsi="Times New Roman"/>
        </w:rPr>
      </w:pPr>
      <w:r>
        <w:rPr>
          <w:rFonts w:ascii="Times New Roman" w:hAnsi="Times New Roman"/>
          <w:kern w:val="0"/>
        </w:rPr>
        <w:t>基金管理人通过业务管理系统平台</w:t>
      </w:r>
      <w:r>
        <w:rPr>
          <w:rFonts w:ascii="Times New Roman" w:hAnsi="Times New Roman"/>
        </w:rPr>
        <w:t>在线下载EXCEL表格、限售</w:t>
      </w:r>
      <w:r>
        <w:rPr>
          <w:rFonts w:hint="eastAsia" w:ascii="Times New Roman" w:hAnsi="Times New Roman"/>
        </w:rPr>
        <w:t>公募</w:t>
      </w:r>
      <w:r>
        <w:rPr>
          <w:rFonts w:ascii="Times New Roman" w:hAnsi="Times New Roman"/>
        </w:rPr>
        <w:t>REITs解除限售申请表（格式参考附件</w:t>
      </w:r>
      <w:r>
        <w:rPr>
          <w:rFonts w:hint="eastAsia" w:ascii="Times New Roman" w:hAnsi="Times New Roman"/>
        </w:rPr>
        <w:t>6</w:t>
      </w:r>
      <w:r>
        <w:rPr>
          <w:rFonts w:ascii="Times New Roman" w:hAnsi="Times New Roman"/>
        </w:rPr>
        <w:t>）及</w:t>
      </w:r>
      <w:r>
        <w:rPr>
          <w:rFonts w:hint="eastAsia" w:ascii="Times New Roman" w:hAnsi="Times New Roman"/>
        </w:rPr>
        <w:t>公募</w:t>
      </w:r>
      <w:r>
        <w:rPr>
          <w:rFonts w:ascii="Times New Roman" w:hAnsi="Times New Roman"/>
        </w:rPr>
        <w:t>REITs场外份额解锁申请等申请材料，并上传</w:t>
      </w:r>
      <w:r>
        <w:rPr>
          <w:rFonts w:hint="eastAsia" w:ascii="Times New Roman" w:hAnsi="Times New Roman"/>
        </w:rPr>
        <w:t>公募</w:t>
      </w:r>
      <w:r>
        <w:rPr>
          <w:rFonts w:ascii="Times New Roman" w:hAnsi="Times New Roman"/>
        </w:rPr>
        <w:t>REITs份额解除限售/解锁的公告，上传材料均以PDF格式的电子文件提交。</w:t>
      </w:r>
    </w:p>
    <w:p w14:paraId="08197025">
      <w:pPr>
        <w:pStyle w:val="3"/>
        <w:spacing w:before="156" w:after="156"/>
        <w:ind w:firstLine="643"/>
        <w:rPr>
          <w:rFonts w:ascii="Times New Roman" w:hAnsi="Times New Roman"/>
        </w:rPr>
      </w:pPr>
      <w:bookmarkStart w:id="45" w:name="_Toc72324918"/>
      <w:bookmarkStart w:id="46" w:name="_Toc217484339"/>
      <w:r>
        <w:rPr>
          <w:rFonts w:ascii="Times New Roman" w:hAnsi="Times New Roman"/>
        </w:rPr>
        <w:t>九、一致行动人信息填报及披露</w:t>
      </w:r>
      <w:bookmarkEnd w:id="45"/>
      <w:bookmarkEnd w:id="46"/>
    </w:p>
    <w:p w14:paraId="52EFEC12">
      <w:pPr>
        <w:ind w:firstLine="600"/>
        <w:rPr>
          <w:rFonts w:ascii="Times New Roman" w:hAnsi="Times New Roman"/>
        </w:rPr>
      </w:pPr>
      <w:r>
        <w:rPr>
          <w:rFonts w:ascii="Times New Roman" w:hAnsi="Times New Roman"/>
        </w:rPr>
        <w:t>基金管理人在投资者及其一致行动人拥有的</w:t>
      </w:r>
      <w:r>
        <w:rPr>
          <w:rFonts w:hint="eastAsia" w:ascii="Times New Roman" w:hAnsi="Times New Roman"/>
        </w:rPr>
        <w:t>不动产</w:t>
      </w:r>
      <w:r>
        <w:rPr>
          <w:rFonts w:ascii="Times New Roman" w:hAnsi="Times New Roman"/>
        </w:rPr>
        <w:t>基金份额达到一只</w:t>
      </w:r>
      <w:r>
        <w:rPr>
          <w:rFonts w:hint="eastAsia" w:ascii="Times New Roman" w:hAnsi="Times New Roman"/>
        </w:rPr>
        <w:t>不动产</w:t>
      </w:r>
      <w:r>
        <w:rPr>
          <w:rFonts w:ascii="Times New Roman" w:hAnsi="Times New Roman"/>
        </w:rPr>
        <w:t>基金份额的10%、30%、50%时，或者达到10%后通过本所交易</w:t>
      </w:r>
      <w:r>
        <w:rPr>
          <w:rFonts w:ascii="Times New Roman" w:hAnsi="Times New Roman"/>
          <w:color w:val="000000"/>
          <w:kern w:val="0"/>
        </w:rPr>
        <w:t>拥有权益的基金份额占该</w:t>
      </w:r>
      <w:r>
        <w:rPr>
          <w:rFonts w:hint="eastAsia" w:ascii="Times New Roman" w:hAnsi="Times New Roman"/>
          <w:color w:val="000000"/>
          <w:kern w:val="0"/>
        </w:rPr>
        <w:t>不动产</w:t>
      </w:r>
      <w:r>
        <w:rPr>
          <w:rFonts w:ascii="Times New Roman" w:hAnsi="Times New Roman"/>
          <w:color w:val="000000"/>
          <w:kern w:val="0"/>
        </w:rPr>
        <w:t>基金份额的比例每增加或者减少5%时</w:t>
      </w:r>
      <w:r>
        <w:rPr>
          <w:rFonts w:ascii="Times New Roman" w:hAnsi="Times New Roman"/>
        </w:rPr>
        <w:t>，应当于3个交易日内通过</w:t>
      </w:r>
      <w:r>
        <w:rPr>
          <w:rFonts w:ascii="Times New Roman" w:hAnsi="Times New Roman"/>
          <w:color w:val="000000"/>
          <w:kern w:val="0"/>
        </w:rPr>
        <w:t>衍生品与基金业务平台</w:t>
      </w:r>
      <w:r>
        <w:rPr>
          <w:rFonts w:ascii="Times New Roman" w:hAnsi="Times New Roman"/>
        </w:rPr>
        <w:t>的“公募REITs一致行动人信息”流程填报更新后的投资者及其一致行动人信息。</w:t>
      </w:r>
    </w:p>
    <w:p w14:paraId="594043F5">
      <w:pPr>
        <w:ind w:firstLine="600"/>
        <w:rPr>
          <w:rFonts w:ascii="Times New Roman" w:hAnsi="Times New Roman" w:eastAsia="黑体"/>
          <w:b/>
        </w:rPr>
      </w:pPr>
      <w:r>
        <w:rPr>
          <w:rFonts w:ascii="Times New Roman" w:hAnsi="Times New Roman"/>
        </w:rPr>
        <w:t>投资者及其一致行动人应当按照《上海证券交易所公开募集</w:t>
      </w:r>
      <w:r>
        <w:rPr>
          <w:rFonts w:hint="eastAsia" w:ascii="Times New Roman" w:hAnsi="Times New Roman"/>
        </w:rPr>
        <w:t>不动产投资信托</w:t>
      </w:r>
      <w:r>
        <w:rPr>
          <w:rFonts w:ascii="Times New Roman" w:hAnsi="Times New Roman"/>
        </w:rPr>
        <w:t>基金（REITs）业务办法（试行）》等相关规定编制权益变动报告书，通知基金管理人，委托基金管理人通过</w:t>
      </w:r>
      <w:r>
        <w:rPr>
          <w:rFonts w:ascii="Times New Roman" w:hAnsi="Times New Roman"/>
          <w:kern w:val="0"/>
        </w:rPr>
        <w:t>业务管理系统平台的“REITs-信息披露”</w:t>
      </w:r>
      <w:r>
        <w:rPr>
          <w:rFonts w:ascii="Times New Roman" w:hAnsi="Times New Roman"/>
        </w:rPr>
        <w:t>上传信息披露文件。</w:t>
      </w:r>
    </w:p>
    <w:p w14:paraId="117BEA8B">
      <w:pPr>
        <w:pStyle w:val="2"/>
        <w:spacing w:before="156" w:after="156"/>
        <w:ind w:firstLine="0" w:firstLineChars="0"/>
        <w:rPr>
          <w:rFonts w:ascii="Times New Roman" w:hAnsi="Times New Roman"/>
        </w:rPr>
      </w:pPr>
      <w:bookmarkStart w:id="47" w:name="_Toc63062080"/>
      <w:r>
        <w:rPr>
          <w:rFonts w:ascii="Times New Roman" w:hAnsi="Times New Roman"/>
        </w:rPr>
        <w:br w:type="page"/>
      </w:r>
      <w:bookmarkEnd w:id="47"/>
      <w:r>
        <w:rPr>
          <w:rFonts w:ascii="Times New Roman" w:hAnsi="Times New Roman"/>
        </w:rPr>
        <w:tab/>
      </w:r>
      <w:bookmarkStart w:id="48" w:name="_Toc217484340"/>
      <w:bookmarkStart w:id="49" w:name="_Toc71646033"/>
      <w:r>
        <w:rPr>
          <w:rFonts w:ascii="Times New Roman" w:hAnsi="Times New Roman"/>
        </w:rPr>
        <w:t xml:space="preserve">第三章 </w:t>
      </w:r>
      <w:r>
        <w:rPr>
          <w:rFonts w:hint="eastAsia" w:ascii="Times New Roman" w:hAnsi="Times New Roman"/>
        </w:rPr>
        <w:t xml:space="preserve"> </w:t>
      </w:r>
      <w:r>
        <w:rPr>
          <w:rFonts w:ascii="Times New Roman" w:hAnsi="Times New Roman"/>
        </w:rPr>
        <w:t>模板及附件</w:t>
      </w:r>
      <w:bookmarkEnd w:id="48"/>
      <w:bookmarkEnd w:id="49"/>
      <w:r>
        <w:rPr>
          <w:rFonts w:ascii="Times New Roman" w:hAnsi="Times New Roman"/>
        </w:rPr>
        <w:tab/>
      </w:r>
    </w:p>
    <w:p w14:paraId="59E1967C">
      <w:pPr>
        <w:pStyle w:val="3"/>
        <w:spacing w:before="156" w:after="156"/>
        <w:ind w:firstLine="199" w:firstLineChars="62"/>
        <w:rPr>
          <w:rFonts w:ascii="Times New Roman"/>
          <w:kern w:val="0"/>
        </w:rPr>
      </w:pPr>
      <w:bookmarkStart w:id="50" w:name="_Toc217484341"/>
      <w:r>
        <w:rPr>
          <w:rFonts w:hint="eastAsia" w:ascii="Times New Roman" w:hAnsi="Times New Roman"/>
        </w:rPr>
        <w:t xml:space="preserve">附件1  </w:t>
      </w:r>
      <w:r>
        <w:rPr>
          <w:rFonts w:hint="eastAsia" w:ascii="Times New Roman" w:hAnsi="Times New Roman"/>
          <w:kern w:val="0"/>
        </w:rPr>
        <w:t>信息披露</w:t>
      </w:r>
      <w:r>
        <w:rPr>
          <w:rFonts w:ascii="Times New Roman"/>
          <w:kern w:val="0"/>
        </w:rPr>
        <w:t>公告类别</w:t>
      </w:r>
      <w:bookmarkEnd w:id="50"/>
    </w:p>
    <w:tbl>
      <w:tblPr>
        <w:tblStyle w:val="18"/>
        <w:tblW w:w="8794" w:type="dxa"/>
        <w:tblInd w:w="103" w:type="dxa"/>
        <w:tblLayout w:type="autofit"/>
        <w:tblCellMar>
          <w:top w:w="0" w:type="dxa"/>
          <w:left w:w="108" w:type="dxa"/>
          <w:bottom w:w="0" w:type="dxa"/>
          <w:right w:w="108" w:type="dxa"/>
        </w:tblCellMar>
      </w:tblPr>
      <w:tblGrid>
        <w:gridCol w:w="1037"/>
        <w:gridCol w:w="2229"/>
        <w:gridCol w:w="5528"/>
      </w:tblGrid>
      <w:tr w14:paraId="2685A09B">
        <w:tblPrEx>
          <w:tblCellMar>
            <w:top w:w="0" w:type="dxa"/>
            <w:left w:w="108" w:type="dxa"/>
            <w:bottom w:w="0" w:type="dxa"/>
            <w:right w:w="108" w:type="dxa"/>
          </w:tblCellMar>
        </w:tblPrEx>
        <w:trPr>
          <w:trHeight w:val="570" w:hRule="atLeast"/>
        </w:trPr>
        <w:tc>
          <w:tcPr>
            <w:tcW w:w="1037" w:type="dxa"/>
            <w:tcBorders>
              <w:top w:val="single" w:color="auto" w:sz="4" w:space="0"/>
              <w:left w:val="single" w:color="auto" w:sz="4" w:space="0"/>
              <w:bottom w:val="single" w:color="auto" w:sz="4" w:space="0"/>
              <w:right w:val="single" w:color="auto" w:sz="4" w:space="0"/>
            </w:tcBorders>
            <w:vAlign w:val="center"/>
          </w:tcPr>
          <w:p w14:paraId="3E56F188">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一级公告类别</w:t>
            </w:r>
          </w:p>
        </w:tc>
        <w:tc>
          <w:tcPr>
            <w:tcW w:w="2229" w:type="dxa"/>
            <w:tcBorders>
              <w:top w:val="single" w:color="auto" w:sz="4" w:space="0"/>
              <w:left w:val="nil"/>
              <w:bottom w:val="single" w:color="auto" w:sz="4" w:space="0"/>
              <w:right w:val="single" w:color="auto" w:sz="4" w:space="0"/>
            </w:tcBorders>
            <w:vAlign w:val="center"/>
          </w:tcPr>
          <w:p w14:paraId="287CCA1F">
            <w:pPr>
              <w:widowControl/>
              <w:spacing w:line="240" w:lineRule="auto"/>
              <w:ind w:firstLine="0" w:firstLineChars="0"/>
              <w:rPr>
                <w:rFonts w:ascii="Times New Roman" w:hAnsi="Times New Roman"/>
                <w:b/>
                <w:bCs/>
                <w:kern w:val="0"/>
                <w:sz w:val="24"/>
                <w:szCs w:val="24"/>
              </w:rPr>
            </w:pPr>
            <w:r>
              <w:rPr>
                <w:rFonts w:ascii="Times New Roman" w:hAnsi="Times New Roman"/>
                <w:b/>
                <w:bCs/>
                <w:kern w:val="0"/>
                <w:sz w:val="24"/>
                <w:szCs w:val="24"/>
              </w:rPr>
              <w:t>二级公告类别</w:t>
            </w:r>
          </w:p>
        </w:tc>
        <w:tc>
          <w:tcPr>
            <w:tcW w:w="5528" w:type="dxa"/>
            <w:tcBorders>
              <w:top w:val="single" w:color="auto" w:sz="4" w:space="0"/>
              <w:left w:val="nil"/>
              <w:bottom w:val="single" w:color="auto" w:sz="4" w:space="0"/>
              <w:right w:val="single" w:color="auto" w:sz="4" w:space="0"/>
            </w:tcBorders>
            <w:vAlign w:val="center"/>
          </w:tcPr>
          <w:p w14:paraId="5662C753">
            <w:pPr>
              <w:widowControl/>
              <w:spacing w:line="240" w:lineRule="auto"/>
              <w:ind w:firstLine="0" w:firstLineChars="0"/>
              <w:rPr>
                <w:rFonts w:ascii="Times New Roman" w:hAnsi="Times New Roman"/>
                <w:b/>
                <w:bCs/>
                <w:kern w:val="0"/>
                <w:sz w:val="24"/>
                <w:szCs w:val="24"/>
              </w:rPr>
            </w:pPr>
            <w:r>
              <w:rPr>
                <w:rFonts w:ascii="Times New Roman" w:hAnsi="Times New Roman"/>
                <w:b/>
                <w:bCs/>
                <w:kern w:val="0"/>
                <w:sz w:val="24"/>
                <w:szCs w:val="24"/>
              </w:rPr>
              <w:t>主要公告内容</w:t>
            </w:r>
          </w:p>
        </w:tc>
      </w:tr>
      <w:tr w14:paraId="38FFEEA7">
        <w:tblPrEx>
          <w:tblCellMar>
            <w:top w:w="0" w:type="dxa"/>
            <w:left w:w="108" w:type="dxa"/>
            <w:bottom w:w="0" w:type="dxa"/>
            <w:right w:w="108" w:type="dxa"/>
          </w:tblCellMar>
        </w:tblPrEx>
        <w:trPr>
          <w:trHeight w:val="285" w:hRule="atLeast"/>
        </w:trPr>
        <w:tc>
          <w:tcPr>
            <w:tcW w:w="1037" w:type="dxa"/>
            <w:vMerge w:val="restart"/>
            <w:tcBorders>
              <w:top w:val="single" w:color="auto" w:sz="4" w:space="0"/>
              <w:left w:val="single" w:color="auto" w:sz="4" w:space="0"/>
              <w:bottom w:val="single" w:color="auto" w:sz="4" w:space="0"/>
              <w:right w:val="single" w:color="auto" w:sz="4" w:space="0"/>
            </w:tcBorders>
            <w:noWrap/>
            <w:vAlign w:val="center"/>
          </w:tcPr>
          <w:p w14:paraId="6F6F31E6">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定期</w:t>
            </w:r>
          </w:p>
          <w:p w14:paraId="17DA2B5C">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报告</w:t>
            </w:r>
          </w:p>
        </w:tc>
        <w:tc>
          <w:tcPr>
            <w:tcW w:w="2229" w:type="dxa"/>
            <w:tcBorders>
              <w:top w:val="nil"/>
              <w:left w:val="nil"/>
              <w:bottom w:val="single" w:color="auto" w:sz="4" w:space="0"/>
              <w:right w:val="single" w:color="auto" w:sz="4" w:space="0"/>
            </w:tcBorders>
            <w:noWrap/>
            <w:vAlign w:val="center"/>
          </w:tcPr>
          <w:p w14:paraId="27BE23FE">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年度报告</w:t>
            </w:r>
          </w:p>
        </w:tc>
        <w:tc>
          <w:tcPr>
            <w:tcW w:w="5528" w:type="dxa"/>
            <w:tcBorders>
              <w:top w:val="nil"/>
              <w:left w:val="nil"/>
              <w:bottom w:val="single" w:color="auto" w:sz="4" w:space="0"/>
              <w:right w:val="single" w:color="auto" w:sz="4" w:space="0"/>
            </w:tcBorders>
            <w:noWrap/>
            <w:vAlign w:val="center"/>
          </w:tcPr>
          <w:p w14:paraId="44778A4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年度报告，相关提示性公告（可选）</w:t>
            </w:r>
          </w:p>
        </w:tc>
      </w:tr>
      <w:tr w14:paraId="374DB264">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4D734CFE">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5B5D7B5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中期报告</w:t>
            </w:r>
          </w:p>
        </w:tc>
        <w:tc>
          <w:tcPr>
            <w:tcW w:w="5528" w:type="dxa"/>
            <w:tcBorders>
              <w:top w:val="nil"/>
              <w:left w:val="nil"/>
              <w:bottom w:val="single" w:color="auto" w:sz="4" w:space="0"/>
              <w:right w:val="single" w:color="auto" w:sz="4" w:space="0"/>
            </w:tcBorders>
            <w:noWrap/>
            <w:vAlign w:val="center"/>
          </w:tcPr>
          <w:p w14:paraId="2C50EAD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中期报告（半年度报告），相关提示性公告（可选）</w:t>
            </w:r>
          </w:p>
        </w:tc>
      </w:tr>
      <w:tr w14:paraId="22519AD7">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3AC164F8">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284B523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季度报告</w:t>
            </w:r>
          </w:p>
        </w:tc>
        <w:tc>
          <w:tcPr>
            <w:tcW w:w="5528" w:type="dxa"/>
            <w:tcBorders>
              <w:top w:val="nil"/>
              <w:left w:val="nil"/>
              <w:bottom w:val="single" w:color="auto" w:sz="4" w:space="0"/>
              <w:right w:val="single" w:color="auto" w:sz="4" w:space="0"/>
            </w:tcBorders>
            <w:noWrap/>
            <w:vAlign w:val="center"/>
          </w:tcPr>
          <w:p w14:paraId="6C9EC753">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季度报告，相关提示性公告（可选）</w:t>
            </w:r>
          </w:p>
        </w:tc>
      </w:tr>
      <w:tr w14:paraId="6EEF130C">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2FADDBEF">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3BDB31A6">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其他自主披露定期公告</w:t>
            </w:r>
          </w:p>
        </w:tc>
        <w:tc>
          <w:tcPr>
            <w:tcW w:w="5528" w:type="dxa"/>
            <w:tcBorders>
              <w:top w:val="nil"/>
              <w:left w:val="nil"/>
              <w:bottom w:val="single" w:color="auto" w:sz="4" w:space="0"/>
              <w:right w:val="single" w:color="auto" w:sz="4" w:space="0"/>
            </w:tcBorders>
            <w:noWrap/>
            <w:vAlign w:val="center"/>
          </w:tcPr>
          <w:p w14:paraId="630C6E44">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其他自主披露定期公告，相关提示性公告（可选）</w:t>
            </w:r>
          </w:p>
        </w:tc>
      </w:tr>
      <w:tr w14:paraId="1C7667C9">
        <w:tblPrEx>
          <w:tblCellMar>
            <w:top w:w="0" w:type="dxa"/>
            <w:left w:w="108" w:type="dxa"/>
            <w:bottom w:w="0" w:type="dxa"/>
            <w:right w:w="108" w:type="dxa"/>
          </w:tblCellMar>
        </w:tblPrEx>
        <w:trPr>
          <w:trHeight w:val="1710" w:hRule="atLeast"/>
        </w:trPr>
        <w:tc>
          <w:tcPr>
            <w:tcW w:w="1037" w:type="dxa"/>
            <w:vMerge w:val="restart"/>
            <w:tcBorders>
              <w:top w:val="single" w:color="auto" w:sz="4" w:space="0"/>
              <w:left w:val="single" w:color="auto" w:sz="4" w:space="0"/>
              <w:bottom w:val="single" w:color="auto" w:sz="4" w:space="0"/>
              <w:right w:val="single" w:color="auto" w:sz="4" w:space="0"/>
            </w:tcBorders>
            <w:noWrap/>
            <w:vAlign w:val="center"/>
          </w:tcPr>
          <w:p w14:paraId="64BAA639">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临时</w:t>
            </w:r>
          </w:p>
          <w:p w14:paraId="6787C414">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报告</w:t>
            </w:r>
          </w:p>
        </w:tc>
        <w:tc>
          <w:tcPr>
            <w:tcW w:w="2229" w:type="dxa"/>
            <w:tcBorders>
              <w:top w:val="nil"/>
              <w:left w:val="nil"/>
              <w:bottom w:val="nil"/>
              <w:right w:val="single" w:color="auto" w:sz="4" w:space="0"/>
            </w:tcBorders>
            <w:vAlign w:val="center"/>
          </w:tcPr>
          <w:p w14:paraId="5E7A1844">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重大关联交易事项</w:t>
            </w:r>
          </w:p>
        </w:tc>
        <w:tc>
          <w:tcPr>
            <w:tcW w:w="5528" w:type="dxa"/>
            <w:tcBorders>
              <w:top w:val="nil"/>
              <w:left w:val="nil"/>
              <w:bottom w:val="single" w:color="auto" w:sz="4" w:space="0"/>
              <w:right w:val="single" w:color="auto" w:sz="4" w:space="0"/>
            </w:tcBorders>
            <w:vAlign w:val="center"/>
          </w:tcPr>
          <w:p w14:paraId="0D01E337">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运用基金财产与其关联方进行的重大交易，如买卖基金管理人、基金托管人及其控股股东、实际控制人或者与其有重大利害关系的公司发行的证券或者承销期内承销的证券，或者从事其他重大关联交易事项，中国证监会规定的情形除外</w:t>
            </w:r>
          </w:p>
        </w:tc>
      </w:tr>
      <w:tr w14:paraId="067F16FA">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05784358">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vAlign w:val="center"/>
          </w:tcPr>
          <w:p w14:paraId="71BC38B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总资产超过净资产公告</w:t>
            </w:r>
          </w:p>
        </w:tc>
        <w:tc>
          <w:tcPr>
            <w:tcW w:w="5528" w:type="dxa"/>
            <w:tcBorders>
              <w:top w:val="nil"/>
              <w:left w:val="nil"/>
              <w:bottom w:val="single" w:color="auto" w:sz="4" w:space="0"/>
              <w:right w:val="single" w:color="auto" w:sz="4" w:space="0"/>
            </w:tcBorders>
            <w:vAlign w:val="center"/>
          </w:tcPr>
          <w:p w14:paraId="5CD8DC0F">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不动产项目公司对外借入款项或基金总资产被动超过基金净资产140%</w:t>
            </w:r>
          </w:p>
        </w:tc>
      </w:tr>
      <w:tr w14:paraId="63AEF131">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4A11B08">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4396F42C">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重大交易或损失</w:t>
            </w:r>
          </w:p>
        </w:tc>
        <w:tc>
          <w:tcPr>
            <w:tcW w:w="5528" w:type="dxa"/>
            <w:tcBorders>
              <w:top w:val="nil"/>
              <w:left w:val="nil"/>
              <w:bottom w:val="single" w:color="auto" w:sz="4" w:space="0"/>
              <w:right w:val="single" w:color="auto" w:sz="4" w:space="0"/>
            </w:tcBorders>
            <w:vAlign w:val="center"/>
          </w:tcPr>
          <w:p w14:paraId="112215E7">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金额占基金净资产10%及以上的交易或损失</w:t>
            </w:r>
          </w:p>
        </w:tc>
      </w:tr>
      <w:tr w14:paraId="72C16040">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4967E06F">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3119D0E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项目购入或出售</w:t>
            </w:r>
          </w:p>
        </w:tc>
        <w:tc>
          <w:tcPr>
            <w:tcW w:w="5528" w:type="dxa"/>
            <w:tcBorders>
              <w:top w:val="nil"/>
              <w:left w:val="nil"/>
              <w:bottom w:val="single" w:color="auto" w:sz="4" w:space="0"/>
              <w:right w:val="single" w:color="auto" w:sz="4" w:space="0"/>
            </w:tcBorders>
            <w:vAlign w:val="center"/>
          </w:tcPr>
          <w:p w14:paraId="4670DC54">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不动产项目购入或出售</w:t>
            </w:r>
          </w:p>
        </w:tc>
      </w:tr>
      <w:tr w14:paraId="1274C4D5">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7F965A00">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4607C1CA">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扩募</w:t>
            </w:r>
          </w:p>
        </w:tc>
        <w:tc>
          <w:tcPr>
            <w:tcW w:w="5528" w:type="dxa"/>
            <w:tcBorders>
              <w:top w:val="nil"/>
              <w:left w:val="nil"/>
              <w:bottom w:val="single" w:color="auto" w:sz="4" w:space="0"/>
              <w:right w:val="single" w:color="auto" w:sz="4" w:space="0"/>
            </w:tcBorders>
            <w:vAlign w:val="center"/>
          </w:tcPr>
          <w:p w14:paraId="32A22BB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不动产基金扩募，相关提示性公告（可选）</w:t>
            </w:r>
          </w:p>
        </w:tc>
      </w:tr>
      <w:tr w14:paraId="11A4125C">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24AFEAAF">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0BCB041C">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运营情况及现金流重大变化</w:t>
            </w:r>
          </w:p>
        </w:tc>
        <w:tc>
          <w:tcPr>
            <w:tcW w:w="5528" w:type="dxa"/>
            <w:tcBorders>
              <w:top w:val="nil"/>
              <w:left w:val="nil"/>
              <w:bottom w:val="single" w:color="auto" w:sz="4" w:space="0"/>
              <w:right w:val="single" w:color="auto" w:sz="4" w:space="0"/>
            </w:tcBorders>
            <w:vAlign w:val="center"/>
          </w:tcPr>
          <w:p w14:paraId="0669530F">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不动产项目运营情况、现金流或产生现金流能力发生重大变化的情况</w:t>
            </w:r>
          </w:p>
        </w:tc>
      </w:tr>
      <w:tr w14:paraId="5C66DBEB">
        <w:tblPrEx>
          <w:tblCellMar>
            <w:top w:w="0" w:type="dxa"/>
            <w:left w:w="108" w:type="dxa"/>
            <w:bottom w:w="0" w:type="dxa"/>
            <w:right w:w="108" w:type="dxa"/>
          </w:tblCellMar>
        </w:tblPrEx>
        <w:trPr>
          <w:trHeight w:val="114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E6117D4">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4DDC1A0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管理人或主要负责人员变动</w:t>
            </w:r>
          </w:p>
        </w:tc>
        <w:tc>
          <w:tcPr>
            <w:tcW w:w="5528" w:type="dxa"/>
            <w:tcBorders>
              <w:top w:val="nil"/>
              <w:left w:val="nil"/>
              <w:bottom w:val="single" w:color="auto" w:sz="4" w:space="0"/>
              <w:right w:val="single" w:color="auto" w:sz="4" w:space="0"/>
            </w:tcBorders>
            <w:vAlign w:val="center"/>
          </w:tcPr>
          <w:p w14:paraId="0FDE40C1">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基金管理人、资产支持证券管理人发生重大变化或管理不动产基金的主要负责人员发生变动，更换、新增、减少基金经理或基金经理情况变更</w:t>
            </w:r>
          </w:p>
        </w:tc>
      </w:tr>
      <w:tr w14:paraId="15DD60F9">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710F9BDD">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nil"/>
              <w:right w:val="single" w:color="auto" w:sz="4" w:space="0"/>
            </w:tcBorders>
            <w:shd w:val="clear" w:color="000000" w:fill="FFFFFF"/>
            <w:vAlign w:val="center"/>
          </w:tcPr>
          <w:p w14:paraId="7EDB50C9">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基金更换相关专业机构</w:t>
            </w:r>
          </w:p>
        </w:tc>
        <w:tc>
          <w:tcPr>
            <w:tcW w:w="5528" w:type="dxa"/>
            <w:tcBorders>
              <w:top w:val="nil"/>
              <w:left w:val="nil"/>
              <w:bottom w:val="single" w:color="auto" w:sz="4" w:space="0"/>
              <w:right w:val="single" w:color="auto" w:sz="4" w:space="0"/>
            </w:tcBorders>
            <w:vAlign w:val="center"/>
          </w:tcPr>
          <w:p w14:paraId="3EB7379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更换或改聘基金托管人，更换评估机构、律师事务所、会计师事务所等专业机构</w:t>
            </w:r>
          </w:p>
        </w:tc>
      </w:tr>
      <w:tr w14:paraId="38BCA5AA">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8DDE940">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vAlign w:val="center"/>
          </w:tcPr>
          <w:p w14:paraId="244A3051">
            <w:pPr>
              <w:widowControl/>
              <w:spacing w:line="240" w:lineRule="auto"/>
              <w:ind w:firstLine="0" w:firstLineChars="0"/>
              <w:jc w:val="left"/>
              <w:rPr>
                <w:rFonts w:ascii="Times New Roman" w:hAnsi="Times New Roman"/>
                <w:kern w:val="0"/>
                <w:sz w:val="24"/>
                <w:szCs w:val="24"/>
              </w:rPr>
            </w:pPr>
            <w:r>
              <w:rPr>
                <w:rFonts w:hint="eastAsia" w:ascii="Times New Roman" w:hAnsi="Times New Roman"/>
                <w:kern w:val="0"/>
                <w:sz w:val="24"/>
                <w:szCs w:val="24"/>
              </w:rPr>
              <w:t>运营</w:t>
            </w:r>
            <w:r>
              <w:rPr>
                <w:rFonts w:ascii="Times New Roman" w:hAnsi="Times New Roman"/>
                <w:kern w:val="0"/>
                <w:sz w:val="24"/>
                <w:szCs w:val="24"/>
              </w:rPr>
              <w:t>管理机构变更</w:t>
            </w:r>
          </w:p>
        </w:tc>
        <w:tc>
          <w:tcPr>
            <w:tcW w:w="5528" w:type="dxa"/>
            <w:tcBorders>
              <w:top w:val="nil"/>
              <w:left w:val="nil"/>
              <w:bottom w:val="single" w:color="auto" w:sz="4" w:space="0"/>
              <w:right w:val="single" w:color="auto" w:sz="4" w:space="0"/>
            </w:tcBorders>
            <w:vAlign w:val="center"/>
          </w:tcPr>
          <w:p w14:paraId="4D2C54C3">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根据基金合同约定解聘或更换</w:t>
            </w:r>
            <w:r>
              <w:rPr>
                <w:rFonts w:hint="eastAsia" w:ascii="Times New Roman" w:hAnsi="Times New Roman"/>
                <w:kern w:val="0"/>
                <w:sz w:val="24"/>
                <w:szCs w:val="24"/>
              </w:rPr>
              <w:t>运营</w:t>
            </w:r>
            <w:r>
              <w:rPr>
                <w:rFonts w:ascii="Times New Roman" w:hAnsi="Times New Roman"/>
                <w:kern w:val="0"/>
                <w:sz w:val="24"/>
                <w:szCs w:val="24"/>
              </w:rPr>
              <w:t>管理机构</w:t>
            </w:r>
          </w:p>
        </w:tc>
      </w:tr>
      <w:tr w14:paraId="7D53968C">
        <w:tblPrEx>
          <w:tblCellMar>
            <w:top w:w="0" w:type="dxa"/>
            <w:left w:w="108" w:type="dxa"/>
            <w:bottom w:w="0" w:type="dxa"/>
            <w:right w:w="108" w:type="dxa"/>
          </w:tblCellMar>
        </w:tblPrEx>
        <w:trPr>
          <w:trHeight w:val="199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382C4905">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vAlign w:val="center"/>
          </w:tcPr>
          <w:p w14:paraId="15FA0BA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基金管理人等被调查处罚或涉诉</w:t>
            </w:r>
          </w:p>
        </w:tc>
        <w:tc>
          <w:tcPr>
            <w:tcW w:w="5528" w:type="dxa"/>
            <w:tcBorders>
              <w:top w:val="nil"/>
              <w:left w:val="nil"/>
              <w:bottom w:val="single" w:color="auto" w:sz="4" w:space="0"/>
              <w:right w:val="single" w:color="auto" w:sz="4" w:space="0"/>
            </w:tcBorders>
            <w:vAlign w:val="center"/>
          </w:tcPr>
          <w:p w14:paraId="349CC58E">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涉及基金财产、基金管理业务、基金托管业务的调查、诉讼或仲裁；基金管理人或其高级管理人员、基金经理因基金管理业务相关行为受到重大行政处罚、刑事处罚；基金托管人或其专门基金托管部门负责人因基金托管业务相关行为受到重大行政处罚、刑事处罚</w:t>
            </w:r>
          </w:p>
        </w:tc>
      </w:tr>
      <w:tr w14:paraId="1566B334">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0AC38162">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09473E4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原始权益人卖出战配份额</w:t>
            </w:r>
          </w:p>
        </w:tc>
        <w:tc>
          <w:tcPr>
            <w:tcW w:w="5528" w:type="dxa"/>
            <w:tcBorders>
              <w:top w:val="nil"/>
              <w:left w:val="nil"/>
              <w:bottom w:val="single" w:color="auto" w:sz="4" w:space="0"/>
              <w:right w:val="single" w:color="auto" w:sz="4" w:space="0"/>
            </w:tcBorders>
            <w:vAlign w:val="center"/>
          </w:tcPr>
          <w:p w14:paraId="0D2D140B">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原始权益人或其同一控制下的关联方卖出战略配售取得基金份额的公告，相关提示性公告</w:t>
            </w:r>
          </w:p>
        </w:tc>
      </w:tr>
      <w:tr w14:paraId="284A867E">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1FF59720">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shd w:val="clear" w:color="000000" w:fill="FFFFFF"/>
            <w:vAlign w:val="center"/>
          </w:tcPr>
          <w:p w14:paraId="2BB37A2C">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其他对持有人利益或资产净值重大影响事项</w:t>
            </w:r>
          </w:p>
        </w:tc>
        <w:tc>
          <w:tcPr>
            <w:tcW w:w="5528" w:type="dxa"/>
            <w:tcBorders>
              <w:top w:val="nil"/>
              <w:left w:val="nil"/>
              <w:bottom w:val="single" w:color="auto" w:sz="4" w:space="0"/>
              <w:right w:val="single" w:color="auto" w:sz="4" w:space="0"/>
            </w:tcBorders>
            <w:vAlign w:val="center"/>
          </w:tcPr>
          <w:p w14:paraId="1F62B1C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可能对不动产基金份额持有人利益或基金资产净值产生重大影响的其他事项</w:t>
            </w:r>
          </w:p>
        </w:tc>
      </w:tr>
      <w:tr w14:paraId="77BF36E4">
        <w:tblPrEx>
          <w:tblCellMar>
            <w:top w:w="0" w:type="dxa"/>
            <w:left w:w="108" w:type="dxa"/>
            <w:bottom w:w="0" w:type="dxa"/>
            <w:right w:w="108" w:type="dxa"/>
          </w:tblCellMar>
        </w:tblPrEx>
        <w:trPr>
          <w:trHeight w:val="114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4E1664E4">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vAlign w:val="center"/>
          </w:tcPr>
          <w:p w14:paraId="4C2965DB">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权益变动报告书</w:t>
            </w:r>
          </w:p>
        </w:tc>
        <w:tc>
          <w:tcPr>
            <w:tcW w:w="5528" w:type="dxa"/>
            <w:tcBorders>
              <w:top w:val="single" w:color="auto" w:sz="4" w:space="0"/>
              <w:left w:val="nil"/>
              <w:bottom w:val="single" w:color="auto" w:sz="4" w:space="0"/>
              <w:right w:val="single" w:color="auto" w:sz="4" w:space="0"/>
            </w:tcBorders>
            <w:vAlign w:val="center"/>
          </w:tcPr>
          <w:p w14:paraId="6B355307">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投资者及其一致行动人持有权益的不动产基金份额达到规定比例应当编制权益变动报告书，每增加或减少相应比例份额应当进行公告，相关权益变动提示性公告（可选）</w:t>
            </w:r>
          </w:p>
        </w:tc>
      </w:tr>
      <w:tr w14:paraId="1898562C">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7DA9B2B3">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vAlign w:val="center"/>
          </w:tcPr>
          <w:p w14:paraId="7239703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收购报告书</w:t>
            </w:r>
          </w:p>
        </w:tc>
        <w:tc>
          <w:tcPr>
            <w:tcW w:w="5528" w:type="dxa"/>
            <w:tcBorders>
              <w:top w:val="nil"/>
              <w:left w:val="nil"/>
              <w:bottom w:val="single" w:color="auto" w:sz="4" w:space="0"/>
              <w:right w:val="single" w:color="auto" w:sz="4" w:space="0"/>
            </w:tcBorders>
            <w:vAlign w:val="center"/>
          </w:tcPr>
          <w:p w14:paraId="2091E8AF">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收购人通过要约等方式收购不动产基金编制的报告书</w:t>
            </w:r>
          </w:p>
        </w:tc>
      </w:tr>
      <w:tr w14:paraId="43C3B268">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272E8C3C">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vAlign w:val="center"/>
          </w:tcPr>
          <w:p w14:paraId="3FC6A0C1">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被收购基金的管理报告书</w:t>
            </w:r>
          </w:p>
        </w:tc>
        <w:tc>
          <w:tcPr>
            <w:tcW w:w="5528" w:type="dxa"/>
            <w:tcBorders>
              <w:top w:val="nil"/>
              <w:left w:val="nil"/>
              <w:bottom w:val="single" w:color="auto" w:sz="4" w:space="0"/>
              <w:right w:val="single" w:color="auto" w:sz="4" w:space="0"/>
            </w:tcBorders>
            <w:vAlign w:val="center"/>
          </w:tcPr>
          <w:p w14:paraId="4211E67A">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被收购不动产基金的管理人编制的报告书</w:t>
            </w:r>
          </w:p>
        </w:tc>
      </w:tr>
      <w:tr w14:paraId="6770DC3D">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45A022B0">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2B5F8AC9">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澄清公告</w:t>
            </w:r>
          </w:p>
        </w:tc>
        <w:tc>
          <w:tcPr>
            <w:tcW w:w="5528" w:type="dxa"/>
            <w:tcBorders>
              <w:top w:val="nil"/>
              <w:left w:val="nil"/>
              <w:bottom w:val="single" w:color="auto" w:sz="4" w:space="0"/>
              <w:right w:val="single" w:color="auto" w:sz="4" w:space="0"/>
            </w:tcBorders>
            <w:noWrap/>
            <w:vAlign w:val="center"/>
          </w:tcPr>
          <w:p w14:paraId="0B5C1A7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澄清或说明公告</w:t>
            </w:r>
          </w:p>
        </w:tc>
      </w:tr>
      <w:tr w14:paraId="38E5F404">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FBDFE27">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66CC10E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更正公告</w:t>
            </w:r>
          </w:p>
        </w:tc>
        <w:tc>
          <w:tcPr>
            <w:tcW w:w="5528" w:type="dxa"/>
            <w:tcBorders>
              <w:top w:val="nil"/>
              <w:left w:val="nil"/>
              <w:bottom w:val="single" w:color="auto" w:sz="4" w:space="0"/>
              <w:right w:val="single" w:color="auto" w:sz="4" w:space="0"/>
            </w:tcBorders>
            <w:noWrap/>
            <w:vAlign w:val="center"/>
          </w:tcPr>
          <w:p w14:paraId="3DB08B8A">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错误更正公告</w:t>
            </w:r>
          </w:p>
        </w:tc>
      </w:tr>
      <w:tr w14:paraId="479956B4">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8CF10D9">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6AC6350A">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做市商变更</w:t>
            </w:r>
          </w:p>
        </w:tc>
        <w:tc>
          <w:tcPr>
            <w:tcW w:w="5528" w:type="dxa"/>
            <w:tcBorders>
              <w:top w:val="nil"/>
              <w:left w:val="nil"/>
              <w:bottom w:val="single" w:color="auto" w:sz="4" w:space="0"/>
              <w:right w:val="single" w:color="auto" w:sz="4" w:space="0"/>
            </w:tcBorders>
            <w:noWrap/>
            <w:vAlign w:val="center"/>
          </w:tcPr>
          <w:p w14:paraId="50EDA32A">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做市商新增/终止公告（可选）</w:t>
            </w:r>
          </w:p>
        </w:tc>
      </w:tr>
      <w:tr w14:paraId="52F9FB8A">
        <w:tblPrEx>
          <w:tblCellMar>
            <w:top w:w="0" w:type="dxa"/>
            <w:left w:w="108" w:type="dxa"/>
            <w:bottom w:w="0" w:type="dxa"/>
            <w:right w:w="108" w:type="dxa"/>
          </w:tblCellMar>
        </w:tblPrEx>
        <w:trPr>
          <w:trHeight w:val="114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0A00610">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vAlign w:val="center"/>
          </w:tcPr>
          <w:p w14:paraId="7615895F">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修订基金合同或协议公告及文件</w:t>
            </w:r>
          </w:p>
        </w:tc>
        <w:tc>
          <w:tcPr>
            <w:tcW w:w="5528" w:type="dxa"/>
            <w:tcBorders>
              <w:top w:val="nil"/>
              <w:left w:val="nil"/>
              <w:bottom w:val="single" w:color="auto" w:sz="4" w:space="0"/>
              <w:right w:val="single" w:color="auto" w:sz="4" w:space="0"/>
            </w:tcBorders>
            <w:vAlign w:val="center"/>
          </w:tcPr>
          <w:p w14:paraId="3344017E">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修改基金合同公告，合同期限变更公告；修改托管协议；</w:t>
            </w:r>
            <w:r>
              <w:rPr>
                <w:rFonts w:ascii="Times New Roman" w:hAnsi="Times New Roman"/>
                <w:bCs/>
                <w:kern w:val="0"/>
                <w:sz w:val="24"/>
                <w:szCs w:val="24"/>
              </w:rPr>
              <w:t>管理费、托管费等费用计提标准、计提方式和费率变更相关事项的公告</w:t>
            </w:r>
            <w:r>
              <w:rPr>
                <w:rFonts w:ascii="Times New Roman" w:hAnsi="Times New Roman"/>
                <w:kern w:val="0"/>
                <w:sz w:val="24"/>
                <w:szCs w:val="24"/>
              </w:rPr>
              <w:t>；其他导致基金合同、协议修订的事项</w:t>
            </w:r>
          </w:p>
        </w:tc>
      </w:tr>
      <w:tr w14:paraId="0CC326B5">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B33C2E2">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vAlign w:val="center"/>
          </w:tcPr>
          <w:p w14:paraId="6BC84B9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更新招募说明书或产品资料概要公告及文件</w:t>
            </w:r>
          </w:p>
        </w:tc>
        <w:tc>
          <w:tcPr>
            <w:tcW w:w="5528" w:type="dxa"/>
            <w:tcBorders>
              <w:top w:val="nil"/>
              <w:left w:val="nil"/>
              <w:bottom w:val="single" w:color="auto" w:sz="4" w:space="0"/>
              <w:right w:val="single" w:color="auto" w:sz="4" w:space="0"/>
            </w:tcBorders>
            <w:vAlign w:val="center"/>
          </w:tcPr>
          <w:p w14:paraId="7E07CFF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修改、更新招募说明书、产品资料概要公告；其他导致招募、产品资料概要修订的事项</w:t>
            </w:r>
          </w:p>
        </w:tc>
      </w:tr>
      <w:tr w14:paraId="4A2DBDCF">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35B0A2BB">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545FA385">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基金估值方法调整</w:t>
            </w:r>
          </w:p>
        </w:tc>
        <w:tc>
          <w:tcPr>
            <w:tcW w:w="5528" w:type="dxa"/>
            <w:tcBorders>
              <w:top w:val="nil"/>
              <w:left w:val="nil"/>
              <w:bottom w:val="single" w:color="auto" w:sz="4" w:space="0"/>
              <w:right w:val="single" w:color="auto" w:sz="4" w:space="0"/>
            </w:tcBorders>
            <w:noWrap/>
            <w:vAlign w:val="center"/>
          </w:tcPr>
          <w:p w14:paraId="7410F90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基金估值方法变更</w:t>
            </w:r>
          </w:p>
        </w:tc>
      </w:tr>
      <w:tr w14:paraId="30E81EB6">
        <w:tblPrEx>
          <w:tblCellMar>
            <w:top w:w="0" w:type="dxa"/>
            <w:left w:w="108" w:type="dxa"/>
            <w:bottom w:w="0" w:type="dxa"/>
            <w:right w:w="108" w:type="dxa"/>
          </w:tblCellMar>
        </w:tblPrEx>
        <w:trPr>
          <w:trHeight w:val="85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7D7803F">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nil"/>
              <w:right w:val="single" w:color="auto" w:sz="4" w:space="0"/>
            </w:tcBorders>
            <w:vAlign w:val="center"/>
          </w:tcPr>
          <w:p w14:paraId="015FC6C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提示性公告</w:t>
            </w:r>
          </w:p>
        </w:tc>
        <w:tc>
          <w:tcPr>
            <w:tcW w:w="5528" w:type="dxa"/>
            <w:tcBorders>
              <w:top w:val="nil"/>
              <w:left w:val="nil"/>
              <w:bottom w:val="nil"/>
              <w:right w:val="single" w:color="auto" w:sz="4" w:space="0"/>
            </w:tcBorders>
            <w:vAlign w:val="center"/>
          </w:tcPr>
          <w:p w14:paraId="5258BA1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场内</w:t>
            </w:r>
            <w:r>
              <w:rPr>
                <w:rFonts w:ascii="Times New Roman" w:hAnsi="Times New Roman"/>
                <w:bCs/>
                <w:kern w:val="0"/>
                <w:sz w:val="24"/>
                <w:szCs w:val="24"/>
              </w:rPr>
              <w:t>交易价格波动</w:t>
            </w:r>
            <w:r>
              <w:rPr>
                <w:rFonts w:ascii="Times New Roman" w:hAnsi="Times New Roman"/>
                <w:kern w:val="0"/>
                <w:sz w:val="24"/>
                <w:szCs w:val="24"/>
              </w:rPr>
              <w:t>/巨额赎回等风险提示公告；基金募集/申赎/扩募/代销等其他提示性公告；</w:t>
            </w:r>
            <w:r>
              <w:rPr>
                <w:rFonts w:ascii="Times New Roman" w:hAnsi="Times New Roman"/>
                <w:bCs/>
                <w:kern w:val="0"/>
                <w:sz w:val="24"/>
                <w:szCs w:val="24"/>
              </w:rPr>
              <w:t>基金份额解除限售提示性公告</w:t>
            </w:r>
          </w:p>
        </w:tc>
      </w:tr>
      <w:tr w14:paraId="2AD71B40">
        <w:tblPrEx>
          <w:tblCellMar>
            <w:top w:w="0" w:type="dxa"/>
            <w:left w:w="108" w:type="dxa"/>
            <w:bottom w:w="0" w:type="dxa"/>
            <w:right w:w="108" w:type="dxa"/>
          </w:tblCellMar>
        </w:tblPrEx>
        <w:trPr>
          <w:trHeight w:val="85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3EEF1F3">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vAlign w:val="center"/>
          </w:tcPr>
          <w:p w14:paraId="10C4DC3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营销活动</w:t>
            </w:r>
          </w:p>
        </w:tc>
        <w:tc>
          <w:tcPr>
            <w:tcW w:w="5528" w:type="dxa"/>
            <w:tcBorders>
              <w:top w:val="single" w:color="auto" w:sz="4" w:space="0"/>
              <w:left w:val="nil"/>
              <w:bottom w:val="single" w:color="auto" w:sz="4" w:space="0"/>
              <w:right w:val="single" w:color="auto" w:sz="4" w:space="0"/>
            </w:tcBorders>
            <w:vAlign w:val="center"/>
          </w:tcPr>
          <w:p w14:paraId="6B40AA6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申购、赎回费率及收费方式变更相关事项的公告；基金营销活动有关事项，新增、变更基金销售机构</w:t>
            </w:r>
          </w:p>
        </w:tc>
      </w:tr>
      <w:tr w14:paraId="3F4E6701">
        <w:tblPrEx>
          <w:tblCellMar>
            <w:top w:w="0" w:type="dxa"/>
            <w:left w:w="108" w:type="dxa"/>
            <w:bottom w:w="0" w:type="dxa"/>
            <w:right w:w="108" w:type="dxa"/>
          </w:tblCellMar>
        </w:tblPrEx>
        <w:trPr>
          <w:trHeight w:val="285" w:hRule="atLeast"/>
        </w:trPr>
        <w:tc>
          <w:tcPr>
            <w:tcW w:w="1037" w:type="dxa"/>
            <w:vMerge w:val="restart"/>
            <w:tcBorders>
              <w:top w:val="single" w:color="auto" w:sz="4" w:space="0"/>
              <w:left w:val="single" w:color="auto" w:sz="4" w:space="0"/>
              <w:bottom w:val="single" w:color="auto" w:sz="4" w:space="0"/>
              <w:right w:val="single" w:color="auto" w:sz="4" w:space="0"/>
            </w:tcBorders>
            <w:noWrap/>
            <w:vAlign w:val="center"/>
          </w:tcPr>
          <w:p w14:paraId="193D1F46">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基金</w:t>
            </w:r>
          </w:p>
          <w:p w14:paraId="58E57CAC">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运作</w:t>
            </w:r>
          </w:p>
        </w:tc>
        <w:tc>
          <w:tcPr>
            <w:tcW w:w="2229" w:type="dxa"/>
            <w:tcBorders>
              <w:top w:val="nil"/>
              <w:left w:val="single" w:color="auto" w:sz="4" w:space="0"/>
              <w:bottom w:val="single" w:color="auto" w:sz="4" w:space="0"/>
              <w:right w:val="single" w:color="auto" w:sz="4" w:space="0"/>
            </w:tcBorders>
            <w:noWrap/>
            <w:vAlign w:val="center"/>
          </w:tcPr>
          <w:p w14:paraId="76ECADD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基金名称、简称变更</w:t>
            </w:r>
          </w:p>
        </w:tc>
        <w:tc>
          <w:tcPr>
            <w:tcW w:w="5528" w:type="dxa"/>
            <w:tcBorders>
              <w:top w:val="nil"/>
              <w:left w:val="nil"/>
              <w:bottom w:val="single" w:color="auto" w:sz="4" w:space="0"/>
              <w:right w:val="single" w:color="auto" w:sz="4" w:space="0"/>
            </w:tcBorders>
            <w:noWrap/>
            <w:vAlign w:val="center"/>
          </w:tcPr>
          <w:p w14:paraId="70D53B3C">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基金名称、简称变更公告</w:t>
            </w:r>
          </w:p>
        </w:tc>
      </w:tr>
      <w:tr w14:paraId="6E3F4E61">
        <w:tblPrEx>
          <w:tblCellMar>
            <w:top w:w="0" w:type="dxa"/>
            <w:left w:w="108" w:type="dxa"/>
            <w:bottom w:w="0" w:type="dxa"/>
            <w:right w:w="108" w:type="dxa"/>
          </w:tblCellMar>
        </w:tblPrEx>
        <w:trPr>
          <w:trHeight w:val="570"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3DD27518">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4DE2EA7E">
            <w:pPr>
              <w:widowControl/>
              <w:spacing w:line="240" w:lineRule="auto"/>
              <w:ind w:firstLine="0" w:firstLineChars="0"/>
              <w:jc w:val="left"/>
              <w:rPr>
                <w:rFonts w:ascii="Times New Roman" w:hAnsi="Times New Roman"/>
                <w:bCs/>
                <w:kern w:val="0"/>
                <w:sz w:val="24"/>
                <w:szCs w:val="24"/>
              </w:rPr>
            </w:pPr>
            <w:r>
              <w:rPr>
                <w:rFonts w:ascii="Times New Roman" w:hAnsi="Times New Roman"/>
                <w:bCs/>
                <w:kern w:val="0"/>
                <w:sz w:val="24"/>
                <w:szCs w:val="24"/>
              </w:rPr>
              <w:t>跨系统转托管</w:t>
            </w:r>
          </w:p>
        </w:tc>
        <w:tc>
          <w:tcPr>
            <w:tcW w:w="5528" w:type="dxa"/>
            <w:tcBorders>
              <w:top w:val="nil"/>
              <w:left w:val="nil"/>
              <w:bottom w:val="single" w:color="auto" w:sz="4" w:space="0"/>
              <w:right w:val="single" w:color="auto" w:sz="4" w:space="0"/>
            </w:tcBorders>
            <w:vAlign w:val="center"/>
          </w:tcPr>
          <w:p w14:paraId="154AB646">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基金开通跨系统转托管以及暂停跨系统转托管的公告</w:t>
            </w:r>
          </w:p>
        </w:tc>
      </w:tr>
      <w:tr w14:paraId="6BA39869">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0DAECCDD">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05F5E3E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收益分配</w:t>
            </w:r>
          </w:p>
        </w:tc>
        <w:tc>
          <w:tcPr>
            <w:tcW w:w="5528" w:type="dxa"/>
            <w:tcBorders>
              <w:top w:val="nil"/>
              <w:left w:val="nil"/>
              <w:bottom w:val="single" w:color="auto" w:sz="4" w:space="0"/>
              <w:right w:val="single" w:color="auto" w:sz="4" w:space="0"/>
            </w:tcBorders>
            <w:vAlign w:val="center"/>
          </w:tcPr>
          <w:p w14:paraId="4533B49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基金收益分配公告</w:t>
            </w:r>
          </w:p>
        </w:tc>
      </w:tr>
      <w:tr w14:paraId="05A47BC6">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7E1ADDA4">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67B5D33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停复牌</w:t>
            </w:r>
          </w:p>
        </w:tc>
        <w:tc>
          <w:tcPr>
            <w:tcW w:w="5528" w:type="dxa"/>
            <w:tcBorders>
              <w:top w:val="nil"/>
              <w:left w:val="nil"/>
              <w:bottom w:val="single" w:color="auto" w:sz="4" w:space="0"/>
              <w:right w:val="single" w:color="auto" w:sz="4" w:space="0"/>
            </w:tcBorders>
            <w:noWrap/>
            <w:vAlign w:val="center"/>
          </w:tcPr>
          <w:p w14:paraId="4573C6F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停复牌事项公告</w:t>
            </w:r>
          </w:p>
        </w:tc>
      </w:tr>
      <w:tr w14:paraId="61E646E9">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122D1B72">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6782A6F3">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基金合同终止</w:t>
            </w:r>
          </w:p>
        </w:tc>
        <w:tc>
          <w:tcPr>
            <w:tcW w:w="5528" w:type="dxa"/>
            <w:tcBorders>
              <w:top w:val="nil"/>
              <w:left w:val="nil"/>
              <w:bottom w:val="single" w:color="auto" w:sz="4" w:space="0"/>
              <w:right w:val="single" w:color="auto" w:sz="4" w:space="0"/>
            </w:tcBorders>
            <w:noWrap/>
            <w:vAlign w:val="center"/>
          </w:tcPr>
          <w:p w14:paraId="1A4B9D8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基金合同终止相关事项公告</w:t>
            </w:r>
          </w:p>
        </w:tc>
      </w:tr>
      <w:tr w14:paraId="1FBBFC8F">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A3B4BCF">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2FD82502">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基金终止上市</w:t>
            </w:r>
          </w:p>
        </w:tc>
        <w:tc>
          <w:tcPr>
            <w:tcW w:w="5528" w:type="dxa"/>
            <w:tcBorders>
              <w:top w:val="nil"/>
              <w:left w:val="nil"/>
              <w:bottom w:val="single" w:color="auto" w:sz="4" w:space="0"/>
              <w:right w:val="single" w:color="auto" w:sz="4" w:space="0"/>
            </w:tcBorders>
            <w:noWrap/>
            <w:vAlign w:val="center"/>
          </w:tcPr>
          <w:p w14:paraId="12108B4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基金终止上市公告及提示性公告</w:t>
            </w:r>
          </w:p>
        </w:tc>
      </w:tr>
      <w:tr w14:paraId="3A11E596">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09D4C4A8">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4289182E">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基金清算</w:t>
            </w:r>
          </w:p>
        </w:tc>
        <w:tc>
          <w:tcPr>
            <w:tcW w:w="5528" w:type="dxa"/>
            <w:tcBorders>
              <w:top w:val="nil"/>
              <w:left w:val="nil"/>
              <w:bottom w:val="single" w:color="auto" w:sz="4" w:space="0"/>
              <w:right w:val="single" w:color="auto" w:sz="4" w:space="0"/>
            </w:tcBorders>
            <w:noWrap/>
            <w:vAlign w:val="center"/>
          </w:tcPr>
          <w:p w14:paraId="20716A9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基金清算相关事项公告，相关提示性公告（可选）</w:t>
            </w:r>
          </w:p>
        </w:tc>
      </w:tr>
      <w:tr w14:paraId="5A627082">
        <w:tblPrEx>
          <w:tblCellMar>
            <w:top w:w="0" w:type="dxa"/>
            <w:left w:w="108" w:type="dxa"/>
            <w:bottom w:w="0" w:type="dxa"/>
            <w:right w:w="108" w:type="dxa"/>
          </w:tblCellMar>
        </w:tblPrEx>
        <w:trPr>
          <w:trHeight w:val="85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5BA18C13">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single" w:color="auto" w:sz="4" w:space="0"/>
              <w:bottom w:val="single" w:color="auto" w:sz="4" w:space="0"/>
              <w:right w:val="single" w:color="auto" w:sz="4" w:space="0"/>
            </w:tcBorders>
            <w:noWrap/>
            <w:vAlign w:val="center"/>
          </w:tcPr>
          <w:p w14:paraId="5F8793E9">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持有人大会</w:t>
            </w:r>
          </w:p>
        </w:tc>
        <w:tc>
          <w:tcPr>
            <w:tcW w:w="5528" w:type="dxa"/>
            <w:tcBorders>
              <w:top w:val="nil"/>
              <w:left w:val="nil"/>
              <w:bottom w:val="single" w:color="auto" w:sz="4" w:space="0"/>
              <w:right w:val="single" w:color="auto" w:sz="4" w:space="0"/>
            </w:tcBorders>
            <w:vAlign w:val="center"/>
          </w:tcPr>
          <w:p w14:paraId="6F4237C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基金持有人大会公告（审议事项）、基金持有人大会提示性公告、基金持有人大会停牌提示性公告、基金持有人大会决议</w:t>
            </w:r>
          </w:p>
        </w:tc>
      </w:tr>
      <w:tr w14:paraId="67F0C3F0">
        <w:tblPrEx>
          <w:tblCellMar>
            <w:top w:w="0" w:type="dxa"/>
            <w:left w:w="108" w:type="dxa"/>
            <w:bottom w:w="0" w:type="dxa"/>
            <w:right w:w="108" w:type="dxa"/>
          </w:tblCellMar>
        </w:tblPrEx>
        <w:trPr>
          <w:trHeight w:val="1943" w:hRule="atLeast"/>
        </w:trPr>
        <w:tc>
          <w:tcPr>
            <w:tcW w:w="1037" w:type="dxa"/>
            <w:vMerge w:val="restart"/>
            <w:tcBorders>
              <w:top w:val="single" w:color="auto" w:sz="4" w:space="0"/>
              <w:left w:val="single" w:color="auto" w:sz="4" w:space="0"/>
              <w:bottom w:val="single" w:color="auto" w:sz="4" w:space="0"/>
              <w:right w:val="single" w:color="auto" w:sz="4" w:space="0"/>
            </w:tcBorders>
            <w:vAlign w:val="center"/>
          </w:tcPr>
          <w:p w14:paraId="0D831375">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基金管理人公告</w:t>
            </w:r>
          </w:p>
        </w:tc>
        <w:tc>
          <w:tcPr>
            <w:tcW w:w="2229" w:type="dxa"/>
            <w:tcBorders>
              <w:top w:val="single" w:color="auto" w:sz="4" w:space="0"/>
              <w:left w:val="nil"/>
              <w:bottom w:val="single" w:color="auto" w:sz="4" w:space="0"/>
              <w:right w:val="single" w:color="auto" w:sz="4" w:space="0"/>
            </w:tcBorders>
            <w:vAlign w:val="center"/>
          </w:tcPr>
          <w:p w14:paraId="788E1604">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基金管理人情况发生变更</w:t>
            </w:r>
          </w:p>
        </w:tc>
        <w:tc>
          <w:tcPr>
            <w:tcW w:w="5528" w:type="dxa"/>
            <w:tcBorders>
              <w:top w:val="single" w:color="auto" w:sz="4" w:space="0"/>
              <w:left w:val="nil"/>
              <w:bottom w:val="single" w:color="auto" w:sz="4" w:space="0"/>
              <w:right w:val="single" w:color="auto" w:sz="4" w:space="0"/>
            </w:tcBorders>
            <w:vAlign w:val="center"/>
          </w:tcPr>
          <w:p w14:paraId="7DEF7F3A">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名称、住所发生变更，高级管理人员离任、变更、兼职，设立分公司或分公司成立，董事会及主要业务人员大比例变更，公司地址及电话号码变更，督察长变更等，基金管理人股东及出资情况变更、更换基金管理人等</w:t>
            </w:r>
          </w:p>
        </w:tc>
      </w:tr>
      <w:tr w14:paraId="7B6EAF9B">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1A99AF5F">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vAlign w:val="center"/>
          </w:tcPr>
          <w:p w14:paraId="14E9998B">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基金管理人投资有关事项</w:t>
            </w:r>
          </w:p>
        </w:tc>
        <w:tc>
          <w:tcPr>
            <w:tcW w:w="5528" w:type="dxa"/>
            <w:tcBorders>
              <w:top w:val="single" w:color="auto" w:sz="4" w:space="0"/>
              <w:left w:val="nil"/>
              <w:bottom w:val="single" w:color="auto" w:sz="4" w:space="0"/>
              <w:right w:val="single" w:color="auto" w:sz="4" w:space="0"/>
            </w:tcBorders>
            <w:vAlign w:val="center"/>
          </w:tcPr>
          <w:p w14:paraId="60B42EA7">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基金管理人投资有关的事项</w:t>
            </w:r>
          </w:p>
        </w:tc>
      </w:tr>
      <w:tr w14:paraId="402BBB56">
        <w:tblPrEx>
          <w:tblCellMar>
            <w:top w:w="0" w:type="dxa"/>
            <w:left w:w="108" w:type="dxa"/>
            <w:bottom w:w="0" w:type="dxa"/>
            <w:right w:w="108" w:type="dxa"/>
          </w:tblCellMar>
        </w:tblPrEx>
        <w:trPr>
          <w:trHeight w:val="85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053BF93">
            <w:pPr>
              <w:widowControl/>
              <w:spacing w:line="240" w:lineRule="auto"/>
              <w:ind w:firstLine="0" w:firstLineChars="0"/>
              <w:jc w:val="center"/>
              <w:rPr>
                <w:rFonts w:ascii="Times New Roman" w:hAnsi="Times New Roman"/>
                <w:b/>
                <w:bCs/>
                <w:kern w:val="0"/>
                <w:sz w:val="24"/>
                <w:szCs w:val="24"/>
              </w:rPr>
            </w:pPr>
          </w:p>
        </w:tc>
        <w:tc>
          <w:tcPr>
            <w:tcW w:w="2229" w:type="dxa"/>
            <w:tcBorders>
              <w:top w:val="single" w:color="auto" w:sz="4" w:space="0"/>
              <w:left w:val="nil"/>
              <w:bottom w:val="single" w:color="auto" w:sz="4" w:space="0"/>
              <w:right w:val="single" w:color="auto" w:sz="4" w:space="0"/>
            </w:tcBorders>
            <w:noWrap/>
            <w:vAlign w:val="center"/>
          </w:tcPr>
          <w:p w14:paraId="07E94465">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投资者服务</w:t>
            </w:r>
          </w:p>
        </w:tc>
        <w:tc>
          <w:tcPr>
            <w:tcW w:w="5528" w:type="dxa"/>
            <w:tcBorders>
              <w:top w:val="single" w:color="auto" w:sz="4" w:space="0"/>
              <w:left w:val="nil"/>
              <w:bottom w:val="single" w:color="auto" w:sz="4" w:space="0"/>
              <w:right w:val="single" w:color="auto" w:sz="4" w:space="0"/>
            </w:tcBorders>
            <w:vAlign w:val="center"/>
          </w:tcPr>
          <w:p w14:paraId="1AF18FF0">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投资者身份证明相关事项，网站、网上交易及客服系统相关事项，对账单服务，提醒投资者事项等</w:t>
            </w:r>
          </w:p>
        </w:tc>
      </w:tr>
      <w:tr w14:paraId="4B6C929C">
        <w:tblPrEx>
          <w:tblCellMar>
            <w:top w:w="0" w:type="dxa"/>
            <w:left w:w="108" w:type="dxa"/>
            <w:bottom w:w="0" w:type="dxa"/>
            <w:right w:w="108" w:type="dxa"/>
          </w:tblCellMar>
        </w:tblPrEx>
        <w:trPr>
          <w:trHeight w:val="285" w:hRule="atLeast"/>
        </w:trPr>
        <w:tc>
          <w:tcPr>
            <w:tcW w:w="1037" w:type="dxa"/>
            <w:vMerge w:val="continue"/>
            <w:tcBorders>
              <w:top w:val="single" w:color="auto" w:sz="4" w:space="0"/>
              <w:left w:val="single" w:color="auto" w:sz="4" w:space="0"/>
              <w:bottom w:val="single" w:color="auto" w:sz="4" w:space="0"/>
              <w:right w:val="single" w:color="auto" w:sz="4" w:space="0"/>
            </w:tcBorders>
            <w:vAlign w:val="center"/>
          </w:tcPr>
          <w:p w14:paraId="68BEA137">
            <w:pPr>
              <w:widowControl/>
              <w:spacing w:line="240" w:lineRule="auto"/>
              <w:ind w:firstLine="0" w:firstLineChars="0"/>
              <w:jc w:val="center"/>
              <w:rPr>
                <w:rFonts w:ascii="Times New Roman" w:hAnsi="Times New Roman"/>
                <w:b/>
                <w:bCs/>
                <w:kern w:val="0"/>
                <w:sz w:val="24"/>
                <w:szCs w:val="24"/>
              </w:rPr>
            </w:pPr>
          </w:p>
        </w:tc>
        <w:tc>
          <w:tcPr>
            <w:tcW w:w="2229" w:type="dxa"/>
            <w:tcBorders>
              <w:top w:val="nil"/>
              <w:left w:val="nil"/>
              <w:bottom w:val="single" w:color="auto" w:sz="4" w:space="0"/>
              <w:right w:val="single" w:color="auto" w:sz="4" w:space="0"/>
            </w:tcBorders>
            <w:noWrap/>
            <w:vAlign w:val="center"/>
          </w:tcPr>
          <w:p w14:paraId="743BA60D">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基金管理人其它公告</w:t>
            </w:r>
          </w:p>
        </w:tc>
        <w:tc>
          <w:tcPr>
            <w:tcW w:w="5528" w:type="dxa"/>
            <w:tcBorders>
              <w:top w:val="nil"/>
              <w:left w:val="nil"/>
              <w:bottom w:val="single" w:color="auto" w:sz="4" w:space="0"/>
              <w:right w:val="single" w:color="auto" w:sz="4" w:space="0"/>
            </w:tcBorders>
            <w:vAlign w:val="center"/>
          </w:tcPr>
          <w:p w14:paraId="2F5E303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基金管理人自身非重大事项的公告</w:t>
            </w:r>
          </w:p>
        </w:tc>
      </w:tr>
      <w:tr w14:paraId="40D58CF2">
        <w:tblPrEx>
          <w:tblCellMar>
            <w:top w:w="0" w:type="dxa"/>
            <w:left w:w="108" w:type="dxa"/>
            <w:bottom w:w="0" w:type="dxa"/>
            <w:right w:w="108" w:type="dxa"/>
          </w:tblCellMar>
        </w:tblPrEx>
        <w:trPr>
          <w:trHeight w:val="285" w:hRule="atLeast"/>
        </w:trPr>
        <w:tc>
          <w:tcPr>
            <w:tcW w:w="1037" w:type="dxa"/>
            <w:tcBorders>
              <w:top w:val="nil"/>
              <w:left w:val="single" w:color="auto" w:sz="4" w:space="0"/>
              <w:bottom w:val="single" w:color="auto" w:sz="4" w:space="0"/>
              <w:right w:val="single" w:color="auto" w:sz="4" w:space="0"/>
            </w:tcBorders>
            <w:noWrap/>
            <w:vAlign w:val="center"/>
          </w:tcPr>
          <w:p w14:paraId="1F414257">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其他</w:t>
            </w:r>
          </w:p>
          <w:p w14:paraId="259ACB04">
            <w:pPr>
              <w:widowControl/>
              <w:spacing w:line="240" w:lineRule="auto"/>
              <w:ind w:firstLine="0" w:firstLineChars="0"/>
              <w:jc w:val="center"/>
              <w:rPr>
                <w:rFonts w:ascii="Times New Roman" w:hAnsi="Times New Roman"/>
                <w:b/>
                <w:bCs/>
                <w:kern w:val="0"/>
                <w:sz w:val="24"/>
                <w:szCs w:val="24"/>
              </w:rPr>
            </w:pPr>
            <w:r>
              <w:rPr>
                <w:rFonts w:ascii="Times New Roman" w:hAnsi="Times New Roman"/>
                <w:b/>
                <w:bCs/>
                <w:kern w:val="0"/>
                <w:sz w:val="24"/>
                <w:szCs w:val="24"/>
              </w:rPr>
              <w:t>公告</w:t>
            </w:r>
          </w:p>
        </w:tc>
        <w:tc>
          <w:tcPr>
            <w:tcW w:w="2229" w:type="dxa"/>
            <w:tcBorders>
              <w:top w:val="nil"/>
              <w:left w:val="nil"/>
              <w:bottom w:val="single" w:color="auto" w:sz="4" w:space="0"/>
              <w:right w:val="single" w:color="auto" w:sz="4" w:space="0"/>
            </w:tcBorders>
            <w:noWrap/>
            <w:vAlign w:val="center"/>
          </w:tcPr>
          <w:p w14:paraId="3E6B0FE7">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其他公告事项</w:t>
            </w:r>
          </w:p>
        </w:tc>
        <w:tc>
          <w:tcPr>
            <w:tcW w:w="5528" w:type="dxa"/>
            <w:tcBorders>
              <w:top w:val="nil"/>
              <w:left w:val="nil"/>
              <w:bottom w:val="single" w:color="auto" w:sz="4" w:space="0"/>
              <w:right w:val="single" w:color="auto" w:sz="4" w:space="0"/>
            </w:tcBorders>
            <w:noWrap/>
            <w:vAlign w:val="center"/>
          </w:tcPr>
          <w:p w14:paraId="2C4DD448">
            <w:pPr>
              <w:widowControl/>
              <w:spacing w:line="240" w:lineRule="auto"/>
              <w:ind w:firstLine="0" w:firstLineChars="0"/>
              <w:jc w:val="left"/>
              <w:rPr>
                <w:rFonts w:ascii="Times New Roman" w:hAnsi="Times New Roman"/>
                <w:kern w:val="0"/>
                <w:sz w:val="24"/>
                <w:szCs w:val="24"/>
              </w:rPr>
            </w:pPr>
            <w:r>
              <w:rPr>
                <w:rFonts w:ascii="Times New Roman" w:hAnsi="Times New Roman"/>
                <w:kern w:val="0"/>
                <w:sz w:val="24"/>
                <w:szCs w:val="24"/>
              </w:rPr>
              <w:t>信息披露义务人披露的其他公告</w:t>
            </w:r>
          </w:p>
        </w:tc>
      </w:tr>
    </w:tbl>
    <w:p w14:paraId="5B8D01FE">
      <w:pPr>
        <w:ind w:firstLine="0" w:firstLineChars="0"/>
      </w:pPr>
      <w:r>
        <w:rPr>
          <w:rFonts w:hint="eastAsia"/>
        </w:rPr>
        <w:t>注：本所对定期报告和基金管理人公告进行</w:t>
      </w:r>
      <w:r>
        <w:rPr>
          <w:rFonts w:ascii="Times New Roman"/>
          <w:kern w:val="0"/>
        </w:rPr>
        <w:t>事前登记、事后核对</w:t>
      </w:r>
      <w:r>
        <w:rPr>
          <w:rFonts w:hint="eastAsia" w:ascii="Times New Roman"/>
          <w:kern w:val="0"/>
        </w:rPr>
        <w:t>，对临时报告、基金运作报告、其他公告等信息披露文件进行事前核对。</w:t>
      </w:r>
    </w:p>
    <w:p w14:paraId="4B92648F">
      <w:pPr>
        <w:widowControl/>
        <w:spacing w:line="240" w:lineRule="auto"/>
        <w:ind w:firstLine="0" w:firstLineChars="0"/>
        <w:jc w:val="left"/>
      </w:pPr>
      <w:r>
        <w:br w:type="page"/>
      </w:r>
    </w:p>
    <w:p w14:paraId="4A28A262">
      <w:pPr>
        <w:pStyle w:val="3"/>
        <w:spacing w:before="156" w:after="156"/>
        <w:ind w:firstLine="199" w:firstLineChars="62"/>
        <w:rPr>
          <w:rFonts w:ascii="Times New Roman" w:hAnsi="Times New Roman"/>
          <w:kern w:val="0"/>
        </w:rPr>
      </w:pPr>
      <w:bookmarkStart w:id="51" w:name="_Toc217484342"/>
      <w:r>
        <w:rPr>
          <w:rFonts w:ascii="Times New Roman" w:hAnsi="Times New Roman"/>
          <w:kern w:val="0"/>
        </w:rPr>
        <w:t>附件</w:t>
      </w:r>
      <w:r>
        <w:rPr>
          <w:rFonts w:hint="eastAsia" w:ascii="Times New Roman" w:hAnsi="Times New Roman"/>
          <w:kern w:val="0"/>
        </w:rPr>
        <w:t>2</w:t>
      </w:r>
      <w:r>
        <w:rPr>
          <w:rFonts w:ascii="Times New Roman" w:hAnsi="Times New Roman"/>
          <w:kern w:val="0"/>
        </w:rPr>
        <w:t xml:space="preserve">  暂停（恢复）转托管公告模板</w:t>
      </w:r>
      <w:bookmarkEnd w:id="51"/>
    </w:p>
    <w:p w14:paraId="13EA5AAD">
      <w:pPr>
        <w:pStyle w:val="16"/>
        <w:snapToGrid w:val="0"/>
        <w:spacing w:before="0" w:beforeAutospacing="0" w:after="0" w:afterAutospacing="0" w:line="360" w:lineRule="auto"/>
        <w:ind w:firstLine="602"/>
        <w:jc w:val="center"/>
        <w:rPr>
          <w:rFonts w:ascii="Times New Roman" w:hAnsi="Times New Roman" w:eastAsia="黑体" w:cs="Times New Roman"/>
          <w:b/>
          <w:sz w:val="30"/>
          <w:szCs w:val="30"/>
        </w:rPr>
      </w:pPr>
    </w:p>
    <w:p w14:paraId="20A566DB">
      <w:pPr>
        <w:pStyle w:val="16"/>
        <w:snapToGrid w:val="0"/>
        <w:spacing w:before="0" w:beforeAutospacing="0" w:after="0" w:afterAutospacing="0" w:line="360" w:lineRule="auto"/>
        <w:ind w:firstLine="602"/>
        <w:jc w:val="center"/>
        <w:rPr>
          <w:rFonts w:ascii="Times New Roman" w:hAnsi="Times New Roman" w:eastAsia="黑体" w:cs="Times New Roman"/>
          <w:b/>
          <w:sz w:val="30"/>
          <w:szCs w:val="30"/>
        </w:rPr>
      </w:pPr>
      <w:r>
        <w:rPr>
          <w:rFonts w:ascii="Times New Roman" w:hAnsi="Times New Roman" w:eastAsia="黑体" w:cs="Times New Roman"/>
          <w:b/>
          <w:sz w:val="30"/>
          <w:szCs w:val="30"/>
        </w:rPr>
        <w:t>XX基金公司关于XXX公募REIT暂停（恢复）转托管业务的公告</w:t>
      </w:r>
    </w:p>
    <w:p w14:paraId="0467A865">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一、公募REITs基本信息</w:t>
      </w:r>
    </w:p>
    <w:tbl>
      <w:tblPr>
        <w:tblStyle w:val="1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4678"/>
      </w:tblGrid>
      <w:tr w14:paraId="1F72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18" w:type="dxa"/>
            <w:vAlign w:val="center"/>
          </w:tcPr>
          <w:p w14:paraId="17B3CD1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公募REITs名称</w:t>
            </w:r>
          </w:p>
        </w:tc>
        <w:tc>
          <w:tcPr>
            <w:tcW w:w="4678" w:type="dxa"/>
            <w:vAlign w:val="center"/>
          </w:tcPr>
          <w:p w14:paraId="67CF86C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72E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18" w:type="dxa"/>
            <w:vAlign w:val="center"/>
          </w:tcPr>
          <w:p w14:paraId="03BBBC3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公募REITs简称</w:t>
            </w:r>
          </w:p>
        </w:tc>
        <w:tc>
          <w:tcPr>
            <w:tcW w:w="4678" w:type="dxa"/>
            <w:vAlign w:val="center"/>
          </w:tcPr>
          <w:p w14:paraId="54302CAC">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8D4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118" w:type="dxa"/>
            <w:vAlign w:val="center"/>
          </w:tcPr>
          <w:p w14:paraId="32C2873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公募REITs代码</w:t>
            </w:r>
          </w:p>
        </w:tc>
        <w:tc>
          <w:tcPr>
            <w:tcW w:w="4678" w:type="dxa"/>
            <w:vAlign w:val="center"/>
          </w:tcPr>
          <w:p w14:paraId="6BCAA97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CEB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118" w:type="dxa"/>
            <w:vAlign w:val="center"/>
          </w:tcPr>
          <w:p w14:paraId="5C323B5A">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公募REITs合同生效日</w:t>
            </w:r>
          </w:p>
        </w:tc>
        <w:tc>
          <w:tcPr>
            <w:tcW w:w="4678" w:type="dxa"/>
            <w:vAlign w:val="center"/>
          </w:tcPr>
          <w:p w14:paraId="0E1BD5F2">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4AB2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vAlign w:val="center"/>
          </w:tcPr>
          <w:p w14:paraId="4EEC607F">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基金管理人名称</w:t>
            </w:r>
          </w:p>
        </w:tc>
        <w:tc>
          <w:tcPr>
            <w:tcW w:w="4678" w:type="dxa"/>
            <w:vAlign w:val="center"/>
          </w:tcPr>
          <w:p w14:paraId="5D3EBBAE">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0015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118" w:type="dxa"/>
            <w:vAlign w:val="center"/>
          </w:tcPr>
          <w:p w14:paraId="4DBBAD5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基金托管人名称</w:t>
            </w:r>
          </w:p>
        </w:tc>
        <w:tc>
          <w:tcPr>
            <w:tcW w:w="4678" w:type="dxa"/>
            <w:vAlign w:val="center"/>
          </w:tcPr>
          <w:p w14:paraId="33F6047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43CD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8" w:type="dxa"/>
            <w:vAlign w:val="center"/>
          </w:tcPr>
          <w:p w14:paraId="57472D4F">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公告依据</w:t>
            </w:r>
          </w:p>
        </w:tc>
        <w:tc>
          <w:tcPr>
            <w:tcW w:w="4678" w:type="dxa"/>
            <w:vAlign w:val="center"/>
          </w:tcPr>
          <w:p w14:paraId="60A20CAF">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bl>
    <w:p w14:paraId="3FA77419">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二、公募REITs暂停（恢复）转托管事项</w:t>
      </w:r>
    </w:p>
    <w:p w14:paraId="161DABEA">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因XX（原因），本</w:t>
      </w:r>
      <w:r>
        <w:rPr>
          <w:rFonts w:hint="eastAsia" w:ascii="Times New Roman" w:hAnsi="Times New Roman" w:eastAsia="仿宋_GB2312" w:cs="Times New Roman"/>
          <w:sz w:val="30"/>
          <w:szCs w:val="30"/>
        </w:rPr>
        <w:t>公募</w:t>
      </w:r>
      <w:r>
        <w:rPr>
          <w:rFonts w:ascii="Times New Roman" w:hAnsi="Times New Roman" w:eastAsia="仿宋_GB2312" w:cs="Times New Roman"/>
          <w:sz w:val="30"/>
          <w:szCs w:val="30"/>
        </w:rPr>
        <w:t>REIT将自XX年XX月XX日至XX年XX月XX日暂停/恢复办理转托管业务，并于XX年XX月XX日起恢复转托管业务。</w:t>
      </w:r>
    </w:p>
    <w:p w14:paraId="0B58F8C4">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三、其他需要提示的事项（如有）</w:t>
      </w:r>
    </w:p>
    <w:p w14:paraId="6F4C38FD">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四、相关机构联系方式</w:t>
      </w:r>
    </w:p>
    <w:p w14:paraId="5A332E2E">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五、风险提示</w:t>
      </w:r>
    </w:p>
    <w:p w14:paraId="787F86AE">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特此公告</w:t>
      </w:r>
    </w:p>
    <w:p w14:paraId="4F5EB799">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XX基金公司</w:t>
      </w:r>
    </w:p>
    <w:p w14:paraId="7FB6421E">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XX年XX月XX日</w:t>
      </w:r>
    </w:p>
    <w:p w14:paraId="0E137B6D">
      <w:pPr>
        <w:pStyle w:val="3"/>
        <w:spacing w:before="156" w:after="156"/>
        <w:ind w:firstLine="199" w:firstLineChars="62"/>
        <w:rPr>
          <w:rFonts w:ascii="Times New Roman" w:hAnsi="Times New Roman"/>
        </w:rPr>
      </w:pPr>
      <w:r>
        <w:rPr>
          <w:rFonts w:ascii="Times New Roman" w:hAnsi="Times New Roman" w:eastAsia="仿宋_GB2312"/>
        </w:rPr>
        <w:br w:type="page"/>
      </w:r>
      <w:bookmarkStart w:id="52" w:name="_Toc217484343"/>
      <w:r>
        <w:rPr>
          <w:rFonts w:ascii="Times New Roman" w:hAnsi="Times New Roman"/>
        </w:rPr>
        <w:t>附件</w:t>
      </w:r>
      <w:r>
        <w:rPr>
          <w:rFonts w:hint="eastAsia" w:ascii="Times New Roman" w:hAnsi="Times New Roman"/>
        </w:rPr>
        <w:t>3</w:t>
      </w:r>
      <w:r>
        <w:rPr>
          <w:rFonts w:ascii="Times New Roman" w:hAnsi="Times New Roman"/>
        </w:rPr>
        <w:t xml:space="preserve">  停复牌公告模板</w:t>
      </w:r>
      <w:bookmarkEnd w:id="52"/>
    </w:p>
    <w:p w14:paraId="1C72C843">
      <w:pPr>
        <w:ind w:firstLine="600"/>
        <w:rPr>
          <w:rFonts w:ascii="Times New Roman" w:hAnsi="Times New Roman"/>
        </w:rPr>
      </w:pPr>
    </w:p>
    <w:p w14:paraId="7A7966A3">
      <w:pPr>
        <w:pStyle w:val="16"/>
        <w:snapToGrid w:val="0"/>
        <w:spacing w:before="0" w:beforeAutospacing="0" w:after="0" w:afterAutospacing="0" w:line="360" w:lineRule="auto"/>
        <w:ind w:firstLine="602"/>
        <w:jc w:val="center"/>
        <w:rPr>
          <w:rFonts w:ascii="Times New Roman" w:hAnsi="Times New Roman" w:eastAsia="黑体" w:cs="Times New Roman"/>
          <w:b/>
          <w:sz w:val="30"/>
          <w:szCs w:val="30"/>
        </w:rPr>
      </w:pPr>
      <w:r>
        <w:rPr>
          <w:rFonts w:ascii="Times New Roman" w:hAnsi="Times New Roman" w:eastAsia="黑体" w:cs="Times New Roman"/>
          <w:b/>
          <w:sz w:val="30"/>
          <w:szCs w:val="30"/>
        </w:rPr>
        <w:t>XX基金公司关于XXX公募REIT停复牌的公告</w:t>
      </w:r>
    </w:p>
    <w:p w14:paraId="1E63732D">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一、公募REITs基本信息</w:t>
      </w:r>
    </w:p>
    <w:tbl>
      <w:tblPr>
        <w:tblStyle w:val="1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4678"/>
      </w:tblGrid>
      <w:tr w14:paraId="6737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18" w:type="dxa"/>
            <w:vAlign w:val="center"/>
          </w:tcPr>
          <w:p w14:paraId="684657D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公募REITs名称</w:t>
            </w:r>
          </w:p>
        </w:tc>
        <w:tc>
          <w:tcPr>
            <w:tcW w:w="4678" w:type="dxa"/>
            <w:vAlign w:val="center"/>
          </w:tcPr>
          <w:p w14:paraId="6DA4D2C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2E2A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18" w:type="dxa"/>
            <w:vAlign w:val="center"/>
          </w:tcPr>
          <w:p w14:paraId="4B43E3BE">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公募REITs简称</w:t>
            </w:r>
          </w:p>
        </w:tc>
        <w:tc>
          <w:tcPr>
            <w:tcW w:w="4678" w:type="dxa"/>
            <w:vAlign w:val="center"/>
          </w:tcPr>
          <w:p w14:paraId="0684C29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3F23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118" w:type="dxa"/>
            <w:vAlign w:val="center"/>
          </w:tcPr>
          <w:p w14:paraId="21541500">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公募REITs代码</w:t>
            </w:r>
          </w:p>
        </w:tc>
        <w:tc>
          <w:tcPr>
            <w:tcW w:w="4678" w:type="dxa"/>
            <w:vAlign w:val="center"/>
          </w:tcPr>
          <w:p w14:paraId="31B67140">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3FAF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118" w:type="dxa"/>
            <w:vAlign w:val="center"/>
          </w:tcPr>
          <w:p w14:paraId="4CFFC8AD">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公募REITs合同生效日</w:t>
            </w:r>
          </w:p>
        </w:tc>
        <w:tc>
          <w:tcPr>
            <w:tcW w:w="4678" w:type="dxa"/>
            <w:vAlign w:val="center"/>
          </w:tcPr>
          <w:p w14:paraId="0BC27FD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107A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vAlign w:val="center"/>
          </w:tcPr>
          <w:p w14:paraId="47821E0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基金管理人名称</w:t>
            </w:r>
          </w:p>
        </w:tc>
        <w:tc>
          <w:tcPr>
            <w:tcW w:w="4678" w:type="dxa"/>
            <w:vAlign w:val="center"/>
          </w:tcPr>
          <w:p w14:paraId="65C6A37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E11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118" w:type="dxa"/>
            <w:vAlign w:val="center"/>
          </w:tcPr>
          <w:p w14:paraId="38BF8785">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基金托管人名称</w:t>
            </w:r>
          </w:p>
        </w:tc>
        <w:tc>
          <w:tcPr>
            <w:tcW w:w="4678" w:type="dxa"/>
            <w:vAlign w:val="center"/>
          </w:tcPr>
          <w:p w14:paraId="26BEBACE">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7E2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8" w:type="dxa"/>
            <w:vAlign w:val="center"/>
          </w:tcPr>
          <w:p w14:paraId="770070D0">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公告依据</w:t>
            </w:r>
          </w:p>
        </w:tc>
        <w:tc>
          <w:tcPr>
            <w:tcW w:w="4678" w:type="dxa"/>
            <w:vAlign w:val="center"/>
          </w:tcPr>
          <w:p w14:paraId="66F4C97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bl>
    <w:p w14:paraId="2276C051">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二、公募REITs停牌（复牌）事项</w:t>
      </w:r>
    </w:p>
    <w:p w14:paraId="40BC9ED8">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因XX（原因），本公募REIT将自XX年XX月XX日起停牌/复牌，并于XX年XX月XX日起复牌。</w:t>
      </w:r>
    </w:p>
    <w:p w14:paraId="1F269FE2">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（紧急停牌的，还应当明确紧急停牌时间段）</w:t>
      </w:r>
    </w:p>
    <w:p w14:paraId="27D06BA8">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三、其他需要提示的事项（如有）</w:t>
      </w:r>
    </w:p>
    <w:p w14:paraId="01BEDB9C">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四、相关机构联系方式</w:t>
      </w:r>
    </w:p>
    <w:p w14:paraId="11FB9F68">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五、风险提示</w:t>
      </w:r>
    </w:p>
    <w:p w14:paraId="7D1F00F1">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29741C2E">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特此公告</w:t>
      </w:r>
    </w:p>
    <w:p w14:paraId="6669E9A6">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08357673">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XX基金公司</w:t>
      </w:r>
    </w:p>
    <w:p w14:paraId="060DD7E6">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XX年XX月XX日</w:t>
      </w:r>
    </w:p>
    <w:p w14:paraId="5C2035EB">
      <w:pPr>
        <w:pStyle w:val="3"/>
        <w:spacing w:before="156" w:after="156"/>
        <w:ind w:firstLine="0" w:firstLineChars="0"/>
        <w:rPr>
          <w:rFonts w:ascii="Times New Roman" w:hAnsi="Times New Roman"/>
        </w:rPr>
      </w:pPr>
      <w:r>
        <w:rPr>
          <w:rFonts w:ascii="Times New Roman" w:hAnsi="Times New Roman" w:eastAsia="仿宋_GB2312"/>
        </w:rPr>
        <w:br w:type="page"/>
      </w:r>
      <w:bookmarkStart w:id="53" w:name="_Toc217484344"/>
      <w:r>
        <w:rPr>
          <w:rFonts w:ascii="Times New Roman" w:hAnsi="Times New Roman"/>
        </w:rPr>
        <w:t>附件</w:t>
      </w:r>
      <w:r>
        <w:rPr>
          <w:rFonts w:hint="eastAsia" w:ascii="Times New Roman" w:hAnsi="Times New Roman"/>
        </w:rPr>
        <w:t>4</w:t>
      </w:r>
      <w:r>
        <w:rPr>
          <w:rFonts w:ascii="Times New Roman" w:hAnsi="Times New Roman"/>
        </w:rPr>
        <w:t xml:space="preserve">  分红公告模板</w:t>
      </w:r>
      <w:bookmarkEnd w:id="53"/>
    </w:p>
    <w:p w14:paraId="5AC16E62">
      <w:pPr>
        <w:pStyle w:val="16"/>
        <w:snapToGrid w:val="0"/>
        <w:spacing w:before="0" w:beforeAutospacing="0" w:after="0" w:afterAutospacing="0" w:line="360" w:lineRule="auto"/>
        <w:ind w:firstLine="602"/>
        <w:jc w:val="center"/>
        <w:rPr>
          <w:rFonts w:ascii="Times New Roman" w:hAnsi="Times New Roman" w:eastAsia="黑体" w:cs="Times New Roman"/>
          <w:b/>
          <w:sz w:val="30"/>
          <w:szCs w:val="30"/>
        </w:rPr>
      </w:pPr>
    </w:p>
    <w:p w14:paraId="49B482AA">
      <w:pPr>
        <w:pStyle w:val="16"/>
        <w:snapToGrid w:val="0"/>
        <w:spacing w:before="0" w:beforeAutospacing="0" w:after="0" w:afterAutospacing="0" w:line="360" w:lineRule="auto"/>
        <w:ind w:firstLine="602"/>
        <w:jc w:val="center"/>
        <w:rPr>
          <w:rFonts w:ascii="Times New Roman" w:hAnsi="Times New Roman" w:eastAsia="黑体" w:cs="Times New Roman"/>
          <w:b/>
          <w:sz w:val="30"/>
          <w:szCs w:val="30"/>
        </w:rPr>
      </w:pPr>
      <w:r>
        <w:rPr>
          <w:rFonts w:ascii="Times New Roman" w:hAnsi="Times New Roman" w:eastAsia="黑体" w:cs="Times New Roman"/>
          <w:b/>
          <w:sz w:val="30"/>
          <w:szCs w:val="30"/>
        </w:rPr>
        <w:t>XX基金公司关于XXX公募REIT分红的公告</w:t>
      </w:r>
    </w:p>
    <w:p w14:paraId="2D057E2A">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一、公募REITs基本信息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735"/>
        <w:gridCol w:w="4261"/>
      </w:tblGrid>
      <w:tr w14:paraId="479A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61" w:type="dxa"/>
            <w:gridSpan w:val="2"/>
            <w:vAlign w:val="center"/>
          </w:tcPr>
          <w:p w14:paraId="46C5D2E5">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公募REITs名称</w:t>
            </w:r>
          </w:p>
        </w:tc>
        <w:tc>
          <w:tcPr>
            <w:tcW w:w="4261" w:type="dxa"/>
            <w:vAlign w:val="center"/>
          </w:tcPr>
          <w:p w14:paraId="2E38798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0634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61" w:type="dxa"/>
            <w:gridSpan w:val="2"/>
            <w:vAlign w:val="center"/>
          </w:tcPr>
          <w:p w14:paraId="2008299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公募REITs简称</w:t>
            </w:r>
          </w:p>
        </w:tc>
        <w:tc>
          <w:tcPr>
            <w:tcW w:w="4261" w:type="dxa"/>
            <w:vAlign w:val="center"/>
          </w:tcPr>
          <w:p w14:paraId="743090E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62A2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261" w:type="dxa"/>
            <w:gridSpan w:val="2"/>
            <w:vAlign w:val="center"/>
          </w:tcPr>
          <w:p w14:paraId="28F9DBE0">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公募REITs代码</w:t>
            </w:r>
          </w:p>
        </w:tc>
        <w:tc>
          <w:tcPr>
            <w:tcW w:w="4261" w:type="dxa"/>
            <w:vAlign w:val="center"/>
          </w:tcPr>
          <w:p w14:paraId="1474DF2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1611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261" w:type="dxa"/>
            <w:gridSpan w:val="2"/>
            <w:vAlign w:val="center"/>
          </w:tcPr>
          <w:p w14:paraId="03254A8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公募REITs合同生效日</w:t>
            </w:r>
          </w:p>
        </w:tc>
        <w:tc>
          <w:tcPr>
            <w:tcW w:w="4261" w:type="dxa"/>
            <w:vAlign w:val="center"/>
          </w:tcPr>
          <w:p w14:paraId="48A8FD7A">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095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vAlign w:val="center"/>
          </w:tcPr>
          <w:p w14:paraId="2595BBB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基金管理人名称</w:t>
            </w:r>
          </w:p>
        </w:tc>
        <w:tc>
          <w:tcPr>
            <w:tcW w:w="4261" w:type="dxa"/>
            <w:vAlign w:val="center"/>
          </w:tcPr>
          <w:p w14:paraId="7C4EA82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1391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261" w:type="dxa"/>
            <w:gridSpan w:val="2"/>
            <w:vAlign w:val="center"/>
          </w:tcPr>
          <w:p w14:paraId="3E5DAA6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基金托管人名称</w:t>
            </w:r>
          </w:p>
        </w:tc>
        <w:tc>
          <w:tcPr>
            <w:tcW w:w="4261" w:type="dxa"/>
            <w:vAlign w:val="center"/>
          </w:tcPr>
          <w:p w14:paraId="2A5ED802">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8F4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vAlign w:val="center"/>
          </w:tcPr>
          <w:p w14:paraId="51DF307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公告依据</w:t>
            </w:r>
          </w:p>
        </w:tc>
        <w:tc>
          <w:tcPr>
            <w:tcW w:w="4261" w:type="dxa"/>
            <w:vAlign w:val="center"/>
          </w:tcPr>
          <w:p w14:paraId="7A53B932">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3B9C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2"/>
            <w:vAlign w:val="center"/>
          </w:tcPr>
          <w:p w14:paraId="5B3F152D">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收益分配基准日</w:t>
            </w:r>
          </w:p>
        </w:tc>
        <w:tc>
          <w:tcPr>
            <w:tcW w:w="4261" w:type="dxa"/>
            <w:vAlign w:val="center"/>
          </w:tcPr>
          <w:p w14:paraId="1E1C37FD">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FB7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26" w:type="dxa"/>
            <w:vMerge w:val="restart"/>
            <w:vAlign w:val="center"/>
          </w:tcPr>
          <w:p w14:paraId="069F4551">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截止收益分配基准日基金的相关指标</w:t>
            </w:r>
          </w:p>
        </w:tc>
        <w:tc>
          <w:tcPr>
            <w:tcW w:w="2735" w:type="dxa"/>
            <w:vAlign w:val="center"/>
          </w:tcPr>
          <w:p w14:paraId="2732D64C">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基准日公募REITs份额净值（单位：元）</w:t>
            </w:r>
          </w:p>
        </w:tc>
        <w:tc>
          <w:tcPr>
            <w:tcW w:w="4261" w:type="dxa"/>
            <w:vAlign w:val="center"/>
          </w:tcPr>
          <w:p w14:paraId="6453D8FB">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D74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526" w:type="dxa"/>
            <w:vMerge w:val="continue"/>
            <w:vAlign w:val="center"/>
          </w:tcPr>
          <w:p w14:paraId="4FAF9B76">
            <w:pPr>
              <w:pStyle w:val="16"/>
              <w:snapToGrid w:val="0"/>
              <w:spacing w:line="360" w:lineRule="auto"/>
              <w:ind w:firstLine="0" w:firstLineChars="0"/>
              <w:jc w:val="both"/>
              <w:rPr>
                <w:rFonts w:ascii="Times New Roman" w:hAnsi="Times New Roman" w:eastAsia="仿宋_GB2312" w:cs="Times New Roman"/>
              </w:rPr>
            </w:pPr>
          </w:p>
        </w:tc>
        <w:tc>
          <w:tcPr>
            <w:tcW w:w="2735" w:type="dxa"/>
            <w:vAlign w:val="center"/>
          </w:tcPr>
          <w:p w14:paraId="1EEBDFA7">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基准日公募REITs可供分配金额（单位：元）</w:t>
            </w:r>
          </w:p>
        </w:tc>
        <w:tc>
          <w:tcPr>
            <w:tcW w:w="4261" w:type="dxa"/>
            <w:vAlign w:val="center"/>
          </w:tcPr>
          <w:p w14:paraId="59EFBEB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13BE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526" w:type="dxa"/>
            <w:vMerge w:val="continue"/>
            <w:vAlign w:val="center"/>
          </w:tcPr>
          <w:p w14:paraId="55160FA1">
            <w:pPr>
              <w:pStyle w:val="16"/>
              <w:snapToGrid w:val="0"/>
              <w:spacing w:line="360" w:lineRule="auto"/>
              <w:ind w:firstLine="0" w:firstLineChars="0"/>
              <w:jc w:val="both"/>
              <w:rPr>
                <w:rFonts w:ascii="Times New Roman" w:hAnsi="Times New Roman" w:eastAsia="仿宋_GB2312" w:cs="Times New Roman"/>
              </w:rPr>
            </w:pPr>
          </w:p>
        </w:tc>
        <w:tc>
          <w:tcPr>
            <w:tcW w:w="2735" w:type="dxa"/>
            <w:vAlign w:val="center"/>
          </w:tcPr>
          <w:p w14:paraId="4A626995">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截止基准日公募REITs按照合同约定的分红比例计算的应分配金额（单位：元）</w:t>
            </w:r>
          </w:p>
        </w:tc>
        <w:tc>
          <w:tcPr>
            <w:tcW w:w="4261" w:type="dxa"/>
            <w:vAlign w:val="center"/>
          </w:tcPr>
          <w:p w14:paraId="3C7947A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01E3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4261" w:type="dxa"/>
            <w:gridSpan w:val="2"/>
            <w:vAlign w:val="center"/>
          </w:tcPr>
          <w:p w14:paraId="16D7541B">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本次公募REITs分红方案（单位：元/10份基金份额）</w:t>
            </w:r>
          </w:p>
        </w:tc>
        <w:tc>
          <w:tcPr>
            <w:tcW w:w="4261" w:type="dxa"/>
            <w:vAlign w:val="center"/>
          </w:tcPr>
          <w:p w14:paraId="5DC24BD3">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2E3F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61" w:type="dxa"/>
            <w:gridSpan w:val="2"/>
            <w:vAlign w:val="center"/>
          </w:tcPr>
          <w:p w14:paraId="1ADA6DBA">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有关年度分红次数的说明</w:t>
            </w:r>
          </w:p>
        </w:tc>
        <w:tc>
          <w:tcPr>
            <w:tcW w:w="4261" w:type="dxa"/>
            <w:vAlign w:val="center"/>
          </w:tcPr>
          <w:p w14:paraId="48B04B25">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bl>
    <w:p w14:paraId="59381F37">
      <w:pPr>
        <w:pStyle w:val="16"/>
        <w:snapToGrid w:val="0"/>
        <w:spacing w:before="156" w:beforeLines="50" w:beforeAutospacing="0" w:after="0" w:afterAutospacing="0" w:line="360" w:lineRule="auto"/>
        <w:ind w:firstLine="0" w:firstLineChars="0"/>
        <w:jc w:val="both"/>
        <w:rPr>
          <w:rFonts w:ascii="Times New Roman" w:hAnsi="Times New Roman" w:eastAsia="仿宋_GB2312" w:cs="Times New Roman"/>
          <w:b/>
          <w:bCs/>
          <w:sz w:val="30"/>
          <w:szCs w:val="30"/>
        </w:rPr>
      </w:pPr>
    </w:p>
    <w:p w14:paraId="5912786A">
      <w:pPr>
        <w:widowControl/>
        <w:spacing w:line="240" w:lineRule="auto"/>
        <w:ind w:firstLine="0" w:firstLineChars="0"/>
        <w:jc w:val="left"/>
        <w:rPr>
          <w:rFonts w:ascii="Times New Roman" w:hAnsi="Times New Roman"/>
          <w:b/>
          <w:bCs/>
          <w:color w:val="000000"/>
          <w:kern w:val="0"/>
          <w:szCs w:val="30"/>
        </w:rPr>
      </w:pPr>
      <w:r>
        <w:rPr>
          <w:rFonts w:ascii="Times New Roman" w:hAnsi="Times New Roman"/>
          <w:b/>
          <w:bCs/>
          <w:szCs w:val="30"/>
        </w:rPr>
        <w:br w:type="page"/>
      </w:r>
    </w:p>
    <w:p w14:paraId="34A268E1">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二、与分红相关的其他信息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847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59E4891">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权益登记日</w:t>
            </w:r>
          </w:p>
        </w:tc>
        <w:tc>
          <w:tcPr>
            <w:tcW w:w="4261" w:type="dxa"/>
            <w:vAlign w:val="center"/>
          </w:tcPr>
          <w:p w14:paraId="3452D1CC">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2EA8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0917D7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除息日</w:t>
            </w:r>
          </w:p>
        </w:tc>
        <w:tc>
          <w:tcPr>
            <w:tcW w:w="4261" w:type="dxa"/>
            <w:vAlign w:val="center"/>
          </w:tcPr>
          <w:p w14:paraId="388703C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84A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78FA4A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现金红利发放日</w:t>
            </w:r>
          </w:p>
        </w:tc>
        <w:tc>
          <w:tcPr>
            <w:tcW w:w="4261" w:type="dxa"/>
            <w:vAlign w:val="center"/>
          </w:tcPr>
          <w:p w14:paraId="2CABDD01">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22DA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vAlign w:val="center"/>
          </w:tcPr>
          <w:p w14:paraId="3215A20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分红对象</w:t>
            </w:r>
          </w:p>
        </w:tc>
        <w:tc>
          <w:tcPr>
            <w:tcW w:w="4261" w:type="dxa"/>
            <w:vAlign w:val="center"/>
          </w:tcPr>
          <w:p w14:paraId="02F5982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4AC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93AD489">
            <w:pPr>
              <w:pStyle w:val="16"/>
              <w:snapToGrid w:val="0"/>
              <w:spacing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红利再投资相关事项的说明</w:t>
            </w:r>
          </w:p>
        </w:tc>
        <w:tc>
          <w:tcPr>
            <w:tcW w:w="4261" w:type="dxa"/>
            <w:vAlign w:val="center"/>
          </w:tcPr>
          <w:p w14:paraId="20F867A2">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077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8B1AB6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税收相关事项的说明</w:t>
            </w:r>
          </w:p>
        </w:tc>
        <w:tc>
          <w:tcPr>
            <w:tcW w:w="4261" w:type="dxa"/>
            <w:vAlign w:val="center"/>
          </w:tcPr>
          <w:p w14:paraId="73098D1E">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46DF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CC1A50E">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费用相关事项的说明</w:t>
            </w:r>
          </w:p>
        </w:tc>
        <w:tc>
          <w:tcPr>
            <w:tcW w:w="4261" w:type="dxa"/>
            <w:vAlign w:val="center"/>
          </w:tcPr>
          <w:p w14:paraId="4BE5B86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bl>
    <w:p w14:paraId="0F9F287C">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三、其他需要提示的事项</w:t>
      </w:r>
    </w:p>
    <w:p w14:paraId="67E0D16B">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（1）权益分派期间（XX年XX月XX日至XX年XX月XX日）暂停跨系统转托管业务。</w:t>
      </w:r>
    </w:p>
    <w:p w14:paraId="36CEF4CD">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w:t>
      </w:r>
    </w:p>
    <w:p w14:paraId="3C922AC6">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四、相关机构联系方式</w:t>
      </w:r>
    </w:p>
    <w:p w14:paraId="4E7FC0A6">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五、风险提示</w:t>
      </w:r>
    </w:p>
    <w:p w14:paraId="160E8E87">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477E8BF0">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特此公告</w:t>
      </w:r>
    </w:p>
    <w:p w14:paraId="5CCB472F">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7D76BD79">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XX基金公司</w:t>
      </w:r>
    </w:p>
    <w:p w14:paraId="4F4FBE45">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XX年XX月XX日</w:t>
      </w:r>
    </w:p>
    <w:p w14:paraId="41434BE3">
      <w:pPr>
        <w:pStyle w:val="3"/>
        <w:spacing w:before="156" w:after="156"/>
        <w:ind w:firstLine="0" w:firstLineChars="0"/>
        <w:rPr>
          <w:rFonts w:ascii="Times New Roman" w:hAnsi="Times New Roman"/>
        </w:rPr>
      </w:pPr>
      <w:r>
        <w:rPr>
          <w:rFonts w:ascii="Times New Roman" w:hAnsi="Times New Roman" w:eastAsia="仿宋_GB2312"/>
        </w:rPr>
        <w:br w:type="page"/>
      </w:r>
      <w:bookmarkStart w:id="54" w:name="_Toc217484345"/>
      <w:r>
        <w:rPr>
          <w:rFonts w:ascii="Times New Roman" w:hAnsi="Times New Roman"/>
        </w:rPr>
        <w:t>附件</w:t>
      </w:r>
      <w:r>
        <w:rPr>
          <w:rFonts w:hint="eastAsia" w:ascii="Times New Roman" w:hAnsi="Times New Roman"/>
        </w:rPr>
        <w:t>5</w:t>
      </w:r>
      <w:r>
        <w:rPr>
          <w:rFonts w:ascii="Times New Roman" w:hAnsi="Times New Roman"/>
        </w:rPr>
        <w:t xml:space="preserve">  更名公告模板</w:t>
      </w:r>
      <w:bookmarkEnd w:id="54"/>
    </w:p>
    <w:p w14:paraId="4DC30FBE">
      <w:pPr>
        <w:pStyle w:val="16"/>
        <w:snapToGrid w:val="0"/>
        <w:spacing w:before="0" w:beforeAutospacing="0" w:after="0" w:afterAutospacing="0" w:line="360" w:lineRule="auto"/>
        <w:ind w:firstLine="602"/>
        <w:rPr>
          <w:rFonts w:ascii="Times New Roman" w:hAnsi="Times New Roman" w:eastAsia="黑体" w:cs="Times New Roman"/>
          <w:b/>
          <w:sz w:val="30"/>
          <w:szCs w:val="30"/>
        </w:rPr>
      </w:pPr>
    </w:p>
    <w:p w14:paraId="4F3FC26A">
      <w:pPr>
        <w:pStyle w:val="16"/>
        <w:snapToGrid w:val="0"/>
        <w:spacing w:before="0" w:beforeAutospacing="0" w:after="0" w:afterAutospacing="0" w:line="360" w:lineRule="auto"/>
        <w:ind w:firstLine="0" w:firstLineChars="0"/>
        <w:jc w:val="center"/>
        <w:rPr>
          <w:rFonts w:ascii="Times New Roman" w:hAnsi="Times New Roman" w:eastAsia="黑体" w:cs="Times New Roman"/>
          <w:b/>
          <w:sz w:val="30"/>
          <w:szCs w:val="30"/>
        </w:rPr>
      </w:pPr>
      <w:r>
        <w:rPr>
          <w:rFonts w:ascii="Times New Roman" w:hAnsi="Times New Roman" w:eastAsia="黑体" w:cs="Times New Roman"/>
          <w:b/>
          <w:sz w:val="30"/>
          <w:szCs w:val="30"/>
        </w:rPr>
        <w:t>XX基金公司关于XXX公募REIT变更XXX名称的公告</w:t>
      </w:r>
    </w:p>
    <w:p w14:paraId="5C1246E8">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一、公募REITs基本信息</w:t>
      </w:r>
    </w:p>
    <w:tbl>
      <w:tblPr>
        <w:tblStyle w:val="1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4678"/>
      </w:tblGrid>
      <w:tr w14:paraId="2D3A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18" w:type="dxa"/>
            <w:vAlign w:val="center"/>
          </w:tcPr>
          <w:p w14:paraId="4437096C">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公募REITs名称</w:t>
            </w:r>
          </w:p>
        </w:tc>
        <w:tc>
          <w:tcPr>
            <w:tcW w:w="4678" w:type="dxa"/>
            <w:vAlign w:val="center"/>
          </w:tcPr>
          <w:p w14:paraId="0E71579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EE9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118" w:type="dxa"/>
            <w:vAlign w:val="center"/>
          </w:tcPr>
          <w:p w14:paraId="278A68E8">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公募REITs简称</w:t>
            </w:r>
          </w:p>
        </w:tc>
        <w:tc>
          <w:tcPr>
            <w:tcW w:w="4678" w:type="dxa"/>
            <w:vAlign w:val="center"/>
          </w:tcPr>
          <w:p w14:paraId="03E763BA">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519A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118" w:type="dxa"/>
            <w:vAlign w:val="center"/>
          </w:tcPr>
          <w:p w14:paraId="403C61B6">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公募REITs代码</w:t>
            </w:r>
          </w:p>
        </w:tc>
        <w:tc>
          <w:tcPr>
            <w:tcW w:w="4678" w:type="dxa"/>
            <w:vAlign w:val="center"/>
          </w:tcPr>
          <w:p w14:paraId="677D6BB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38F9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3118" w:type="dxa"/>
            <w:vAlign w:val="center"/>
          </w:tcPr>
          <w:p w14:paraId="24DDE6B3">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公募REITs合同生效日</w:t>
            </w:r>
          </w:p>
        </w:tc>
        <w:tc>
          <w:tcPr>
            <w:tcW w:w="4678" w:type="dxa"/>
            <w:vAlign w:val="center"/>
          </w:tcPr>
          <w:p w14:paraId="6FE82C5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0178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vAlign w:val="center"/>
          </w:tcPr>
          <w:p w14:paraId="56E66C64">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基金管理人名称</w:t>
            </w:r>
          </w:p>
        </w:tc>
        <w:tc>
          <w:tcPr>
            <w:tcW w:w="4678" w:type="dxa"/>
            <w:vAlign w:val="center"/>
          </w:tcPr>
          <w:p w14:paraId="60D90A99">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4D46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118" w:type="dxa"/>
            <w:vAlign w:val="center"/>
          </w:tcPr>
          <w:p w14:paraId="05FAC8AF">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基金托管人名称</w:t>
            </w:r>
          </w:p>
        </w:tc>
        <w:tc>
          <w:tcPr>
            <w:tcW w:w="4678" w:type="dxa"/>
            <w:vAlign w:val="center"/>
          </w:tcPr>
          <w:p w14:paraId="00F189F7">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r w14:paraId="7770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8" w:type="dxa"/>
            <w:vAlign w:val="center"/>
          </w:tcPr>
          <w:p w14:paraId="2544036C">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r>
              <w:rPr>
                <w:rFonts w:ascii="Times New Roman" w:hAnsi="Times New Roman" w:eastAsia="仿宋_GB2312" w:cs="Times New Roman"/>
              </w:rPr>
              <w:t>公告依据</w:t>
            </w:r>
          </w:p>
        </w:tc>
        <w:tc>
          <w:tcPr>
            <w:tcW w:w="4678" w:type="dxa"/>
            <w:vAlign w:val="center"/>
          </w:tcPr>
          <w:p w14:paraId="3D4411EA">
            <w:pPr>
              <w:pStyle w:val="16"/>
              <w:snapToGrid w:val="0"/>
              <w:spacing w:before="0" w:beforeAutospacing="0" w:after="0" w:afterAutospacing="0" w:line="360" w:lineRule="auto"/>
              <w:ind w:firstLine="0" w:firstLineChars="0"/>
              <w:jc w:val="both"/>
              <w:rPr>
                <w:rFonts w:ascii="Times New Roman" w:hAnsi="Times New Roman" w:eastAsia="仿宋_GB2312" w:cs="Times New Roman"/>
              </w:rPr>
            </w:pPr>
          </w:p>
        </w:tc>
      </w:tr>
    </w:tbl>
    <w:p w14:paraId="1F309575">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二、公募REITs更名事项</w:t>
      </w:r>
    </w:p>
    <w:p w14:paraId="25E27DA6">
      <w:pPr>
        <w:pStyle w:val="16"/>
        <w:adjustRightInd w:val="0"/>
        <w:snapToGrid w:val="0"/>
        <w:spacing w:before="0" w:beforeAutospacing="0" w:after="0" w:afterAutospacing="0" w:line="360" w:lineRule="auto"/>
        <w:ind w:firstLine="600"/>
        <w:rPr>
          <w:rFonts w:ascii="Times New Roman" w:hAnsi="Times New Roman" w:eastAsia="仿宋_GB2312" w:cs="Times New Roman"/>
          <w:sz w:val="30"/>
          <w:szCs w:val="30"/>
        </w:rPr>
      </w:pPr>
      <w:r>
        <w:rPr>
          <w:rFonts w:ascii="Times New Roman" w:hAnsi="Times New Roman" w:eastAsia="仿宋_GB2312" w:cs="Times New Roman"/>
          <w:sz w:val="30"/>
          <w:szCs w:val="30"/>
        </w:rPr>
        <w:t>因XX（原因），XX基金公司现对XXX公募REIT的XX名称进行变更，具体如下表所示：</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693"/>
        <w:gridCol w:w="2268"/>
      </w:tblGrid>
      <w:tr w14:paraId="105C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14:paraId="7CFB2277">
            <w:pPr>
              <w:pStyle w:val="16"/>
              <w:snapToGrid w:val="0"/>
              <w:spacing w:line="360" w:lineRule="auto"/>
              <w:ind w:firstLine="0" w:firstLineChars="0"/>
              <w:jc w:val="both"/>
              <w:rPr>
                <w:rFonts w:ascii="Times New Roman" w:hAnsi="Times New Roman" w:eastAsia="仿宋_GB2312" w:cs="Times New Roman"/>
                <w:b/>
                <w:bCs/>
              </w:rPr>
            </w:pPr>
            <w:r>
              <w:rPr>
                <w:rFonts w:ascii="Times New Roman" w:hAnsi="Times New Roman" w:eastAsia="仿宋_GB2312" w:cs="Times New Roman"/>
                <w:b/>
                <w:bCs/>
              </w:rPr>
              <w:t>变更内容</w:t>
            </w:r>
          </w:p>
        </w:tc>
        <w:tc>
          <w:tcPr>
            <w:tcW w:w="2693" w:type="dxa"/>
            <w:vAlign w:val="center"/>
          </w:tcPr>
          <w:p w14:paraId="49663547">
            <w:pPr>
              <w:pStyle w:val="16"/>
              <w:snapToGrid w:val="0"/>
              <w:spacing w:line="360" w:lineRule="auto"/>
              <w:ind w:firstLine="0" w:firstLineChars="0"/>
              <w:jc w:val="both"/>
              <w:rPr>
                <w:rFonts w:ascii="Times New Roman" w:hAnsi="Times New Roman" w:eastAsia="仿宋_GB2312" w:cs="Times New Roman"/>
                <w:b/>
                <w:bCs/>
              </w:rPr>
            </w:pPr>
            <w:r>
              <w:rPr>
                <w:rFonts w:ascii="Times New Roman" w:hAnsi="Times New Roman" w:eastAsia="仿宋_GB2312" w:cs="Times New Roman"/>
                <w:b/>
                <w:bCs/>
              </w:rPr>
              <w:t>变更前名称</w:t>
            </w:r>
          </w:p>
        </w:tc>
        <w:tc>
          <w:tcPr>
            <w:tcW w:w="2268" w:type="dxa"/>
            <w:vAlign w:val="center"/>
          </w:tcPr>
          <w:p w14:paraId="7116BCFB">
            <w:pPr>
              <w:pStyle w:val="16"/>
              <w:snapToGrid w:val="0"/>
              <w:spacing w:line="360" w:lineRule="auto"/>
              <w:ind w:firstLine="0" w:firstLineChars="0"/>
              <w:jc w:val="both"/>
              <w:rPr>
                <w:rFonts w:ascii="Times New Roman" w:hAnsi="Times New Roman" w:eastAsia="仿宋_GB2312" w:cs="Times New Roman"/>
                <w:b/>
                <w:bCs/>
              </w:rPr>
            </w:pPr>
            <w:r>
              <w:rPr>
                <w:rFonts w:ascii="Times New Roman" w:hAnsi="Times New Roman" w:eastAsia="仿宋_GB2312" w:cs="Times New Roman"/>
                <w:b/>
                <w:bCs/>
              </w:rPr>
              <w:t>变更后名称</w:t>
            </w:r>
          </w:p>
        </w:tc>
      </w:tr>
      <w:tr w14:paraId="3EBB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14:paraId="563EBA79">
            <w:pPr>
              <w:pStyle w:val="16"/>
              <w:snapToGrid w:val="0"/>
              <w:spacing w:line="360" w:lineRule="auto"/>
              <w:ind w:firstLine="0" w:firstLineChars="0"/>
              <w:jc w:val="both"/>
              <w:rPr>
                <w:rFonts w:ascii="Times New Roman" w:hAnsi="Times New Roman" w:eastAsia="仿宋_GB2312" w:cs="Times New Roman"/>
                <w:b/>
              </w:rPr>
            </w:pPr>
            <w:r>
              <w:rPr>
                <w:rFonts w:ascii="Times New Roman" w:hAnsi="Times New Roman" w:eastAsia="仿宋_GB2312" w:cs="Times New Roman"/>
              </w:rPr>
              <w:t>（公募REITs全称/公募REITs证券简称/公募REITs扩位简称）</w:t>
            </w:r>
          </w:p>
        </w:tc>
        <w:tc>
          <w:tcPr>
            <w:tcW w:w="2693" w:type="dxa"/>
            <w:vAlign w:val="center"/>
          </w:tcPr>
          <w:p w14:paraId="3F84A04E">
            <w:pPr>
              <w:pStyle w:val="16"/>
              <w:snapToGrid w:val="0"/>
              <w:spacing w:line="360" w:lineRule="auto"/>
              <w:ind w:firstLine="0" w:firstLineChars="0"/>
              <w:jc w:val="both"/>
              <w:rPr>
                <w:rFonts w:ascii="Times New Roman" w:hAnsi="Times New Roman" w:eastAsia="仿宋_GB2312" w:cs="Times New Roman"/>
                <w:b/>
              </w:rPr>
            </w:pPr>
          </w:p>
        </w:tc>
        <w:tc>
          <w:tcPr>
            <w:tcW w:w="2268" w:type="dxa"/>
            <w:vAlign w:val="center"/>
          </w:tcPr>
          <w:p w14:paraId="5E069CD6">
            <w:pPr>
              <w:pStyle w:val="16"/>
              <w:snapToGrid w:val="0"/>
              <w:spacing w:line="360" w:lineRule="auto"/>
              <w:ind w:firstLine="0" w:firstLineChars="0"/>
              <w:jc w:val="both"/>
              <w:rPr>
                <w:rFonts w:ascii="Times New Roman" w:hAnsi="Times New Roman" w:eastAsia="仿宋_GB2312" w:cs="Times New Roman"/>
                <w:b/>
              </w:rPr>
            </w:pPr>
          </w:p>
        </w:tc>
      </w:tr>
    </w:tbl>
    <w:p w14:paraId="4050C2AB">
      <w:pPr>
        <w:pStyle w:val="16"/>
        <w:snapToGrid w:val="0"/>
        <w:spacing w:before="156" w:beforeLines="5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上述变更自XX年XX月XX日起生效，本公募REIT的基金代码、XX等其他信息保持不变。本基金变更XX名称的事项对公募REIT持有人利益无实质性不利影响，且不涉及公募REIT合同当事人权利义务关系发生变化，本公司已就相关事项履行了规定的程序。本次变更不影响本公司旗下基金已签署的全部法律文件的效力及履行。</w:t>
      </w:r>
    </w:p>
    <w:p w14:paraId="7548F262">
      <w:pPr>
        <w:pStyle w:val="16"/>
        <w:snapToGrid w:val="0"/>
        <w:spacing w:before="156" w:beforeLines="5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三、其他需要提示的事项（如有）</w:t>
      </w:r>
    </w:p>
    <w:p w14:paraId="0A8798C2">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四、相关机构联系方式</w:t>
      </w:r>
    </w:p>
    <w:p w14:paraId="0EFC0766">
      <w:pPr>
        <w:pStyle w:val="16"/>
        <w:snapToGrid w:val="0"/>
        <w:spacing w:before="0" w:beforeAutospacing="0" w:after="0" w:afterAutospacing="0" w:line="360" w:lineRule="auto"/>
        <w:ind w:firstLine="602"/>
        <w:jc w:val="both"/>
        <w:rPr>
          <w:rFonts w:ascii="Times New Roman" w:hAnsi="Times New Roman" w:eastAsia="仿宋_GB2312" w:cs="Times New Roman"/>
          <w:b/>
          <w:bCs/>
          <w:sz w:val="30"/>
          <w:szCs w:val="30"/>
        </w:rPr>
      </w:pPr>
      <w:r>
        <w:rPr>
          <w:rFonts w:ascii="Times New Roman" w:hAnsi="Times New Roman" w:eastAsia="仿宋_GB2312" w:cs="Times New Roman"/>
          <w:b/>
          <w:bCs/>
          <w:sz w:val="30"/>
          <w:szCs w:val="30"/>
        </w:rPr>
        <w:t>五、风险提示</w:t>
      </w:r>
    </w:p>
    <w:p w14:paraId="75B47B04">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27E033AD">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特此公告</w:t>
      </w:r>
    </w:p>
    <w:p w14:paraId="5F2B4AFD">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pPr>
    </w:p>
    <w:p w14:paraId="1AE8AF45">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XX基金公司</w:t>
      </w:r>
    </w:p>
    <w:p w14:paraId="6B9897FF">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r>
        <w:rPr>
          <w:rFonts w:ascii="Times New Roman" w:hAnsi="Times New Roman" w:eastAsia="仿宋_GB2312" w:cs="Times New Roman"/>
          <w:sz w:val="30"/>
          <w:szCs w:val="30"/>
        </w:rPr>
        <w:t>XX年XX月XX日</w:t>
      </w:r>
    </w:p>
    <w:p w14:paraId="580BF8BD">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pPr>
    </w:p>
    <w:p w14:paraId="5E52421A">
      <w:pPr>
        <w:pStyle w:val="16"/>
        <w:snapToGrid w:val="0"/>
        <w:spacing w:before="0" w:beforeAutospacing="0" w:after="0" w:afterAutospacing="0" w:line="360" w:lineRule="auto"/>
        <w:ind w:firstLine="600"/>
        <w:jc w:val="right"/>
        <w:rPr>
          <w:rFonts w:ascii="Times New Roman" w:hAnsi="Times New Roman" w:eastAsia="仿宋_GB2312" w:cs="Times New Roman"/>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type="lines" w:linePitch="312" w:charSpace="0"/>
        </w:sectPr>
      </w:pPr>
    </w:p>
    <w:p w14:paraId="14BEB850">
      <w:pPr>
        <w:pStyle w:val="3"/>
        <w:spacing w:before="156" w:after="156"/>
        <w:ind w:firstLine="0" w:firstLineChars="0"/>
        <w:rPr>
          <w:rFonts w:ascii="Times New Roman" w:hAnsi="Times New Roman"/>
        </w:rPr>
      </w:pPr>
      <w:bookmarkStart w:id="55" w:name="_Toc217484346"/>
      <w:r>
        <w:rPr>
          <w:rFonts w:ascii="Times New Roman" w:hAnsi="Times New Roman"/>
        </w:rPr>
        <w:t>附件</w:t>
      </w:r>
      <w:r>
        <w:rPr>
          <w:rFonts w:hint="eastAsia" w:ascii="Times New Roman" w:hAnsi="Times New Roman"/>
        </w:rPr>
        <w:t xml:space="preserve">6  </w:t>
      </w:r>
      <w:r>
        <w:rPr>
          <w:rFonts w:ascii="Times New Roman" w:hAnsi="Times New Roman"/>
        </w:rPr>
        <w:t>限售公募REIT</w:t>
      </w:r>
      <w:r>
        <w:rPr>
          <w:rFonts w:hint="eastAsia" w:ascii="Times New Roman" w:hAnsi="Times New Roman"/>
        </w:rPr>
        <w:t>s</w:t>
      </w:r>
      <w:r>
        <w:rPr>
          <w:rFonts w:ascii="Times New Roman" w:hAnsi="Times New Roman"/>
        </w:rPr>
        <w:t>解除限售申请表</w:t>
      </w:r>
      <w:bookmarkEnd w:id="55"/>
    </w:p>
    <w:p w14:paraId="73B198DF">
      <w:pPr>
        <w:snapToGrid w:val="0"/>
        <w:spacing w:before="156" w:beforeLines="50"/>
        <w:ind w:firstLine="600"/>
        <w:rPr>
          <w:rFonts w:ascii="Times New Roman" w:hAnsi="Times New Roman"/>
          <w:szCs w:val="30"/>
        </w:rPr>
      </w:pPr>
      <w:r>
        <w:rPr>
          <w:rFonts w:ascii="Times New Roman" w:hAnsi="Times New Roman"/>
          <w:szCs w:val="30"/>
        </w:rPr>
        <w:t>证券代码：                         证券简称：</w:t>
      </w:r>
      <w:r>
        <w:rPr>
          <w:rFonts w:ascii="Times New Roman" w:hAnsi="Times New Roman"/>
          <w:szCs w:val="30"/>
        </w:rPr>
        <w:tab/>
      </w:r>
      <w:r>
        <w:rPr>
          <w:rFonts w:ascii="Times New Roman" w:hAnsi="Times New Roman"/>
          <w:szCs w:val="30"/>
        </w:rPr>
        <w:tab/>
      </w:r>
      <w:r>
        <w:rPr>
          <w:rFonts w:ascii="Times New Roman" w:hAnsi="Times New Roman"/>
          <w:szCs w:val="30"/>
        </w:rPr>
        <w:tab/>
      </w:r>
      <w:r>
        <w:rPr>
          <w:rFonts w:ascii="Times New Roman" w:hAnsi="Times New Roman"/>
          <w:szCs w:val="30"/>
        </w:rPr>
        <w:t xml:space="preserve">         查询日期：</w:t>
      </w:r>
    </w:p>
    <w:tbl>
      <w:tblPr>
        <w:tblStyle w:val="18"/>
        <w:tblW w:w="14190" w:type="dxa"/>
        <w:tblInd w:w="93" w:type="dxa"/>
        <w:tblLayout w:type="autofit"/>
        <w:tblCellMar>
          <w:top w:w="0" w:type="dxa"/>
          <w:left w:w="108" w:type="dxa"/>
          <w:bottom w:w="0" w:type="dxa"/>
          <w:right w:w="108" w:type="dxa"/>
        </w:tblCellMar>
      </w:tblPr>
      <w:tblGrid>
        <w:gridCol w:w="724"/>
        <w:gridCol w:w="1418"/>
        <w:gridCol w:w="850"/>
        <w:gridCol w:w="1276"/>
        <w:gridCol w:w="1276"/>
        <w:gridCol w:w="1701"/>
        <w:gridCol w:w="1292"/>
        <w:gridCol w:w="1259"/>
        <w:gridCol w:w="1338"/>
        <w:gridCol w:w="1639"/>
        <w:gridCol w:w="1417"/>
      </w:tblGrid>
      <w:tr w14:paraId="6FDF1D31">
        <w:tblPrEx>
          <w:tblCellMar>
            <w:top w:w="0" w:type="dxa"/>
            <w:left w:w="108" w:type="dxa"/>
            <w:bottom w:w="0" w:type="dxa"/>
            <w:right w:w="108" w:type="dxa"/>
          </w:tblCellMar>
        </w:tblPrEx>
        <w:trPr>
          <w:trHeight w:val="435" w:hRule="atLeast"/>
        </w:trPr>
        <w:tc>
          <w:tcPr>
            <w:tcW w:w="724" w:type="dxa"/>
            <w:tcBorders>
              <w:top w:val="single" w:color="auto" w:sz="8" w:space="0"/>
              <w:left w:val="single" w:color="auto" w:sz="8" w:space="0"/>
              <w:bottom w:val="single" w:color="auto" w:sz="8" w:space="0"/>
              <w:right w:val="single" w:color="auto" w:sz="8" w:space="0"/>
            </w:tcBorders>
            <w:vAlign w:val="center"/>
          </w:tcPr>
          <w:p w14:paraId="7F428B9C">
            <w:pPr>
              <w:snapToGrid w:val="0"/>
              <w:ind w:firstLine="0" w:firstLineChars="0"/>
              <w:jc w:val="center"/>
              <w:rPr>
                <w:rFonts w:ascii="Times New Roman" w:hAnsi="Times New Roman"/>
                <w:b/>
                <w:sz w:val="24"/>
                <w:szCs w:val="24"/>
              </w:rPr>
            </w:pPr>
            <w:r>
              <w:rPr>
                <w:rFonts w:ascii="Times New Roman" w:hAnsi="Times New Roman"/>
                <w:b/>
                <w:sz w:val="24"/>
                <w:szCs w:val="24"/>
              </w:rPr>
              <w:t>序号</w:t>
            </w:r>
          </w:p>
        </w:tc>
        <w:tc>
          <w:tcPr>
            <w:tcW w:w="1418" w:type="dxa"/>
            <w:tcBorders>
              <w:top w:val="single" w:color="auto" w:sz="8" w:space="0"/>
              <w:left w:val="nil"/>
              <w:bottom w:val="single" w:color="auto" w:sz="8" w:space="0"/>
              <w:right w:val="single" w:color="auto" w:sz="8" w:space="0"/>
            </w:tcBorders>
            <w:vAlign w:val="center"/>
          </w:tcPr>
          <w:p w14:paraId="36F2CF64">
            <w:pPr>
              <w:snapToGrid w:val="0"/>
              <w:ind w:firstLine="0" w:firstLineChars="0"/>
              <w:jc w:val="center"/>
              <w:rPr>
                <w:rFonts w:ascii="Times New Roman" w:hAnsi="Times New Roman"/>
                <w:b/>
                <w:sz w:val="24"/>
                <w:szCs w:val="24"/>
              </w:rPr>
            </w:pPr>
            <w:r>
              <w:rPr>
                <w:rFonts w:ascii="Times New Roman" w:hAnsi="Times New Roman"/>
                <w:b/>
                <w:sz w:val="24"/>
                <w:szCs w:val="24"/>
              </w:rPr>
              <w:t>证券账户</w:t>
            </w:r>
          </w:p>
        </w:tc>
        <w:tc>
          <w:tcPr>
            <w:tcW w:w="850" w:type="dxa"/>
            <w:tcBorders>
              <w:top w:val="single" w:color="auto" w:sz="8" w:space="0"/>
              <w:left w:val="nil"/>
              <w:bottom w:val="single" w:color="auto" w:sz="8" w:space="0"/>
              <w:right w:val="single" w:color="auto" w:sz="8" w:space="0"/>
            </w:tcBorders>
            <w:vAlign w:val="center"/>
          </w:tcPr>
          <w:p w14:paraId="1C0B0293">
            <w:pPr>
              <w:snapToGrid w:val="0"/>
              <w:ind w:firstLine="0" w:firstLineChars="0"/>
              <w:jc w:val="center"/>
              <w:rPr>
                <w:rFonts w:ascii="Times New Roman" w:hAnsi="Times New Roman"/>
                <w:b/>
                <w:sz w:val="24"/>
                <w:szCs w:val="24"/>
              </w:rPr>
            </w:pPr>
            <w:r>
              <w:rPr>
                <w:rFonts w:ascii="Times New Roman" w:hAnsi="Times New Roman"/>
                <w:b/>
                <w:sz w:val="24"/>
                <w:szCs w:val="24"/>
              </w:rPr>
              <w:t>证券类别</w:t>
            </w:r>
          </w:p>
        </w:tc>
        <w:tc>
          <w:tcPr>
            <w:tcW w:w="1276" w:type="dxa"/>
            <w:tcBorders>
              <w:top w:val="single" w:color="auto" w:sz="8" w:space="0"/>
              <w:left w:val="nil"/>
              <w:bottom w:val="single" w:color="auto" w:sz="8" w:space="0"/>
              <w:right w:val="single" w:color="auto" w:sz="8" w:space="0"/>
            </w:tcBorders>
            <w:vAlign w:val="center"/>
          </w:tcPr>
          <w:p w14:paraId="6D6E93AC">
            <w:pPr>
              <w:snapToGrid w:val="0"/>
              <w:ind w:firstLine="0" w:firstLineChars="0"/>
              <w:jc w:val="center"/>
              <w:rPr>
                <w:rFonts w:ascii="Times New Roman" w:hAnsi="Times New Roman"/>
                <w:b/>
                <w:sz w:val="24"/>
                <w:szCs w:val="24"/>
              </w:rPr>
            </w:pPr>
            <w:r>
              <w:rPr>
                <w:rFonts w:ascii="Times New Roman" w:hAnsi="Times New Roman"/>
                <w:b/>
                <w:sz w:val="24"/>
                <w:szCs w:val="24"/>
              </w:rPr>
              <w:t>流通类型</w:t>
            </w:r>
          </w:p>
        </w:tc>
        <w:tc>
          <w:tcPr>
            <w:tcW w:w="1276" w:type="dxa"/>
            <w:tcBorders>
              <w:top w:val="single" w:color="auto" w:sz="8" w:space="0"/>
              <w:left w:val="nil"/>
              <w:bottom w:val="single" w:color="auto" w:sz="8" w:space="0"/>
              <w:right w:val="single" w:color="auto" w:sz="8" w:space="0"/>
            </w:tcBorders>
            <w:vAlign w:val="center"/>
          </w:tcPr>
          <w:p w14:paraId="46241842">
            <w:pPr>
              <w:snapToGrid w:val="0"/>
              <w:ind w:firstLine="0" w:firstLineChars="0"/>
              <w:jc w:val="center"/>
              <w:rPr>
                <w:rFonts w:ascii="Times New Roman" w:hAnsi="Times New Roman"/>
                <w:b/>
                <w:sz w:val="24"/>
                <w:szCs w:val="24"/>
              </w:rPr>
            </w:pPr>
            <w:r>
              <w:rPr>
                <w:rFonts w:ascii="Times New Roman" w:hAnsi="Times New Roman"/>
                <w:b/>
                <w:sz w:val="24"/>
                <w:szCs w:val="24"/>
              </w:rPr>
              <w:t>挂牌年份</w:t>
            </w:r>
          </w:p>
        </w:tc>
        <w:tc>
          <w:tcPr>
            <w:tcW w:w="1701" w:type="dxa"/>
            <w:tcBorders>
              <w:top w:val="single" w:color="auto" w:sz="8" w:space="0"/>
              <w:left w:val="nil"/>
              <w:bottom w:val="single" w:color="auto" w:sz="8" w:space="0"/>
              <w:right w:val="single" w:color="auto" w:sz="8" w:space="0"/>
            </w:tcBorders>
            <w:vAlign w:val="center"/>
          </w:tcPr>
          <w:p w14:paraId="71C36FAB">
            <w:pPr>
              <w:snapToGrid w:val="0"/>
              <w:ind w:firstLine="0" w:firstLineChars="0"/>
              <w:jc w:val="center"/>
              <w:rPr>
                <w:rFonts w:ascii="Times New Roman" w:hAnsi="Times New Roman"/>
                <w:b/>
                <w:sz w:val="24"/>
                <w:szCs w:val="24"/>
              </w:rPr>
            </w:pPr>
            <w:r>
              <w:rPr>
                <w:rFonts w:ascii="Times New Roman" w:hAnsi="Times New Roman"/>
                <w:b/>
                <w:sz w:val="24"/>
                <w:szCs w:val="24"/>
              </w:rPr>
              <w:t>原持有数量</w:t>
            </w:r>
          </w:p>
        </w:tc>
        <w:tc>
          <w:tcPr>
            <w:tcW w:w="1292" w:type="dxa"/>
            <w:tcBorders>
              <w:top w:val="single" w:color="auto" w:sz="8" w:space="0"/>
              <w:left w:val="nil"/>
              <w:bottom w:val="single" w:color="auto" w:sz="8" w:space="0"/>
              <w:right w:val="single" w:color="auto" w:sz="8" w:space="0"/>
            </w:tcBorders>
            <w:vAlign w:val="center"/>
          </w:tcPr>
          <w:p w14:paraId="719FEF33">
            <w:pPr>
              <w:snapToGrid w:val="0"/>
              <w:ind w:firstLine="0" w:firstLineChars="0"/>
              <w:jc w:val="center"/>
              <w:rPr>
                <w:rFonts w:ascii="Times New Roman" w:hAnsi="Times New Roman"/>
                <w:b/>
                <w:sz w:val="24"/>
                <w:szCs w:val="24"/>
              </w:rPr>
            </w:pPr>
            <w:r>
              <w:rPr>
                <w:rFonts w:ascii="Times New Roman" w:hAnsi="Times New Roman"/>
                <w:b/>
                <w:sz w:val="24"/>
                <w:szCs w:val="24"/>
              </w:rPr>
              <w:t>冻结数量</w:t>
            </w:r>
          </w:p>
        </w:tc>
        <w:tc>
          <w:tcPr>
            <w:tcW w:w="1259" w:type="dxa"/>
            <w:tcBorders>
              <w:top w:val="single" w:color="auto" w:sz="8" w:space="0"/>
              <w:left w:val="nil"/>
              <w:bottom w:val="single" w:color="auto" w:sz="8" w:space="0"/>
              <w:right w:val="single" w:color="auto" w:sz="8" w:space="0"/>
            </w:tcBorders>
            <w:vAlign w:val="center"/>
          </w:tcPr>
          <w:p w14:paraId="1FA86FF0">
            <w:pPr>
              <w:snapToGrid w:val="0"/>
              <w:ind w:firstLine="0" w:firstLineChars="0"/>
              <w:jc w:val="center"/>
              <w:rPr>
                <w:rFonts w:ascii="Times New Roman" w:hAnsi="Times New Roman"/>
                <w:b/>
                <w:sz w:val="24"/>
                <w:szCs w:val="24"/>
              </w:rPr>
            </w:pPr>
            <w:r>
              <w:rPr>
                <w:rFonts w:ascii="Times New Roman" w:hAnsi="Times New Roman"/>
                <w:b/>
                <w:sz w:val="24"/>
                <w:szCs w:val="24"/>
              </w:rPr>
              <w:t>冻结编号</w:t>
            </w:r>
          </w:p>
        </w:tc>
        <w:tc>
          <w:tcPr>
            <w:tcW w:w="1338" w:type="dxa"/>
            <w:tcBorders>
              <w:top w:val="single" w:color="auto" w:sz="8" w:space="0"/>
              <w:left w:val="nil"/>
              <w:bottom w:val="single" w:color="auto" w:sz="8" w:space="0"/>
              <w:right w:val="single" w:color="auto" w:sz="8" w:space="0"/>
            </w:tcBorders>
            <w:vAlign w:val="center"/>
          </w:tcPr>
          <w:p w14:paraId="1BDB2022">
            <w:pPr>
              <w:snapToGrid w:val="0"/>
              <w:ind w:firstLine="0" w:firstLineChars="0"/>
              <w:jc w:val="center"/>
              <w:rPr>
                <w:rFonts w:ascii="Times New Roman" w:hAnsi="Times New Roman"/>
                <w:b/>
                <w:sz w:val="24"/>
                <w:szCs w:val="24"/>
              </w:rPr>
            </w:pPr>
            <w:r>
              <w:rPr>
                <w:rFonts w:ascii="Times New Roman" w:hAnsi="Times New Roman"/>
                <w:b/>
                <w:sz w:val="24"/>
                <w:szCs w:val="24"/>
              </w:rPr>
              <w:t>公司名称</w:t>
            </w:r>
          </w:p>
        </w:tc>
        <w:tc>
          <w:tcPr>
            <w:tcW w:w="1639" w:type="dxa"/>
            <w:tcBorders>
              <w:top w:val="single" w:color="auto" w:sz="8" w:space="0"/>
              <w:left w:val="nil"/>
              <w:bottom w:val="single" w:color="auto" w:sz="8" w:space="0"/>
              <w:right w:val="single" w:color="auto" w:sz="8" w:space="0"/>
            </w:tcBorders>
            <w:vAlign w:val="center"/>
          </w:tcPr>
          <w:p w14:paraId="406C78F1">
            <w:pPr>
              <w:snapToGrid w:val="0"/>
              <w:ind w:firstLine="0" w:firstLineChars="0"/>
              <w:jc w:val="center"/>
              <w:rPr>
                <w:rFonts w:ascii="Times New Roman" w:hAnsi="Times New Roman"/>
                <w:b/>
                <w:sz w:val="24"/>
                <w:szCs w:val="24"/>
              </w:rPr>
            </w:pPr>
            <w:r>
              <w:rPr>
                <w:rFonts w:ascii="Times New Roman" w:hAnsi="Times New Roman"/>
                <w:b/>
                <w:sz w:val="24"/>
                <w:szCs w:val="24"/>
              </w:rPr>
              <w:t>本次解除限售数量</w:t>
            </w:r>
          </w:p>
        </w:tc>
        <w:tc>
          <w:tcPr>
            <w:tcW w:w="1417" w:type="dxa"/>
            <w:tcBorders>
              <w:top w:val="single" w:color="auto" w:sz="8" w:space="0"/>
              <w:left w:val="nil"/>
              <w:bottom w:val="single" w:color="auto" w:sz="8" w:space="0"/>
              <w:right w:val="single" w:color="auto" w:sz="8" w:space="0"/>
            </w:tcBorders>
            <w:vAlign w:val="center"/>
          </w:tcPr>
          <w:p w14:paraId="1C687F0F">
            <w:pPr>
              <w:snapToGrid w:val="0"/>
              <w:ind w:firstLine="0" w:firstLineChars="0"/>
              <w:jc w:val="center"/>
              <w:rPr>
                <w:rFonts w:ascii="Times New Roman" w:hAnsi="Times New Roman"/>
                <w:b/>
                <w:sz w:val="24"/>
                <w:szCs w:val="24"/>
              </w:rPr>
            </w:pPr>
            <w:r>
              <w:rPr>
                <w:rFonts w:ascii="Times New Roman" w:hAnsi="Times New Roman"/>
                <w:b/>
                <w:sz w:val="24"/>
                <w:szCs w:val="24"/>
              </w:rPr>
              <w:t>剩余数量</w:t>
            </w:r>
          </w:p>
        </w:tc>
      </w:tr>
      <w:tr w14:paraId="0912240E">
        <w:tblPrEx>
          <w:tblCellMar>
            <w:top w:w="0" w:type="dxa"/>
            <w:left w:w="108" w:type="dxa"/>
            <w:bottom w:w="0" w:type="dxa"/>
            <w:right w:w="108" w:type="dxa"/>
          </w:tblCellMar>
        </w:tblPrEx>
        <w:trPr>
          <w:trHeight w:val="296" w:hRule="atLeast"/>
        </w:trPr>
        <w:tc>
          <w:tcPr>
            <w:tcW w:w="724" w:type="dxa"/>
            <w:tcBorders>
              <w:top w:val="nil"/>
              <w:left w:val="single" w:color="auto" w:sz="8" w:space="0"/>
              <w:bottom w:val="single" w:color="auto" w:sz="8" w:space="0"/>
              <w:right w:val="single" w:color="auto" w:sz="8" w:space="0"/>
            </w:tcBorders>
            <w:vAlign w:val="center"/>
          </w:tcPr>
          <w:p w14:paraId="5D6FCA39">
            <w:pPr>
              <w:ind w:firstLine="0" w:firstLineChars="0"/>
              <w:jc w:val="center"/>
              <w:rPr>
                <w:rFonts w:ascii="Times New Roman" w:hAnsi="Times New Roman"/>
                <w:szCs w:val="18"/>
              </w:rPr>
            </w:pPr>
          </w:p>
        </w:tc>
        <w:tc>
          <w:tcPr>
            <w:tcW w:w="1418" w:type="dxa"/>
            <w:tcBorders>
              <w:top w:val="nil"/>
              <w:left w:val="nil"/>
              <w:bottom w:val="single" w:color="auto" w:sz="8" w:space="0"/>
              <w:right w:val="single" w:color="auto" w:sz="8" w:space="0"/>
            </w:tcBorders>
            <w:vAlign w:val="center"/>
          </w:tcPr>
          <w:p w14:paraId="24ADDC6D">
            <w:pPr>
              <w:ind w:firstLine="0" w:firstLineChars="0"/>
              <w:jc w:val="center"/>
              <w:rPr>
                <w:rFonts w:ascii="Times New Roman" w:hAnsi="Times New Roman"/>
                <w:szCs w:val="18"/>
              </w:rPr>
            </w:pPr>
          </w:p>
        </w:tc>
        <w:tc>
          <w:tcPr>
            <w:tcW w:w="850" w:type="dxa"/>
            <w:tcBorders>
              <w:top w:val="nil"/>
              <w:left w:val="nil"/>
              <w:bottom w:val="single" w:color="auto" w:sz="8" w:space="0"/>
              <w:right w:val="single" w:color="auto" w:sz="8" w:space="0"/>
            </w:tcBorders>
            <w:vAlign w:val="center"/>
          </w:tcPr>
          <w:p w14:paraId="3CEE14C5">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149F94DF">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491EF78B">
            <w:pPr>
              <w:ind w:firstLine="0" w:firstLineChars="0"/>
              <w:jc w:val="center"/>
              <w:rPr>
                <w:rFonts w:ascii="Times New Roman" w:hAnsi="Times New Roman"/>
                <w:szCs w:val="18"/>
              </w:rPr>
            </w:pPr>
          </w:p>
        </w:tc>
        <w:tc>
          <w:tcPr>
            <w:tcW w:w="1701" w:type="dxa"/>
            <w:tcBorders>
              <w:top w:val="nil"/>
              <w:left w:val="nil"/>
              <w:bottom w:val="single" w:color="auto" w:sz="8" w:space="0"/>
              <w:right w:val="single" w:color="auto" w:sz="8" w:space="0"/>
            </w:tcBorders>
            <w:vAlign w:val="center"/>
          </w:tcPr>
          <w:p w14:paraId="440B62BE">
            <w:pPr>
              <w:ind w:firstLine="0" w:firstLineChars="0"/>
              <w:jc w:val="center"/>
              <w:rPr>
                <w:rFonts w:ascii="Times New Roman" w:hAnsi="Times New Roman"/>
                <w:szCs w:val="18"/>
              </w:rPr>
            </w:pPr>
          </w:p>
        </w:tc>
        <w:tc>
          <w:tcPr>
            <w:tcW w:w="1292" w:type="dxa"/>
            <w:tcBorders>
              <w:top w:val="nil"/>
              <w:left w:val="nil"/>
              <w:bottom w:val="single" w:color="auto" w:sz="8" w:space="0"/>
              <w:right w:val="single" w:color="auto" w:sz="8" w:space="0"/>
            </w:tcBorders>
            <w:vAlign w:val="center"/>
          </w:tcPr>
          <w:p w14:paraId="03D7E54C">
            <w:pPr>
              <w:ind w:firstLine="0" w:firstLineChars="0"/>
              <w:jc w:val="center"/>
              <w:rPr>
                <w:rFonts w:ascii="Times New Roman" w:hAnsi="Times New Roman"/>
                <w:szCs w:val="18"/>
              </w:rPr>
            </w:pPr>
          </w:p>
        </w:tc>
        <w:tc>
          <w:tcPr>
            <w:tcW w:w="1259" w:type="dxa"/>
            <w:tcBorders>
              <w:top w:val="nil"/>
              <w:left w:val="nil"/>
              <w:bottom w:val="single" w:color="auto" w:sz="8" w:space="0"/>
              <w:right w:val="single" w:color="auto" w:sz="8" w:space="0"/>
            </w:tcBorders>
            <w:vAlign w:val="center"/>
          </w:tcPr>
          <w:p w14:paraId="0C845906">
            <w:pPr>
              <w:ind w:firstLine="0" w:firstLineChars="0"/>
              <w:jc w:val="center"/>
              <w:rPr>
                <w:rFonts w:ascii="Times New Roman" w:hAnsi="Times New Roman"/>
                <w:szCs w:val="18"/>
              </w:rPr>
            </w:pPr>
          </w:p>
        </w:tc>
        <w:tc>
          <w:tcPr>
            <w:tcW w:w="1338" w:type="dxa"/>
            <w:tcBorders>
              <w:top w:val="nil"/>
              <w:left w:val="nil"/>
              <w:bottom w:val="single" w:color="auto" w:sz="8" w:space="0"/>
              <w:right w:val="single" w:color="auto" w:sz="8" w:space="0"/>
            </w:tcBorders>
            <w:vAlign w:val="center"/>
          </w:tcPr>
          <w:p w14:paraId="4C57E870">
            <w:pPr>
              <w:ind w:firstLine="0" w:firstLineChars="0"/>
              <w:jc w:val="center"/>
              <w:rPr>
                <w:rFonts w:ascii="Times New Roman" w:hAnsi="Times New Roman"/>
                <w:szCs w:val="18"/>
              </w:rPr>
            </w:pPr>
          </w:p>
        </w:tc>
        <w:tc>
          <w:tcPr>
            <w:tcW w:w="1639" w:type="dxa"/>
            <w:tcBorders>
              <w:top w:val="nil"/>
              <w:left w:val="nil"/>
              <w:bottom w:val="single" w:color="auto" w:sz="8" w:space="0"/>
              <w:right w:val="single" w:color="auto" w:sz="8" w:space="0"/>
            </w:tcBorders>
            <w:vAlign w:val="center"/>
          </w:tcPr>
          <w:p w14:paraId="637CDF6F">
            <w:pPr>
              <w:ind w:firstLine="0" w:firstLineChars="0"/>
              <w:jc w:val="center"/>
              <w:rPr>
                <w:rFonts w:ascii="Times New Roman" w:hAnsi="Times New Roman"/>
                <w:szCs w:val="18"/>
              </w:rPr>
            </w:pPr>
          </w:p>
        </w:tc>
        <w:tc>
          <w:tcPr>
            <w:tcW w:w="1417" w:type="dxa"/>
            <w:tcBorders>
              <w:top w:val="nil"/>
              <w:left w:val="nil"/>
              <w:bottom w:val="single" w:color="auto" w:sz="8" w:space="0"/>
              <w:right w:val="single" w:color="auto" w:sz="8" w:space="0"/>
            </w:tcBorders>
            <w:vAlign w:val="center"/>
          </w:tcPr>
          <w:p w14:paraId="4894A1DB">
            <w:pPr>
              <w:ind w:firstLine="0" w:firstLineChars="0"/>
              <w:jc w:val="center"/>
              <w:rPr>
                <w:rFonts w:ascii="Times New Roman" w:hAnsi="Times New Roman"/>
                <w:szCs w:val="18"/>
              </w:rPr>
            </w:pPr>
          </w:p>
        </w:tc>
      </w:tr>
      <w:tr w14:paraId="5F53AC31">
        <w:tblPrEx>
          <w:tblCellMar>
            <w:top w:w="0" w:type="dxa"/>
            <w:left w:w="108" w:type="dxa"/>
            <w:bottom w:w="0" w:type="dxa"/>
            <w:right w:w="108" w:type="dxa"/>
          </w:tblCellMar>
        </w:tblPrEx>
        <w:trPr>
          <w:trHeight w:val="235" w:hRule="atLeast"/>
        </w:trPr>
        <w:tc>
          <w:tcPr>
            <w:tcW w:w="724" w:type="dxa"/>
            <w:tcBorders>
              <w:top w:val="nil"/>
              <w:left w:val="single" w:color="auto" w:sz="8" w:space="0"/>
              <w:bottom w:val="single" w:color="auto" w:sz="8" w:space="0"/>
              <w:right w:val="single" w:color="auto" w:sz="8" w:space="0"/>
            </w:tcBorders>
            <w:vAlign w:val="center"/>
          </w:tcPr>
          <w:p w14:paraId="17FDEA3B">
            <w:pPr>
              <w:ind w:firstLine="0" w:firstLineChars="0"/>
              <w:jc w:val="center"/>
              <w:rPr>
                <w:rFonts w:ascii="Times New Roman" w:hAnsi="Times New Roman"/>
                <w:szCs w:val="18"/>
              </w:rPr>
            </w:pPr>
          </w:p>
        </w:tc>
        <w:tc>
          <w:tcPr>
            <w:tcW w:w="1418" w:type="dxa"/>
            <w:tcBorders>
              <w:top w:val="nil"/>
              <w:left w:val="nil"/>
              <w:bottom w:val="single" w:color="auto" w:sz="8" w:space="0"/>
              <w:right w:val="single" w:color="auto" w:sz="8" w:space="0"/>
            </w:tcBorders>
            <w:vAlign w:val="center"/>
          </w:tcPr>
          <w:p w14:paraId="030F954E">
            <w:pPr>
              <w:ind w:firstLine="0" w:firstLineChars="0"/>
              <w:jc w:val="center"/>
              <w:rPr>
                <w:rFonts w:ascii="Times New Roman" w:hAnsi="Times New Roman"/>
                <w:szCs w:val="18"/>
              </w:rPr>
            </w:pPr>
          </w:p>
        </w:tc>
        <w:tc>
          <w:tcPr>
            <w:tcW w:w="850" w:type="dxa"/>
            <w:tcBorders>
              <w:top w:val="nil"/>
              <w:left w:val="nil"/>
              <w:bottom w:val="single" w:color="auto" w:sz="8" w:space="0"/>
              <w:right w:val="single" w:color="auto" w:sz="8" w:space="0"/>
            </w:tcBorders>
            <w:vAlign w:val="center"/>
          </w:tcPr>
          <w:p w14:paraId="07DF89D6">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25B78893">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0CFF31DC">
            <w:pPr>
              <w:ind w:firstLine="0" w:firstLineChars="0"/>
              <w:jc w:val="center"/>
              <w:rPr>
                <w:rFonts w:ascii="Times New Roman" w:hAnsi="Times New Roman"/>
                <w:szCs w:val="18"/>
              </w:rPr>
            </w:pPr>
          </w:p>
        </w:tc>
        <w:tc>
          <w:tcPr>
            <w:tcW w:w="1701" w:type="dxa"/>
            <w:tcBorders>
              <w:top w:val="nil"/>
              <w:left w:val="nil"/>
              <w:bottom w:val="single" w:color="auto" w:sz="8" w:space="0"/>
              <w:right w:val="single" w:color="auto" w:sz="8" w:space="0"/>
            </w:tcBorders>
            <w:vAlign w:val="center"/>
          </w:tcPr>
          <w:p w14:paraId="35286D92">
            <w:pPr>
              <w:ind w:firstLine="0" w:firstLineChars="0"/>
              <w:jc w:val="center"/>
              <w:rPr>
                <w:rFonts w:ascii="Times New Roman" w:hAnsi="Times New Roman"/>
                <w:szCs w:val="18"/>
              </w:rPr>
            </w:pPr>
          </w:p>
        </w:tc>
        <w:tc>
          <w:tcPr>
            <w:tcW w:w="1292" w:type="dxa"/>
            <w:tcBorders>
              <w:top w:val="nil"/>
              <w:left w:val="nil"/>
              <w:bottom w:val="single" w:color="auto" w:sz="8" w:space="0"/>
              <w:right w:val="single" w:color="auto" w:sz="8" w:space="0"/>
            </w:tcBorders>
            <w:vAlign w:val="center"/>
          </w:tcPr>
          <w:p w14:paraId="6B005569">
            <w:pPr>
              <w:ind w:firstLine="0" w:firstLineChars="0"/>
              <w:jc w:val="center"/>
              <w:rPr>
                <w:rFonts w:ascii="Times New Roman" w:hAnsi="Times New Roman"/>
                <w:szCs w:val="18"/>
              </w:rPr>
            </w:pPr>
          </w:p>
        </w:tc>
        <w:tc>
          <w:tcPr>
            <w:tcW w:w="1259" w:type="dxa"/>
            <w:tcBorders>
              <w:top w:val="nil"/>
              <w:left w:val="nil"/>
              <w:bottom w:val="single" w:color="auto" w:sz="8" w:space="0"/>
              <w:right w:val="single" w:color="auto" w:sz="8" w:space="0"/>
            </w:tcBorders>
            <w:vAlign w:val="center"/>
          </w:tcPr>
          <w:p w14:paraId="06D99DC3">
            <w:pPr>
              <w:ind w:firstLine="0" w:firstLineChars="0"/>
              <w:jc w:val="center"/>
              <w:rPr>
                <w:rFonts w:ascii="Times New Roman" w:hAnsi="Times New Roman"/>
                <w:szCs w:val="18"/>
              </w:rPr>
            </w:pPr>
          </w:p>
        </w:tc>
        <w:tc>
          <w:tcPr>
            <w:tcW w:w="1338" w:type="dxa"/>
            <w:tcBorders>
              <w:top w:val="nil"/>
              <w:left w:val="nil"/>
              <w:bottom w:val="single" w:color="auto" w:sz="8" w:space="0"/>
              <w:right w:val="single" w:color="auto" w:sz="8" w:space="0"/>
            </w:tcBorders>
            <w:vAlign w:val="center"/>
          </w:tcPr>
          <w:p w14:paraId="65860067">
            <w:pPr>
              <w:ind w:firstLine="0" w:firstLineChars="0"/>
              <w:jc w:val="center"/>
              <w:rPr>
                <w:rFonts w:ascii="Times New Roman" w:hAnsi="Times New Roman"/>
                <w:szCs w:val="18"/>
              </w:rPr>
            </w:pPr>
          </w:p>
        </w:tc>
        <w:tc>
          <w:tcPr>
            <w:tcW w:w="1639" w:type="dxa"/>
            <w:tcBorders>
              <w:top w:val="nil"/>
              <w:left w:val="nil"/>
              <w:bottom w:val="single" w:color="auto" w:sz="8" w:space="0"/>
              <w:right w:val="single" w:color="auto" w:sz="8" w:space="0"/>
            </w:tcBorders>
            <w:vAlign w:val="center"/>
          </w:tcPr>
          <w:p w14:paraId="60CA62F5">
            <w:pPr>
              <w:ind w:firstLine="0" w:firstLineChars="0"/>
              <w:jc w:val="center"/>
              <w:rPr>
                <w:rFonts w:ascii="Times New Roman" w:hAnsi="Times New Roman"/>
                <w:szCs w:val="18"/>
              </w:rPr>
            </w:pPr>
          </w:p>
        </w:tc>
        <w:tc>
          <w:tcPr>
            <w:tcW w:w="1417" w:type="dxa"/>
            <w:tcBorders>
              <w:top w:val="nil"/>
              <w:left w:val="nil"/>
              <w:bottom w:val="single" w:color="auto" w:sz="8" w:space="0"/>
              <w:right w:val="single" w:color="auto" w:sz="8" w:space="0"/>
            </w:tcBorders>
            <w:vAlign w:val="center"/>
          </w:tcPr>
          <w:p w14:paraId="4F432E4A">
            <w:pPr>
              <w:ind w:firstLine="0" w:firstLineChars="0"/>
              <w:jc w:val="center"/>
              <w:rPr>
                <w:rFonts w:ascii="Times New Roman" w:hAnsi="Times New Roman"/>
                <w:szCs w:val="18"/>
              </w:rPr>
            </w:pPr>
          </w:p>
        </w:tc>
      </w:tr>
      <w:tr w14:paraId="265BFD7C">
        <w:tblPrEx>
          <w:tblCellMar>
            <w:top w:w="0" w:type="dxa"/>
            <w:left w:w="108" w:type="dxa"/>
            <w:bottom w:w="0" w:type="dxa"/>
            <w:right w:w="108" w:type="dxa"/>
          </w:tblCellMar>
        </w:tblPrEx>
        <w:trPr>
          <w:trHeight w:val="196" w:hRule="atLeast"/>
        </w:trPr>
        <w:tc>
          <w:tcPr>
            <w:tcW w:w="724" w:type="dxa"/>
            <w:tcBorders>
              <w:top w:val="nil"/>
              <w:left w:val="single" w:color="auto" w:sz="8" w:space="0"/>
              <w:bottom w:val="single" w:color="auto" w:sz="8" w:space="0"/>
              <w:right w:val="single" w:color="auto" w:sz="8" w:space="0"/>
            </w:tcBorders>
            <w:vAlign w:val="center"/>
          </w:tcPr>
          <w:p w14:paraId="2801AF71">
            <w:pPr>
              <w:ind w:firstLine="0" w:firstLineChars="0"/>
              <w:jc w:val="center"/>
              <w:rPr>
                <w:rFonts w:ascii="Times New Roman" w:hAnsi="Times New Roman"/>
                <w:szCs w:val="18"/>
              </w:rPr>
            </w:pPr>
          </w:p>
        </w:tc>
        <w:tc>
          <w:tcPr>
            <w:tcW w:w="1418" w:type="dxa"/>
            <w:tcBorders>
              <w:top w:val="nil"/>
              <w:left w:val="nil"/>
              <w:bottom w:val="single" w:color="auto" w:sz="8" w:space="0"/>
              <w:right w:val="single" w:color="auto" w:sz="8" w:space="0"/>
            </w:tcBorders>
            <w:vAlign w:val="center"/>
          </w:tcPr>
          <w:p w14:paraId="63B43B25">
            <w:pPr>
              <w:ind w:firstLine="0" w:firstLineChars="0"/>
              <w:jc w:val="center"/>
              <w:rPr>
                <w:rFonts w:ascii="Times New Roman" w:hAnsi="Times New Roman"/>
                <w:szCs w:val="18"/>
              </w:rPr>
            </w:pPr>
          </w:p>
        </w:tc>
        <w:tc>
          <w:tcPr>
            <w:tcW w:w="850" w:type="dxa"/>
            <w:tcBorders>
              <w:top w:val="nil"/>
              <w:left w:val="nil"/>
              <w:bottom w:val="single" w:color="auto" w:sz="8" w:space="0"/>
              <w:right w:val="single" w:color="auto" w:sz="8" w:space="0"/>
            </w:tcBorders>
            <w:vAlign w:val="center"/>
          </w:tcPr>
          <w:p w14:paraId="144DE405">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0B3144AC">
            <w:pPr>
              <w:ind w:firstLine="0" w:firstLineChars="0"/>
              <w:jc w:val="center"/>
              <w:rPr>
                <w:rFonts w:ascii="Times New Roman" w:hAnsi="Times New Roman"/>
                <w:szCs w:val="18"/>
              </w:rPr>
            </w:pPr>
          </w:p>
        </w:tc>
        <w:tc>
          <w:tcPr>
            <w:tcW w:w="1276" w:type="dxa"/>
            <w:tcBorders>
              <w:top w:val="nil"/>
              <w:left w:val="nil"/>
              <w:bottom w:val="single" w:color="auto" w:sz="8" w:space="0"/>
              <w:right w:val="single" w:color="auto" w:sz="8" w:space="0"/>
            </w:tcBorders>
            <w:vAlign w:val="center"/>
          </w:tcPr>
          <w:p w14:paraId="7C243E71">
            <w:pPr>
              <w:ind w:firstLine="0" w:firstLineChars="0"/>
              <w:jc w:val="center"/>
              <w:rPr>
                <w:rFonts w:ascii="Times New Roman" w:hAnsi="Times New Roman"/>
                <w:szCs w:val="18"/>
              </w:rPr>
            </w:pPr>
          </w:p>
        </w:tc>
        <w:tc>
          <w:tcPr>
            <w:tcW w:w="1701" w:type="dxa"/>
            <w:tcBorders>
              <w:top w:val="nil"/>
              <w:left w:val="nil"/>
              <w:bottom w:val="single" w:color="auto" w:sz="8" w:space="0"/>
              <w:right w:val="single" w:color="auto" w:sz="8" w:space="0"/>
            </w:tcBorders>
            <w:vAlign w:val="center"/>
          </w:tcPr>
          <w:p w14:paraId="157C6B97">
            <w:pPr>
              <w:ind w:firstLine="0" w:firstLineChars="0"/>
              <w:jc w:val="center"/>
              <w:rPr>
                <w:rFonts w:ascii="Times New Roman" w:hAnsi="Times New Roman"/>
                <w:szCs w:val="18"/>
              </w:rPr>
            </w:pPr>
          </w:p>
        </w:tc>
        <w:tc>
          <w:tcPr>
            <w:tcW w:w="1292" w:type="dxa"/>
            <w:tcBorders>
              <w:top w:val="nil"/>
              <w:left w:val="nil"/>
              <w:bottom w:val="single" w:color="auto" w:sz="8" w:space="0"/>
              <w:right w:val="single" w:color="auto" w:sz="8" w:space="0"/>
            </w:tcBorders>
            <w:vAlign w:val="center"/>
          </w:tcPr>
          <w:p w14:paraId="6138411E">
            <w:pPr>
              <w:ind w:firstLine="0" w:firstLineChars="0"/>
              <w:jc w:val="center"/>
              <w:rPr>
                <w:rFonts w:ascii="Times New Roman" w:hAnsi="Times New Roman"/>
                <w:szCs w:val="18"/>
              </w:rPr>
            </w:pPr>
          </w:p>
        </w:tc>
        <w:tc>
          <w:tcPr>
            <w:tcW w:w="1259" w:type="dxa"/>
            <w:tcBorders>
              <w:top w:val="nil"/>
              <w:left w:val="nil"/>
              <w:bottom w:val="single" w:color="auto" w:sz="8" w:space="0"/>
              <w:right w:val="single" w:color="auto" w:sz="8" w:space="0"/>
            </w:tcBorders>
            <w:vAlign w:val="center"/>
          </w:tcPr>
          <w:p w14:paraId="4626FDC1">
            <w:pPr>
              <w:ind w:firstLine="0" w:firstLineChars="0"/>
              <w:jc w:val="center"/>
              <w:rPr>
                <w:rFonts w:ascii="Times New Roman" w:hAnsi="Times New Roman"/>
                <w:szCs w:val="18"/>
              </w:rPr>
            </w:pPr>
          </w:p>
        </w:tc>
        <w:tc>
          <w:tcPr>
            <w:tcW w:w="1338" w:type="dxa"/>
            <w:tcBorders>
              <w:top w:val="nil"/>
              <w:left w:val="nil"/>
              <w:bottom w:val="single" w:color="auto" w:sz="8" w:space="0"/>
              <w:right w:val="single" w:color="auto" w:sz="8" w:space="0"/>
            </w:tcBorders>
            <w:vAlign w:val="center"/>
          </w:tcPr>
          <w:p w14:paraId="60E1B77E">
            <w:pPr>
              <w:ind w:firstLine="0" w:firstLineChars="0"/>
              <w:jc w:val="center"/>
              <w:rPr>
                <w:rFonts w:ascii="Times New Roman" w:hAnsi="Times New Roman"/>
                <w:szCs w:val="18"/>
              </w:rPr>
            </w:pPr>
          </w:p>
        </w:tc>
        <w:tc>
          <w:tcPr>
            <w:tcW w:w="1639" w:type="dxa"/>
            <w:tcBorders>
              <w:top w:val="nil"/>
              <w:left w:val="nil"/>
              <w:bottom w:val="single" w:color="auto" w:sz="8" w:space="0"/>
              <w:right w:val="single" w:color="auto" w:sz="8" w:space="0"/>
            </w:tcBorders>
            <w:vAlign w:val="center"/>
          </w:tcPr>
          <w:p w14:paraId="4E494992">
            <w:pPr>
              <w:ind w:firstLine="0" w:firstLineChars="0"/>
              <w:jc w:val="center"/>
              <w:rPr>
                <w:rFonts w:ascii="Times New Roman" w:hAnsi="Times New Roman"/>
                <w:szCs w:val="18"/>
              </w:rPr>
            </w:pPr>
          </w:p>
        </w:tc>
        <w:tc>
          <w:tcPr>
            <w:tcW w:w="1417" w:type="dxa"/>
            <w:tcBorders>
              <w:top w:val="nil"/>
              <w:left w:val="nil"/>
              <w:bottom w:val="single" w:color="auto" w:sz="8" w:space="0"/>
              <w:right w:val="single" w:color="auto" w:sz="8" w:space="0"/>
            </w:tcBorders>
            <w:vAlign w:val="center"/>
          </w:tcPr>
          <w:p w14:paraId="6C9835FC">
            <w:pPr>
              <w:ind w:firstLine="0" w:firstLineChars="0"/>
              <w:jc w:val="center"/>
              <w:rPr>
                <w:rFonts w:ascii="Times New Roman" w:hAnsi="Times New Roman"/>
                <w:szCs w:val="18"/>
              </w:rPr>
            </w:pPr>
          </w:p>
        </w:tc>
      </w:tr>
      <w:tr w14:paraId="60B2E7D6">
        <w:tblPrEx>
          <w:tblCellMar>
            <w:top w:w="0" w:type="dxa"/>
            <w:left w:w="108" w:type="dxa"/>
            <w:bottom w:w="0" w:type="dxa"/>
            <w:right w:w="108" w:type="dxa"/>
          </w:tblCellMar>
        </w:tblPrEx>
        <w:trPr>
          <w:trHeight w:val="145" w:hRule="atLeast"/>
        </w:trPr>
        <w:tc>
          <w:tcPr>
            <w:tcW w:w="2142" w:type="dxa"/>
            <w:gridSpan w:val="2"/>
            <w:tcBorders>
              <w:top w:val="single" w:color="auto" w:sz="8" w:space="0"/>
              <w:left w:val="single" w:color="auto" w:sz="8" w:space="0"/>
              <w:bottom w:val="single" w:color="auto" w:sz="8" w:space="0"/>
              <w:right w:val="single" w:color="000000" w:sz="8" w:space="0"/>
            </w:tcBorders>
            <w:vAlign w:val="center"/>
          </w:tcPr>
          <w:p w14:paraId="3218381E">
            <w:pPr>
              <w:widowControl/>
              <w:ind w:firstLine="0" w:firstLineChars="0"/>
              <w:jc w:val="center"/>
              <w:rPr>
                <w:rFonts w:ascii="Times New Roman" w:hAnsi="Times New Roman"/>
                <w:b/>
                <w:kern w:val="0"/>
                <w:szCs w:val="21"/>
              </w:rPr>
            </w:pPr>
            <w:r>
              <w:rPr>
                <w:rFonts w:ascii="Times New Roman" w:hAnsi="Times New Roman"/>
                <w:b/>
                <w:kern w:val="0"/>
                <w:szCs w:val="21"/>
              </w:rPr>
              <w:t>合计</w:t>
            </w:r>
          </w:p>
        </w:tc>
        <w:tc>
          <w:tcPr>
            <w:tcW w:w="850" w:type="dxa"/>
            <w:tcBorders>
              <w:top w:val="nil"/>
              <w:left w:val="nil"/>
              <w:bottom w:val="single" w:color="auto" w:sz="8" w:space="0"/>
              <w:right w:val="single" w:color="auto" w:sz="8" w:space="0"/>
            </w:tcBorders>
            <w:vAlign w:val="center"/>
          </w:tcPr>
          <w:p w14:paraId="662DA7F8">
            <w:pPr>
              <w:widowControl/>
              <w:ind w:firstLine="0" w:firstLineChars="0"/>
              <w:jc w:val="center"/>
              <w:rPr>
                <w:rFonts w:ascii="Times New Roman" w:hAnsi="Times New Roman"/>
                <w:b/>
                <w:kern w:val="0"/>
                <w:szCs w:val="21"/>
              </w:rPr>
            </w:pPr>
          </w:p>
        </w:tc>
        <w:tc>
          <w:tcPr>
            <w:tcW w:w="1276" w:type="dxa"/>
            <w:tcBorders>
              <w:top w:val="nil"/>
              <w:left w:val="nil"/>
              <w:bottom w:val="single" w:color="auto" w:sz="8" w:space="0"/>
              <w:right w:val="single" w:color="auto" w:sz="8" w:space="0"/>
            </w:tcBorders>
            <w:vAlign w:val="center"/>
          </w:tcPr>
          <w:p w14:paraId="0091C378">
            <w:pPr>
              <w:widowControl/>
              <w:ind w:firstLine="0" w:firstLineChars="0"/>
              <w:jc w:val="center"/>
              <w:rPr>
                <w:rFonts w:ascii="Times New Roman" w:hAnsi="Times New Roman"/>
                <w:b/>
                <w:kern w:val="0"/>
                <w:szCs w:val="21"/>
              </w:rPr>
            </w:pPr>
          </w:p>
        </w:tc>
        <w:tc>
          <w:tcPr>
            <w:tcW w:w="1276" w:type="dxa"/>
            <w:tcBorders>
              <w:top w:val="nil"/>
              <w:left w:val="nil"/>
              <w:bottom w:val="single" w:color="auto" w:sz="8" w:space="0"/>
              <w:right w:val="single" w:color="auto" w:sz="8" w:space="0"/>
            </w:tcBorders>
            <w:vAlign w:val="center"/>
          </w:tcPr>
          <w:p w14:paraId="7304750F">
            <w:pPr>
              <w:widowControl/>
              <w:ind w:firstLine="0" w:firstLineChars="0"/>
              <w:jc w:val="center"/>
              <w:rPr>
                <w:rFonts w:ascii="Times New Roman" w:hAnsi="Times New Roman"/>
                <w:b/>
                <w:kern w:val="0"/>
                <w:szCs w:val="21"/>
              </w:rPr>
            </w:pPr>
          </w:p>
        </w:tc>
        <w:tc>
          <w:tcPr>
            <w:tcW w:w="1701" w:type="dxa"/>
            <w:tcBorders>
              <w:top w:val="nil"/>
              <w:left w:val="nil"/>
              <w:bottom w:val="single" w:color="auto" w:sz="8" w:space="0"/>
              <w:right w:val="single" w:color="auto" w:sz="8" w:space="0"/>
            </w:tcBorders>
            <w:vAlign w:val="center"/>
          </w:tcPr>
          <w:p w14:paraId="0D0BAF93">
            <w:pPr>
              <w:ind w:firstLine="0" w:firstLineChars="0"/>
              <w:jc w:val="center"/>
              <w:rPr>
                <w:rFonts w:ascii="Times New Roman" w:hAnsi="Times New Roman"/>
                <w:b/>
                <w:szCs w:val="21"/>
              </w:rPr>
            </w:pPr>
          </w:p>
        </w:tc>
        <w:tc>
          <w:tcPr>
            <w:tcW w:w="1292" w:type="dxa"/>
            <w:tcBorders>
              <w:top w:val="nil"/>
              <w:left w:val="nil"/>
              <w:bottom w:val="single" w:color="auto" w:sz="8" w:space="0"/>
              <w:right w:val="single" w:color="auto" w:sz="8" w:space="0"/>
            </w:tcBorders>
            <w:vAlign w:val="center"/>
          </w:tcPr>
          <w:p w14:paraId="145B4171">
            <w:pPr>
              <w:ind w:firstLine="0" w:firstLineChars="0"/>
              <w:jc w:val="center"/>
              <w:rPr>
                <w:rFonts w:ascii="Times New Roman" w:hAnsi="Times New Roman"/>
                <w:b/>
                <w:szCs w:val="21"/>
              </w:rPr>
            </w:pPr>
          </w:p>
        </w:tc>
        <w:tc>
          <w:tcPr>
            <w:tcW w:w="1259" w:type="dxa"/>
            <w:tcBorders>
              <w:top w:val="nil"/>
              <w:left w:val="nil"/>
              <w:bottom w:val="single" w:color="auto" w:sz="8" w:space="0"/>
              <w:right w:val="single" w:color="auto" w:sz="8" w:space="0"/>
            </w:tcBorders>
            <w:vAlign w:val="center"/>
          </w:tcPr>
          <w:p w14:paraId="0BEA57E2">
            <w:pPr>
              <w:widowControl/>
              <w:ind w:firstLine="0" w:firstLineChars="0"/>
              <w:jc w:val="center"/>
              <w:rPr>
                <w:rFonts w:ascii="Times New Roman" w:hAnsi="Times New Roman"/>
                <w:b/>
                <w:kern w:val="0"/>
                <w:szCs w:val="21"/>
              </w:rPr>
            </w:pPr>
          </w:p>
        </w:tc>
        <w:tc>
          <w:tcPr>
            <w:tcW w:w="1338" w:type="dxa"/>
            <w:tcBorders>
              <w:top w:val="nil"/>
              <w:left w:val="nil"/>
              <w:bottom w:val="single" w:color="auto" w:sz="8" w:space="0"/>
              <w:right w:val="single" w:color="auto" w:sz="8" w:space="0"/>
            </w:tcBorders>
            <w:vAlign w:val="center"/>
          </w:tcPr>
          <w:p w14:paraId="383A25AF">
            <w:pPr>
              <w:widowControl/>
              <w:ind w:firstLine="0" w:firstLineChars="0"/>
              <w:jc w:val="center"/>
              <w:rPr>
                <w:rFonts w:ascii="Times New Roman" w:hAnsi="Times New Roman"/>
                <w:b/>
                <w:kern w:val="0"/>
                <w:szCs w:val="21"/>
              </w:rPr>
            </w:pPr>
          </w:p>
        </w:tc>
        <w:tc>
          <w:tcPr>
            <w:tcW w:w="1639" w:type="dxa"/>
            <w:tcBorders>
              <w:top w:val="nil"/>
              <w:left w:val="nil"/>
              <w:bottom w:val="single" w:color="auto" w:sz="8" w:space="0"/>
              <w:right w:val="single" w:color="auto" w:sz="8" w:space="0"/>
            </w:tcBorders>
            <w:vAlign w:val="center"/>
          </w:tcPr>
          <w:p w14:paraId="29C48756">
            <w:pPr>
              <w:widowControl/>
              <w:ind w:firstLine="0" w:firstLineChars="0"/>
              <w:jc w:val="center"/>
              <w:rPr>
                <w:rFonts w:ascii="Times New Roman" w:hAnsi="Times New Roman"/>
                <w:b/>
                <w:kern w:val="0"/>
                <w:szCs w:val="21"/>
              </w:rPr>
            </w:pPr>
          </w:p>
        </w:tc>
        <w:tc>
          <w:tcPr>
            <w:tcW w:w="1417" w:type="dxa"/>
            <w:tcBorders>
              <w:top w:val="nil"/>
              <w:left w:val="nil"/>
              <w:bottom w:val="single" w:color="auto" w:sz="8" w:space="0"/>
              <w:right w:val="single" w:color="auto" w:sz="8" w:space="0"/>
            </w:tcBorders>
            <w:vAlign w:val="center"/>
          </w:tcPr>
          <w:p w14:paraId="7388C322">
            <w:pPr>
              <w:widowControl/>
              <w:ind w:firstLine="0" w:firstLineChars="0"/>
              <w:jc w:val="center"/>
              <w:rPr>
                <w:rFonts w:ascii="Times New Roman" w:hAnsi="Times New Roman"/>
                <w:b/>
                <w:kern w:val="0"/>
                <w:szCs w:val="21"/>
              </w:rPr>
            </w:pPr>
          </w:p>
        </w:tc>
      </w:tr>
    </w:tbl>
    <w:p w14:paraId="4A74D994">
      <w:pPr>
        <w:snapToGrid w:val="0"/>
        <w:ind w:firstLine="600"/>
        <w:rPr>
          <w:rFonts w:ascii="Times New Roman" w:hAnsi="Times New Roman"/>
          <w:szCs w:val="30"/>
        </w:rPr>
      </w:pPr>
      <w:r>
        <w:rPr>
          <w:rFonts w:ascii="Times New Roman" w:hAnsi="Times New Roman"/>
          <w:szCs w:val="30"/>
        </w:rPr>
        <w:t>注：1、本表必须为打印稿，手写无效。本表仅需填写“限售公募REITs”的信息，如该持有人还持有无限售条件的公募REITs不能计入；</w:t>
      </w:r>
    </w:p>
    <w:p w14:paraId="7FCBDEA0">
      <w:pPr>
        <w:snapToGrid w:val="0"/>
        <w:ind w:firstLine="600"/>
        <w:rPr>
          <w:rFonts w:ascii="Times New Roman" w:hAnsi="Times New Roman"/>
          <w:szCs w:val="30"/>
        </w:rPr>
      </w:pPr>
      <w:r>
        <w:rPr>
          <w:rFonts w:ascii="Times New Roman" w:hAnsi="Times New Roman"/>
          <w:szCs w:val="30"/>
        </w:rPr>
        <w:t>2、股东持有多个证券账户须分别填写持有记录，如果股东数量多，此表可以分为多页，每页须盖章；</w:t>
      </w:r>
    </w:p>
    <w:p w14:paraId="4B28947D">
      <w:pPr>
        <w:snapToGrid w:val="0"/>
        <w:ind w:firstLine="600"/>
        <w:rPr>
          <w:rFonts w:ascii="Times New Roman" w:hAnsi="Times New Roman"/>
          <w:szCs w:val="30"/>
        </w:rPr>
      </w:pPr>
      <w:r>
        <w:rPr>
          <w:rFonts w:ascii="Times New Roman" w:hAnsi="Times New Roman"/>
          <w:szCs w:val="30"/>
        </w:rPr>
        <w:t>3、对于同一证券账户中持有公募REITs分批解除限售的，如该证券账户中拟解除限售的限售公募REITs包含不同证券类别、流通类型、挂牌年份的，需按照明细分别填写上市数量；</w:t>
      </w:r>
    </w:p>
    <w:p w14:paraId="6ED55CB1">
      <w:pPr>
        <w:snapToGrid w:val="0"/>
        <w:ind w:firstLine="600"/>
        <w:rPr>
          <w:rFonts w:ascii="Times New Roman" w:hAnsi="Times New Roman"/>
          <w:szCs w:val="30"/>
        </w:rPr>
      </w:pPr>
      <w:r>
        <w:rPr>
          <w:rFonts w:ascii="Times New Roman" w:hAnsi="Times New Roman"/>
          <w:szCs w:val="30"/>
        </w:rPr>
        <w:t>4、对于同一证券账户所持证券部分存在权利限制（包括但不限于司法冻结、质押登记、临时保管等）情况且需部分解除限售的，原则上对两种不同状态的证券按照其所占该账户原限售证券数量的比例确定不同的解禁数量；如有不同解禁要求的，应由基金管理人指定解禁的具体数据及明细。对于存在司法轮候冻结（或已质押登记的份额被司法冻结）情况的，须先由相关司法机关向中国证券登记结算有限责任公司上海分公司出具确认解除限售后要求司法轮候冻结（或冻结已质押登记的份额）的数量及明细（包括具体指向的已流通证券及尚未流通证券）的司法文书后，基金管理人方能提交申请。”</w:t>
      </w:r>
    </w:p>
    <w:p w14:paraId="0A51F7FA">
      <w:pPr>
        <w:snapToGrid w:val="0"/>
        <w:ind w:firstLine="600"/>
        <w:rPr>
          <w:rFonts w:ascii="Times New Roman" w:hAnsi="Times New Roman"/>
          <w:szCs w:val="30"/>
        </w:rPr>
      </w:pPr>
      <w:r>
        <w:rPr>
          <w:rFonts w:ascii="Times New Roman" w:hAnsi="Times New Roman"/>
          <w:szCs w:val="30"/>
        </w:rPr>
        <w:t>5、在解禁前除发生司法轮候冻结以外，对于其他由于扣划、冻结、解冻或股份性质变更，导致表中解禁证券类别、流通类型或冻结数量明细发生变化的，为确保解禁，将继续对原指定的证券进行解除限售操作。</w:t>
      </w:r>
    </w:p>
    <w:p w14:paraId="05A2E719">
      <w:pPr>
        <w:snapToGrid w:val="0"/>
        <w:ind w:firstLine="600"/>
        <w:rPr>
          <w:rFonts w:ascii="Times New Roman" w:hAnsi="Times New Roman"/>
          <w:szCs w:val="30"/>
        </w:rPr>
      </w:pPr>
      <w:r>
        <w:rPr>
          <w:rFonts w:ascii="Times New Roman" w:hAnsi="Times New Roman"/>
          <w:szCs w:val="30"/>
        </w:rPr>
        <w:t>6、如果本次申请中仅个别账户部分解禁或不解禁，为便于填写，可先将部分解禁或不解禁的账户全部列出，对于其他全部解禁的账户，可统一按以下方式填写：“证券账户”填写为“其他全部账户”，“原持有证券数量”填写上述账户持有合计数量，“本次解禁数量”即为“原持有证券数量”，“剩余证券数量”填写为“0”。</w:t>
      </w:r>
    </w:p>
    <w:p w14:paraId="5588632D">
      <w:pPr>
        <w:snapToGrid w:val="0"/>
        <w:ind w:firstLine="600"/>
        <w:rPr>
          <w:rFonts w:ascii="Times New Roman" w:hAnsi="Times New Roman"/>
          <w:szCs w:val="30"/>
        </w:rPr>
      </w:pPr>
      <w:r>
        <w:rPr>
          <w:rFonts w:ascii="Times New Roman" w:hAnsi="Times New Roman"/>
          <w:szCs w:val="30"/>
        </w:rPr>
        <w:t>7、每个相关持有人的上市数量不能超过法律、法规的有关规定。</w:t>
      </w:r>
    </w:p>
    <w:p w14:paraId="6C519EEB">
      <w:pPr>
        <w:snapToGrid w:val="0"/>
        <w:ind w:firstLine="675" w:firstLineChars="225"/>
        <w:rPr>
          <w:rFonts w:ascii="Times New Roman" w:hAnsi="Times New Roman"/>
          <w:szCs w:val="30"/>
        </w:rPr>
      </w:pPr>
      <w:r>
        <w:rPr>
          <w:rFonts w:ascii="Times New Roman" w:hAnsi="Times New Roman"/>
          <w:szCs w:val="30"/>
        </w:rPr>
        <w:t>本公司已知晓并遵守上述注意事项，保证上述材料和信息的真实、准确、完整、合法，特向上海证券交易所申请办理限售公募REITs解除限售申请事宜。</w:t>
      </w:r>
    </w:p>
    <w:p w14:paraId="124A9AF4">
      <w:pPr>
        <w:snapToGrid w:val="0"/>
        <w:ind w:firstLine="675" w:firstLineChars="225"/>
        <w:rPr>
          <w:rFonts w:ascii="Times New Roman" w:hAnsi="Times New Roman"/>
          <w:szCs w:val="30"/>
        </w:rPr>
      </w:pPr>
    </w:p>
    <w:p w14:paraId="5327469A">
      <w:pPr>
        <w:snapToGrid w:val="0"/>
        <w:ind w:firstLine="4050" w:firstLineChars="1350"/>
        <w:jc w:val="center"/>
        <w:rPr>
          <w:rFonts w:ascii="Times New Roman" w:hAnsi="Times New Roman"/>
          <w:szCs w:val="30"/>
        </w:rPr>
      </w:pPr>
      <w:r>
        <w:rPr>
          <w:rFonts w:ascii="Times New Roman" w:hAnsi="Times New Roman"/>
          <w:szCs w:val="30"/>
        </w:rPr>
        <w:t>（基金管理人全称）（盖章）</w:t>
      </w:r>
    </w:p>
    <w:p w14:paraId="24CC521F">
      <w:pPr>
        <w:snapToGrid w:val="0"/>
        <w:ind w:firstLine="4050" w:firstLineChars="1350"/>
        <w:jc w:val="center"/>
        <w:rPr>
          <w:rFonts w:ascii="Times New Roman" w:hAnsi="Times New Roman"/>
          <w:szCs w:val="30"/>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7"/>
        <w:gridCol w:w="7087"/>
      </w:tblGrid>
      <w:tr w14:paraId="2AB4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Pr>
          <w:p w14:paraId="4D773060">
            <w:pPr>
              <w:snapToGrid w:val="0"/>
              <w:ind w:firstLine="480"/>
              <w:rPr>
                <w:rFonts w:ascii="Times New Roman" w:hAnsi="Times New Roman"/>
                <w:sz w:val="24"/>
                <w:szCs w:val="24"/>
              </w:rPr>
            </w:pPr>
            <w:r>
              <w:rPr>
                <w:rFonts w:ascii="Times New Roman" w:hAnsi="Times New Roman"/>
                <w:sz w:val="24"/>
                <w:szCs w:val="24"/>
              </w:rPr>
              <w:t>中国结算上海分公司</w:t>
            </w:r>
            <w:r>
              <w:rPr>
                <w:rFonts w:ascii="Times New Roman" w:hAnsi="Times New Roman"/>
                <w:sz w:val="24"/>
                <w:szCs w:val="24"/>
                <w:u w:val="single"/>
              </w:rPr>
              <w:t>发行人业务</w:t>
            </w:r>
            <w:r>
              <w:rPr>
                <w:rFonts w:ascii="Times New Roman" w:hAnsi="Times New Roman"/>
                <w:sz w:val="24"/>
                <w:szCs w:val="24"/>
              </w:rPr>
              <w:t>部：</w:t>
            </w:r>
          </w:p>
          <w:p w14:paraId="7087A6CB">
            <w:pPr>
              <w:snapToGrid w:val="0"/>
              <w:ind w:firstLine="480"/>
              <w:rPr>
                <w:rFonts w:ascii="Times New Roman" w:hAnsi="Times New Roman"/>
                <w:sz w:val="24"/>
                <w:szCs w:val="24"/>
              </w:rPr>
            </w:pPr>
            <w:r>
              <w:rPr>
                <w:rFonts w:ascii="Times New Roman" w:hAnsi="Times New Roman"/>
                <w:sz w:val="24"/>
                <w:szCs w:val="24"/>
              </w:rPr>
              <w:t>初审：</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复核：</w:t>
            </w:r>
          </w:p>
          <w:p w14:paraId="1F16A45F">
            <w:pPr>
              <w:snapToGrid w:val="0"/>
              <w:ind w:firstLine="480"/>
              <w:rPr>
                <w:rFonts w:ascii="Times New Roman" w:hAnsi="Times New Roman"/>
                <w:sz w:val="24"/>
                <w:szCs w:val="24"/>
              </w:rPr>
            </w:pPr>
            <w:r>
              <w:rPr>
                <w:rFonts w:ascii="Times New Roman" w:hAnsi="Times New Roman"/>
                <w:sz w:val="24"/>
                <w:szCs w:val="24"/>
              </w:rPr>
              <w:t>日期：</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日期：</w:t>
            </w:r>
          </w:p>
          <w:p w14:paraId="42AC9645">
            <w:pPr>
              <w:snapToGrid w:val="0"/>
              <w:ind w:firstLine="480"/>
              <w:rPr>
                <w:rFonts w:ascii="Times New Roman" w:hAnsi="Times New Roman"/>
                <w:sz w:val="24"/>
                <w:szCs w:val="24"/>
              </w:rPr>
            </w:pPr>
            <w:r>
              <w:rPr>
                <w:rFonts w:ascii="Times New Roman" w:hAnsi="Times New Roman"/>
                <w:sz w:val="24"/>
                <w:szCs w:val="24"/>
              </w:rPr>
              <w:t>中国结算上海分公司发行人业务部对上表中：证券账户/证券类别/流通类型/挂牌年份/原持有数量/冻结数量/冻结编号进行审核确认。</w:t>
            </w:r>
          </w:p>
        </w:tc>
        <w:tc>
          <w:tcPr>
            <w:tcW w:w="7087" w:type="dxa"/>
          </w:tcPr>
          <w:p w14:paraId="720DB306">
            <w:pPr>
              <w:snapToGrid w:val="0"/>
              <w:ind w:firstLine="480"/>
              <w:rPr>
                <w:rFonts w:ascii="Times New Roman" w:hAnsi="Times New Roman"/>
                <w:sz w:val="24"/>
                <w:szCs w:val="24"/>
              </w:rPr>
            </w:pPr>
            <w:r>
              <w:rPr>
                <w:rFonts w:ascii="Times New Roman" w:hAnsi="Times New Roman"/>
                <w:sz w:val="24"/>
                <w:szCs w:val="24"/>
              </w:rPr>
              <w:t>上海证券交易所</w:t>
            </w:r>
            <w:r>
              <w:rPr>
                <w:rFonts w:ascii="Times New Roman" w:hAnsi="Times New Roman"/>
                <w:sz w:val="24"/>
                <w:szCs w:val="24"/>
                <w:u w:val="single"/>
              </w:rPr>
              <w:t xml:space="preserve">         </w:t>
            </w:r>
            <w:r>
              <w:rPr>
                <w:rFonts w:ascii="Times New Roman" w:hAnsi="Times New Roman"/>
                <w:sz w:val="24"/>
                <w:szCs w:val="24"/>
              </w:rPr>
              <w:t>部</w:t>
            </w:r>
          </w:p>
          <w:p w14:paraId="1299E4D8">
            <w:pPr>
              <w:snapToGrid w:val="0"/>
              <w:ind w:firstLine="480"/>
              <w:rPr>
                <w:rFonts w:ascii="Times New Roman" w:hAnsi="Times New Roman"/>
                <w:sz w:val="24"/>
                <w:szCs w:val="24"/>
              </w:rPr>
            </w:pPr>
            <w:r>
              <w:rPr>
                <w:rFonts w:ascii="Times New Roman" w:hAnsi="Times New Roman"/>
                <w:sz w:val="24"/>
                <w:szCs w:val="24"/>
              </w:rPr>
              <w:t>初审：</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复核：</w:t>
            </w:r>
          </w:p>
          <w:p w14:paraId="34ECE918">
            <w:pPr>
              <w:snapToGrid w:val="0"/>
              <w:ind w:firstLine="480"/>
              <w:rPr>
                <w:rFonts w:ascii="Times New Roman" w:hAnsi="Times New Roman"/>
                <w:sz w:val="24"/>
                <w:szCs w:val="24"/>
              </w:rPr>
            </w:pPr>
            <w:r>
              <w:rPr>
                <w:rFonts w:ascii="Times New Roman" w:hAnsi="Times New Roman"/>
                <w:sz w:val="24"/>
                <w:szCs w:val="24"/>
              </w:rPr>
              <w:t>日期：</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日期：</w:t>
            </w:r>
          </w:p>
          <w:p w14:paraId="7FB70127">
            <w:pPr>
              <w:snapToGrid w:val="0"/>
              <w:ind w:firstLine="480"/>
              <w:rPr>
                <w:rFonts w:ascii="Times New Roman" w:hAnsi="Times New Roman"/>
                <w:sz w:val="24"/>
                <w:szCs w:val="24"/>
              </w:rPr>
            </w:pPr>
            <w:r>
              <w:rPr>
                <w:rFonts w:ascii="Times New Roman" w:hAnsi="Times New Roman"/>
                <w:sz w:val="24"/>
                <w:szCs w:val="24"/>
              </w:rPr>
              <w:t>上海证券交易所</w:t>
            </w:r>
            <w:r>
              <w:rPr>
                <w:rFonts w:ascii="Times New Roman" w:hAnsi="Times New Roman"/>
                <w:sz w:val="24"/>
                <w:szCs w:val="24"/>
                <w:u w:val="single"/>
              </w:rPr>
              <w:t xml:space="preserve">        部</w:t>
            </w:r>
            <w:r>
              <w:rPr>
                <w:rFonts w:ascii="Times New Roman" w:hAnsi="Times New Roman"/>
                <w:sz w:val="24"/>
                <w:szCs w:val="24"/>
              </w:rPr>
              <w:t>对上表中：本次上市数量/剩余数量进行审核确认。</w:t>
            </w:r>
          </w:p>
        </w:tc>
      </w:tr>
    </w:tbl>
    <w:p w14:paraId="5B6DF1EB">
      <w:pPr>
        <w:pStyle w:val="16"/>
        <w:snapToGrid w:val="0"/>
        <w:spacing w:before="0" w:beforeAutospacing="0" w:after="0" w:afterAutospacing="0" w:line="360" w:lineRule="auto"/>
        <w:ind w:firstLine="600"/>
        <w:jc w:val="both"/>
        <w:rPr>
          <w:rFonts w:ascii="Times New Roman" w:hAnsi="Times New Roman" w:eastAsia="仿宋_GB2312" w:cs="Times New Roman"/>
          <w:sz w:val="30"/>
          <w:szCs w:val="30"/>
        </w:rPr>
        <w:sectPr>
          <w:pgSz w:w="16838" w:h="11906" w:orient="landscape"/>
          <w:pgMar w:top="1797" w:right="1440" w:bottom="1797" w:left="1440" w:header="851" w:footer="992" w:gutter="0"/>
          <w:cols w:space="720" w:num="1"/>
          <w:docGrid w:type="linesAndChars" w:linePitch="312" w:charSpace="0"/>
        </w:sectPr>
      </w:pPr>
    </w:p>
    <w:p w14:paraId="23E69CA3">
      <w:pPr>
        <w:pStyle w:val="3"/>
        <w:spacing w:before="120" w:after="120"/>
        <w:ind w:firstLine="0" w:firstLineChars="0"/>
        <w:rPr>
          <w:rFonts w:ascii="Times New Roman" w:hAnsi="Times New Roman"/>
        </w:rPr>
      </w:pPr>
      <w:bookmarkStart w:id="56" w:name="_Toc217484347"/>
      <w:r>
        <w:rPr>
          <w:rFonts w:ascii="Times New Roman" w:hAnsi="Times New Roman"/>
        </w:rPr>
        <w:t>附件</w:t>
      </w:r>
      <w:r>
        <w:rPr>
          <w:rFonts w:hint="eastAsia" w:ascii="Times New Roman" w:hAnsi="Times New Roman"/>
        </w:rPr>
        <w:t>7  公募</w:t>
      </w:r>
      <w:r>
        <w:rPr>
          <w:rFonts w:ascii="Times New Roman" w:hAnsi="Times New Roman"/>
        </w:rPr>
        <w:t>REITs场外份额解锁申请表</w:t>
      </w:r>
      <w:bookmarkEnd w:id="56"/>
    </w:p>
    <w:tbl>
      <w:tblPr>
        <w:tblStyle w:val="18"/>
        <w:tblW w:w="55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069"/>
        <w:gridCol w:w="1383"/>
        <w:gridCol w:w="1133"/>
        <w:gridCol w:w="1418"/>
        <w:gridCol w:w="1133"/>
        <w:gridCol w:w="1610"/>
        <w:gridCol w:w="1497"/>
      </w:tblGrid>
      <w:tr w14:paraId="22B8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93" w:hRule="atLeast"/>
          <w:jc w:val="center"/>
        </w:trPr>
        <w:tc>
          <w:tcPr>
            <w:tcW w:w="578" w:type="pct"/>
            <w:vAlign w:val="center"/>
          </w:tcPr>
          <w:p w14:paraId="6113F201">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基金代码</w:t>
            </w:r>
          </w:p>
        </w:tc>
        <w:tc>
          <w:tcPr>
            <w:tcW w:w="748" w:type="pct"/>
            <w:vAlign w:val="center"/>
          </w:tcPr>
          <w:p w14:paraId="5537F391">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代理人代码</w:t>
            </w:r>
          </w:p>
        </w:tc>
        <w:tc>
          <w:tcPr>
            <w:tcW w:w="613" w:type="pct"/>
            <w:vAlign w:val="center"/>
          </w:tcPr>
          <w:p w14:paraId="5E87EE65">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份额类别</w:t>
            </w:r>
          </w:p>
        </w:tc>
        <w:tc>
          <w:tcPr>
            <w:tcW w:w="767" w:type="pct"/>
            <w:vAlign w:val="center"/>
          </w:tcPr>
          <w:p w14:paraId="1FD1880A">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基金账户</w:t>
            </w:r>
          </w:p>
        </w:tc>
        <w:tc>
          <w:tcPr>
            <w:tcW w:w="613" w:type="pct"/>
            <w:vAlign w:val="center"/>
          </w:tcPr>
          <w:p w14:paraId="445C97F6">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交易账户</w:t>
            </w:r>
          </w:p>
        </w:tc>
        <w:tc>
          <w:tcPr>
            <w:tcW w:w="871" w:type="pct"/>
            <w:vAlign w:val="center"/>
          </w:tcPr>
          <w:p w14:paraId="2F3E9847">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申请解锁份额</w:t>
            </w:r>
          </w:p>
        </w:tc>
        <w:tc>
          <w:tcPr>
            <w:tcW w:w="809" w:type="pct"/>
            <w:vAlign w:val="center"/>
          </w:tcPr>
          <w:p w14:paraId="0F64A274">
            <w:pPr>
              <w:autoSpaceDE w:val="0"/>
              <w:autoSpaceDN w:val="0"/>
              <w:adjustRightInd w:val="0"/>
              <w:ind w:firstLine="0" w:firstLineChars="0"/>
              <w:jc w:val="center"/>
              <w:rPr>
                <w:rFonts w:ascii="Times New Roman" w:hAnsi="Times New Roman"/>
                <w:b/>
                <w:color w:val="000000"/>
                <w:sz w:val="24"/>
              </w:rPr>
            </w:pPr>
            <w:r>
              <w:rPr>
                <w:rFonts w:ascii="Times New Roman" w:hAnsi="Times New Roman"/>
                <w:b/>
                <w:color w:val="000000"/>
                <w:sz w:val="24"/>
              </w:rPr>
              <w:t>解锁生效日</w:t>
            </w:r>
          </w:p>
        </w:tc>
      </w:tr>
      <w:tr w14:paraId="3BCC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93" w:hRule="atLeast"/>
          <w:jc w:val="center"/>
        </w:trPr>
        <w:tc>
          <w:tcPr>
            <w:tcW w:w="578" w:type="pct"/>
            <w:vAlign w:val="center"/>
          </w:tcPr>
          <w:p w14:paraId="2D73DF10">
            <w:pPr>
              <w:autoSpaceDE w:val="0"/>
              <w:autoSpaceDN w:val="0"/>
              <w:adjustRightInd w:val="0"/>
              <w:ind w:firstLine="0" w:firstLineChars="0"/>
              <w:jc w:val="center"/>
              <w:rPr>
                <w:rFonts w:ascii="Times New Roman" w:hAnsi="Times New Roman"/>
                <w:b/>
                <w:color w:val="000000"/>
                <w:sz w:val="24"/>
              </w:rPr>
            </w:pPr>
          </w:p>
        </w:tc>
        <w:tc>
          <w:tcPr>
            <w:tcW w:w="748" w:type="pct"/>
            <w:vAlign w:val="center"/>
          </w:tcPr>
          <w:p w14:paraId="514123DB">
            <w:pPr>
              <w:autoSpaceDE w:val="0"/>
              <w:autoSpaceDN w:val="0"/>
              <w:adjustRightInd w:val="0"/>
              <w:ind w:firstLine="0" w:firstLineChars="0"/>
              <w:jc w:val="center"/>
              <w:rPr>
                <w:rFonts w:ascii="Times New Roman" w:hAnsi="Times New Roman"/>
                <w:b/>
                <w:color w:val="000000"/>
                <w:sz w:val="24"/>
              </w:rPr>
            </w:pPr>
          </w:p>
        </w:tc>
        <w:tc>
          <w:tcPr>
            <w:tcW w:w="613" w:type="pct"/>
            <w:vAlign w:val="center"/>
          </w:tcPr>
          <w:p w14:paraId="4B09677E">
            <w:pPr>
              <w:autoSpaceDE w:val="0"/>
              <w:autoSpaceDN w:val="0"/>
              <w:adjustRightInd w:val="0"/>
              <w:ind w:firstLine="0" w:firstLineChars="0"/>
              <w:jc w:val="center"/>
              <w:rPr>
                <w:rFonts w:ascii="Times New Roman" w:hAnsi="Times New Roman"/>
                <w:b/>
                <w:color w:val="000000"/>
                <w:sz w:val="24"/>
              </w:rPr>
            </w:pPr>
          </w:p>
        </w:tc>
        <w:tc>
          <w:tcPr>
            <w:tcW w:w="767" w:type="pct"/>
            <w:vAlign w:val="center"/>
          </w:tcPr>
          <w:p w14:paraId="42D42BEF">
            <w:pPr>
              <w:autoSpaceDE w:val="0"/>
              <w:autoSpaceDN w:val="0"/>
              <w:adjustRightInd w:val="0"/>
              <w:ind w:firstLine="0" w:firstLineChars="0"/>
              <w:jc w:val="center"/>
              <w:rPr>
                <w:rFonts w:ascii="Times New Roman" w:hAnsi="Times New Roman"/>
                <w:b/>
                <w:color w:val="000000"/>
                <w:sz w:val="24"/>
              </w:rPr>
            </w:pPr>
          </w:p>
        </w:tc>
        <w:tc>
          <w:tcPr>
            <w:tcW w:w="613" w:type="pct"/>
            <w:vAlign w:val="center"/>
          </w:tcPr>
          <w:p w14:paraId="60A63D86">
            <w:pPr>
              <w:autoSpaceDE w:val="0"/>
              <w:autoSpaceDN w:val="0"/>
              <w:adjustRightInd w:val="0"/>
              <w:ind w:firstLine="0" w:firstLineChars="0"/>
              <w:jc w:val="center"/>
              <w:rPr>
                <w:rFonts w:ascii="Times New Roman" w:hAnsi="Times New Roman"/>
                <w:b/>
                <w:color w:val="000000"/>
                <w:sz w:val="24"/>
              </w:rPr>
            </w:pPr>
          </w:p>
        </w:tc>
        <w:tc>
          <w:tcPr>
            <w:tcW w:w="871" w:type="pct"/>
            <w:vAlign w:val="center"/>
          </w:tcPr>
          <w:p w14:paraId="64932561">
            <w:pPr>
              <w:autoSpaceDE w:val="0"/>
              <w:autoSpaceDN w:val="0"/>
              <w:adjustRightInd w:val="0"/>
              <w:ind w:firstLine="0" w:firstLineChars="0"/>
              <w:jc w:val="center"/>
              <w:rPr>
                <w:rFonts w:ascii="Times New Roman" w:hAnsi="Times New Roman"/>
                <w:b/>
                <w:color w:val="000000"/>
                <w:sz w:val="24"/>
              </w:rPr>
            </w:pPr>
          </w:p>
        </w:tc>
        <w:tc>
          <w:tcPr>
            <w:tcW w:w="809" w:type="pct"/>
            <w:vAlign w:val="center"/>
          </w:tcPr>
          <w:p w14:paraId="7C0DE30F">
            <w:pPr>
              <w:autoSpaceDE w:val="0"/>
              <w:autoSpaceDN w:val="0"/>
              <w:adjustRightInd w:val="0"/>
              <w:ind w:firstLine="0" w:firstLineChars="0"/>
              <w:jc w:val="center"/>
              <w:rPr>
                <w:rFonts w:ascii="Times New Roman" w:hAnsi="Times New Roman"/>
                <w:b/>
                <w:color w:val="000000"/>
                <w:sz w:val="24"/>
              </w:rPr>
            </w:pPr>
          </w:p>
        </w:tc>
      </w:tr>
    </w:tbl>
    <w:p w14:paraId="38318EDC">
      <w:pPr>
        <w:ind w:firstLine="600"/>
        <w:rPr>
          <w:rFonts w:ascii="Times New Roman" w:hAnsi="Times New Roman"/>
          <w:szCs w:val="21"/>
        </w:rPr>
      </w:pPr>
      <w:r>
        <w:rPr>
          <w:rFonts w:ascii="Times New Roman" w:hAnsi="Times New Roman"/>
          <w:szCs w:val="21"/>
        </w:rPr>
        <w:t>（注：系统在线提供EXCEL下载；“份额类别”填写“前收费”“后收费”）</w:t>
      </w:r>
    </w:p>
    <w:p w14:paraId="60426849">
      <w:pPr>
        <w:widowControl/>
        <w:ind w:firstLine="640"/>
        <w:jc w:val="left"/>
        <w:rPr>
          <w:rFonts w:ascii="Times New Roman" w:hAnsi="Times New Roman" w:eastAsia="黑体"/>
          <w:color w:val="000000"/>
          <w:kern w:val="0"/>
          <w:sz w:val="32"/>
          <w:szCs w:val="32"/>
        </w:rPr>
      </w:pPr>
      <w:r>
        <w:rPr>
          <w:rFonts w:ascii="Times New Roman" w:hAnsi="Times New Roman" w:eastAsia="黑体"/>
          <w:sz w:val="32"/>
          <w:szCs w:val="32"/>
        </w:rPr>
        <w:br w:type="page"/>
      </w:r>
    </w:p>
    <w:p w14:paraId="6EA7949B">
      <w:pPr>
        <w:pStyle w:val="3"/>
        <w:spacing w:before="120" w:after="120"/>
        <w:ind w:firstLine="0" w:firstLineChars="0"/>
        <w:rPr>
          <w:rFonts w:ascii="Times New Roman" w:hAnsi="Times New Roman"/>
        </w:rPr>
      </w:pPr>
      <w:bookmarkStart w:id="57" w:name="_Toc217484348"/>
      <w:r>
        <w:rPr>
          <w:rFonts w:ascii="Times New Roman" w:hAnsi="Times New Roman"/>
        </w:rPr>
        <w:t>附件</w:t>
      </w:r>
      <w:r>
        <w:rPr>
          <w:rFonts w:hint="eastAsia" w:ascii="Times New Roman" w:hAnsi="Times New Roman"/>
        </w:rPr>
        <w:t>8</w:t>
      </w:r>
      <w:bookmarkStart w:id="58" w:name="_Toc70604265"/>
      <w:r>
        <w:rPr>
          <w:rFonts w:hint="eastAsia" w:ascii="Times New Roman" w:hAnsi="Times New Roman"/>
        </w:rPr>
        <w:t xml:space="preserve"> </w:t>
      </w:r>
      <w:r>
        <w:rPr>
          <w:rFonts w:ascii="Times New Roman" w:hAnsi="Times New Roman"/>
        </w:rPr>
        <w:t>《</w:t>
      </w:r>
      <w:r>
        <w:rPr>
          <w:rFonts w:hint="eastAsia" w:ascii="Times New Roman" w:hAnsi="Times New Roman"/>
        </w:rPr>
        <w:t>公募</w:t>
      </w:r>
      <w:r>
        <w:rPr>
          <w:rFonts w:ascii="Times New Roman" w:hAnsi="Times New Roman"/>
        </w:rPr>
        <w:t>REIT</w:t>
      </w:r>
      <w:r>
        <w:rPr>
          <w:rFonts w:hint="eastAsia" w:ascii="Times New Roman" w:hAnsi="Times New Roman"/>
        </w:rPr>
        <w:t>s</w:t>
      </w:r>
      <w:r>
        <w:rPr>
          <w:rFonts w:ascii="Times New Roman" w:hAnsi="Times New Roman"/>
        </w:rPr>
        <w:t>份额解除限售/解锁的公告》必备要素</w:t>
      </w:r>
      <w:bookmarkEnd w:id="57"/>
      <w:bookmarkEnd w:id="58"/>
    </w:p>
    <w:p w14:paraId="2DFCE137">
      <w:pPr>
        <w:spacing w:line="360" w:lineRule="auto"/>
        <w:ind w:firstLine="602"/>
        <w:rPr>
          <w:rFonts w:ascii="仿宋_GB2312" w:hAnsi="Times New Roman"/>
          <w:szCs w:val="30"/>
        </w:rPr>
      </w:pPr>
      <w:r>
        <w:rPr>
          <w:rFonts w:hint="eastAsia" w:ascii="仿宋_GB2312" w:hAnsi="Times New Roman"/>
          <w:b/>
          <w:szCs w:val="30"/>
        </w:rPr>
        <w:t>一、公告基本信息</w:t>
      </w:r>
    </w:p>
    <w:p w14:paraId="5958CBD4">
      <w:pPr>
        <w:spacing w:line="360" w:lineRule="auto"/>
        <w:ind w:firstLine="600"/>
        <w:rPr>
          <w:rFonts w:ascii="仿宋_GB2312" w:hAnsi="Times New Roman"/>
          <w:szCs w:val="30"/>
        </w:rPr>
      </w:pPr>
      <w:r>
        <w:rPr>
          <w:rFonts w:hint="eastAsia" w:ascii="仿宋_GB2312" w:hAnsi="Times New Roman"/>
          <w:szCs w:val="30"/>
        </w:rPr>
        <w:t>证券代码：</w:t>
      </w:r>
    </w:p>
    <w:p w14:paraId="3E905D7B">
      <w:pPr>
        <w:spacing w:line="360" w:lineRule="auto"/>
        <w:ind w:firstLine="600"/>
        <w:rPr>
          <w:rFonts w:ascii="仿宋_GB2312" w:hAnsi="Times New Roman"/>
          <w:szCs w:val="30"/>
        </w:rPr>
      </w:pPr>
      <w:r>
        <w:rPr>
          <w:rFonts w:hint="eastAsia" w:ascii="仿宋_GB2312" w:hAnsi="Times New Roman"/>
          <w:szCs w:val="30"/>
        </w:rPr>
        <w:t>证券简称：</w:t>
      </w:r>
    </w:p>
    <w:p w14:paraId="435F0CE1">
      <w:pPr>
        <w:spacing w:line="360" w:lineRule="auto"/>
        <w:ind w:firstLine="600"/>
        <w:rPr>
          <w:rFonts w:ascii="仿宋_GB2312" w:hAnsi="Times New Roman"/>
          <w:szCs w:val="30"/>
        </w:rPr>
      </w:pPr>
      <w:r>
        <w:rPr>
          <w:rFonts w:hint="eastAsia" w:ascii="仿宋_GB2312" w:hAnsi="Times New Roman"/>
          <w:szCs w:val="30"/>
        </w:rPr>
        <w:t>证券全称：</w:t>
      </w:r>
    </w:p>
    <w:p w14:paraId="307DDB5F">
      <w:pPr>
        <w:spacing w:line="360" w:lineRule="auto"/>
        <w:ind w:firstLine="600"/>
        <w:rPr>
          <w:rFonts w:ascii="仿宋_GB2312" w:hAnsi="Times New Roman"/>
          <w:szCs w:val="30"/>
        </w:rPr>
      </w:pPr>
      <w:r>
        <w:rPr>
          <w:rFonts w:hint="eastAsia" w:ascii="仿宋_GB2312" w:hAnsi="Times New Roman"/>
          <w:szCs w:val="30"/>
        </w:rPr>
        <w:t xml:space="preserve">业务类型：场内解除限售□  场外解除锁定□  </w:t>
      </w:r>
    </w:p>
    <w:p w14:paraId="675597DD">
      <w:pPr>
        <w:spacing w:line="360" w:lineRule="auto"/>
        <w:ind w:firstLine="600"/>
        <w:rPr>
          <w:rFonts w:ascii="仿宋_GB2312" w:hAnsi="Times New Roman"/>
          <w:szCs w:val="30"/>
        </w:rPr>
      </w:pPr>
      <w:r>
        <w:rPr>
          <w:rFonts w:hint="eastAsia" w:ascii="仿宋_GB2312" w:hAnsi="Times New Roman"/>
          <w:szCs w:val="30"/>
        </w:rPr>
        <w:t>生效时间：年 月 日</w:t>
      </w:r>
    </w:p>
    <w:p w14:paraId="59AFD6A5">
      <w:pPr>
        <w:spacing w:line="360" w:lineRule="auto"/>
        <w:ind w:firstLine="602"/>
        <w:rPr>
          <w:rFonts w:ascii="仿宋_GB2312" w:hAnsi="Times New Roman"/>
          <w:b/>
          <w:szCs w:val="30"/>
        </w:rPr>
      </w:pPr>
      <w:r>
        <w:rPr>
          <w:rFonts w:hint="eastAsia" w:ascii="仿宋_GB2312" w:hAnsi="Times New Roman"/>
          <w:b/>
          <w:szCs w:val="30"/>
        </w:rPr>
        <w:t>二、公告文件模板</w:t>
      </w:r>
    </w:p>
    <w:p w14:paraId="49CA5E38">
      <w:pPr>
        <w:spacing w:line="360" w:lineRule="auto"/>
        <w:ind w:firstLine="602"/>
        <w:rPr>
          <w:rFonts w:ascii="Times New Roman" w:hAnsi="Times New Roman"/>
          <w:b/>
          <w:szCs w:val="30"/>
        </w:rPr>
      </w:pPr>
      <w:r>
        <w:rPr>
          <w:rFonts w:ascii="Times New Roman" w:hAnsi="Times New Roman"/>
          <w:b/>
          <w:szCs w:val="30"/>
        </w:rPr>
        <w:t>（一）公募REITs场内份额解除限售</w:t>
      </w:r>
    </w:p>
    <w:p w14:paraId="738D61DB">
      <w:pPr>
        <w:spacing w:line="360" w:lineRule="auto"/>
        <w:ind w:firstLine="602"/>
        <w:rPr>
          <w:rFonts w:ascii="Times New Roman" w:hAnsi="Times New Roman"/>
          <w:b/>
          <w:szCs w:val="30"/>
        </w:rPr>
      </w:pPr>
      <w:r>
        <w:rPr>
          <w:rFonts w:ascii="Times New Roman" w:hAnsi="Times New Roman"/>
          <w:b/>
          <w:szCs w:val="30"/>
        </w:rPr>
        <w:t>本次解除限售的份额情况</w:t>
      </w:r>
    </w:p>
    <w:tbl>
      <w:tblPr>
        <w:tblStyle w:val="18"/>
        <w:tblW w:w="48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088"/>
        <w:gridCol w:w="1794"/>
        <w:gridCol w:w="1703"/>
        <w:gridCol w:w="1844"/>
      </w:tblGrid>
      <w:tr w14:paraId="7593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67" w:type="pct"/>
            <w:vAlign w:val="center"/>
          </w:tcPr>
          <w:p w14:paraId="11F014C2">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序号</w:t>
            </w:r>
          </w:p>
        </w:tc>
        <w:tc>
          <w:tcPr>
            <w:tcW w:w="1274" w:type="pct"/>
            <w:vAlign w:val="center"/>
          </w:tcPr>
          <w:p w14:paraId="4259163E">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证券账户名称</w:t>
            </w:r>
          </w:p>
        </w:tc>
        <w:tc>
          <w:tcPr>
            <w:tcW w:w="1095" w:type="pct"/>
            <w:vAlign w:val="center"/>
          </w:tcPr>
          <w:p w14:paraId="6EB7121A">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限售份额总量</w:t>
            </w:r>
          </w:p>
        </w:tc>
        <w:tc>
          <w:tcPr>
            <w:tcW w:w="1039" w:type="pct"/>
            <w:vAlign w:val="center"/>
          </w:tcPr>
          <w:p w14:paraId="003E5786">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限售类型</w:t>
            </w:r>
          </w:p>
        </w:tc>
        <w:tc>
          <w:tcPr>
            <w:tcW w:w="1125" w:type="pct"/>
            <w:vAlign w:val="center"/>
          </w:tcPr>
          <w:p w14:paraId="72B06EB1">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限售期（月）</w:t>
            </w:r>
          </w:p>
        </w:tc>
      </w:tr>
      <w:tr w14:paraId="044F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67" w:type="pct"/>
            <w:vAlign w:val="center"/>
          </w:tcPr>
          <w:p w14:paraId="34BAB0D4">
            <w:pPr>
              <w:ind w:firstLine="0" w:firstLineChars="0"/>
              <w:jc w:val="center"/>
              <w:rPr>
                <w:rFonts w:ascii="Times New Roman" w:hAnsi="Times New Roman"/>
                <w:sz w:val="24"/>
                <w:szCs w:val="24"/>
              </w:rPr>
            </w:pPr>
            <w:r>
              <w:rPr>
                <w:rFonts w:ascii="Times New Roman" w:hAnsi="Times New Roman"/>
                <w:sz w:val="24"/>
                <w:szCs w:val="24"/>
              </w:rPr>
              <w:t>1</w:t>
            </w:r>
          </w:p>
        </w:tc>
        <w:tc>
          <w:tcPr>
            <w:tcW w:w="1274" w:type="pct"/>
            <w:vAlign w:val="center"/>
          </w:tcPr>
          <w:p w14:paraId="791E91D9">
            <w:pPr>
              <w:ind w:firstLine="0" w:firstLineChars="0"/>
              <w:jc w:val="center"/>
              <w:rPr>
                <w:rFonts w:ascii="Times New Roman" w:hAnsi="Times New Roman"/>
                <w:sz w:val="24"/>
                <w:szCs w:val="24"/>
              </w:rPr>
            </w:pPr>
          </w:p>
        </w:tc>
        <w:tc>
          <w:tcPr>
            <w:tcW w:w="1095" w:type="pct"/>
            <w:vAlign w:val="center"/>
          </w:tcPr>
          <w:p w14:paraId="24CE340F">
            <w:pPr>
              <w:ind w:firstLine="0" w:firstLineChars="0"/>
              <w:jc w:val="center"/>
              <w:rPr>
                <w:rFonts w:ascii="Times New Roman" w:hAnsi="Times New Roman"/>
                <w:sz w:val="24"/>
                <w:szCs w:val="24"/>
              </w:rPr>
            </w:pPr>
          </w:p>
        </w:tc>
        <w:tc>
          <w:tcPr>
            <w:tcW w:w="1039" w:type="pct"/>
            <w:vAlign w:val="center"/>
          </w:tcPr>
          <w:p w14:paraId="15AFF19A">
            <w:pPr>
              <w:ind w:firstLine="0" w:firstLineChars="0"/>
              <w:jc w:val="center"/>
              <w:rPr>
                <w:rFonts w:ascii="Times New Roman" w:hAnsi="Times New Roman"/>
                <w:sz w:val="24"/>
                <w:szCs w:val="24"/>
              </w:rPr>
            </w:pPr>
          </w:p>
        </w:tc>
        <w:tc>
          <w:tcPr>
            <w:tcW w:w="1125" w:type="pct"/>
            <w:vAlign w:val="center"/>
          </w:tcPr>
          <w:p w14:paraId="19D465BB">
            <w:pPr>
              <w:ind w:firstLine="0" w:firstLineChars="0"/>
              <w:jc w:val="center"/>
              <w:rPr>
                <w:rFonts w:ascii="Times New Roman" w:hAnsi="Times New Roman"/>
                <w:sz w:val="24"/>
                <w:szCs w:val="24"/>
              </w:rPr>
            </w:pPr>
          </w:p>
        </w:tc>
      </w:tr>
      <w:tr w14:paraId="3ED9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67" w:type="pct"/>
            <w:vAlign w:val="center"/>
          </w:tcPr>
          <w:p w14:paraId="79FC1E69">
            <w:pPr>
              <w:ind w:firstLine="0" w:firstLineChars="0"/>
              <w:jc w:val="center"/>
              <w:rPr>
                <w:rFonts w:ascii="Times New Roman" w:hAnsi="Times New Roman"/>
                <w:sz w:val="24"/>
                <w:szCs w:val="24"/>
              </w:rPr>
            </w:pPr>
            <w:r>
              <w:rPr>
                <w:rFonts w:ascii="Times New Roman" w:hAnsi="Times New Roman"/>
                <w:sz w:val="24"/>
                <w:szCs w:val="24"/>
              </w:rPr>
              <w:t>2</w:t>
            </w:r>
          </w:p>
        </w:tc>
        <w:tc>
          <w:tcPr>
            <w:tcW w:w="1274" w:type="pct"/>
            <w:vAlign w:val="center"/>
          </w:tcPr>
          <w:p w14:paraId="5827A08C">
            <w:pPr>
              <w:ind w:firstLine="0" w:firstLineChars="0"/>
              <w:jc w:val="center"/>
              <w:rPr>
                <w:rFonts w:ascii="Times New Roman" w:hAnsi="Times New Roman"/>
                <w:sz w:val="24"/>
                <w:szCs w:val="24"/>
              </w:rPr>
            </w:pPr>
          </w:p>
        </w:tc>
        <w:tc>
          <w:tcPr>
            <w:tcW w:w="1095" w:type="pct"/>
            <w:vAlign w:val="center"/>
          </w:tcPr>
          <w:p w14:paraId="03470530">
            <w:pPr>
              <w:ind w:firstLine="0" w:firstLineChars="0"/>
              <w:jc w:val="center"/>
              <w:rPr>
                <w:rFonts w:ascii="Times New Roman" w:hAnsi="Times New Roman"/>
                <w:sz w:val="24"/>
                <w:szCs w:val="24"/>
              </w:rPr>
            </w:pPr>
          </w:p>
        </w:tc>
        <w:tc>
          <w:tcPr>
            <w:tcW w:w="1039" w:type="pct"/>
            <w:vAlign w:val="center"/>
          </w:tcPr>
          <w:p w14:paraId="569EAC3F">
            <w:pPr>
              <w:ind w:firstLine="0" w:firstLineChars="0"/>
              <w:jc w:val="center"/>
              <w:rPr>
                <w:rFonts w:ascii="Times New Roman" w:hAnsi="Times New Roman"/>
                <w:sz w:val="24"/>
                <w:szCs w:val="24"/>
              </w:rPr>
            </w:pPr>
          </w:p>
        </w:tc>
        <w:tc>
          <w:tcPr>
            <w:tcW w:w="1125" w:type="pct"/>
            <w:vAlign w:val="center"/>
          </w:tcPr>
          <w:p w14:paraId="2042D45E">
            <w:pPr>
              <w:ind w:firstLine="0" w:firstLineChars="0"/>
              <w:jc w:val="center"/>
              <w:rPr>
                <w:rFonts w:ascii="Times New Roman" w:hAnsi="Times New Roman"/>
                <w:sz w:val="24"/>
                <w:szCs w:val="24"/>
              </w:rPr>
            </w:pPr>
          </w:p>
        </w:tc>
      </w:tr>
      <w:tr w14:paraId="38C5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67" w:type="pct"/>
            <w:vAlign w:val="center"/>
          </w:tcPr>
          <w:p w14:paraId="4741A74F">
            <w:pPr>
              <w:ind w:firstLine="0" w:firstLineChars="0"/>
              <w:jc w:val="center"/>
              <w:rPr>
                <w:rFonts w:ascii="Times New Roman" w:hAnsi="Times New Roman"/>
                <w:sz w:val="24"/>
                <w:szCs w:val="24"/>
              </w:rPr>
            </w:pPr>
            <w:r>
              <w:rPr>
                <w:rFonts w:ascii="Times New Roman" w:hAnsi="Times New Roman"/>
                <w:sz w:val="24"/>
                <w:szCs w:val="24"/>
              </w:rPr>
              <w:t>3</w:t>
            </w:r>
          </w:p>
        </w:tc>
        <w:tc>
          <w:tcPr>
            <w:tcW w:w="1274" w:type="pct"/>
            <w:vAlign w:val="center"/>
          </w:tcPr>
          <w:p w14:paraId="3CBC6E92">
            <w:pPr>
              <w:ind w:firstLine="0" w:firstLineChars="0"/>
              <w:jc w:val="center"/>
              <w:rPr>
                <w:rFonts w:ascii="Times New Roman" w:hAnsi="Times New Roman"/>
                <w:sz w:val="24"/>
                <w:szCs w:val="24"/>
              </w:rPr>
            </w:pPr>
          </w:p>
        </w:tc>
        <w:tc>
          <w:tcPr>
            <w:tcW w:w="1095" w:type="pct"/>
            <w:vAlign w:val="center"/>
          </w:tcPr>
          <w:p w14:paraId="23EAADF5">
            <w:pPr>
              <w:ind w:firstLine="0" w:firstLineChars="0"/>
              <w:jc w:val="center"/>
              <w:rPr>
                <w:rFonts w:ascii="Times New Roman" w:hAnsi="Times New Roman"/>
                <w:sz w:val="24"/>
                <w:szCs w:val="24"/>
              </w:rPr>
            </w:pPr>
          </w:p>
        </w:tc>
        <w:tc>
          <w:tcPr>
            <w:tcW w:w="1039" w:type="pct"/>
            <w:vAlign w:val="center"/>
          </w:tcPr>
          <w:p w14:paraId="7D205E73">
            <w:pPr>
              <w:ind w:firstLine="0" w:firstLineChars="0"/>
              <w:jc w:val="center"/>
              <w:rPr>
                <w:rFonts w:ascii="Times New Roman" w:hAnsi="Times New Roman"/>
                <w:sz w:val="24"/>
                <w:szCs w:val="24"/>
              </w:rPr>
            </w:pPr>
          </w:p>
        </w:tc>
        <w:tc>
          <w:tcPr>
            <w:tcW w:w="1125" w:type="pct"/>
            <w:vAlign w:val="center"/>
          </w:tcPr>
          <w:p w14:paraId="5DD468CC">
            <w:pPr>
              <w:ind w:firstLine="0" w:firstLineChars="0"/>
              <w:jc w:val="center"/>
              <w:rPr>
                <w:rFonts w:ascii="Times New Roman" w:hAnsi="Times New Roman"/>
                <w:sz w:val="24"/>
                <w:szCs w:val="24"/>
              </w:rPr>
            </w:pPr>
          </w:p>
        </w:tc>
      </w:tr>
      <w:tr w14:paraId="2A45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67" w:type="pct"/>
            <w:vAlign w:val="center"/>
          </w:tcPr>
          <w:p w14:paraId="023E2DBE">
            <w:pPr>
              <w:ind w:firstLine="0" w:firstLineChars="0"/>
              <w:jc w:val="center"/>
              <w:rPr>
                <w:rFonts w:ascii="Times New Roman" w:hAnsi="Times New Roman"/>
                <w:sz w:val="24"/>
                <w:szCs w:val="24"/>
              </w:rPr>
            </w:pPr>
            <w:r>
              <w:rPr>
                <w:rFonts w:ascii="Times New Roman" w:hAnsi="Times New Roman"/>
                <w:sz w:val="24"/>
                <w:szCs w:val="24"/>
              </w:rPr>
              <w:t>…</w:t>
            </w:r>
          </w:p>
        </w:tc>
        <w:tc>
          <w:tcPr>
            <w:tcW w:w="1274" w:type="pct"/>
            <w:vAlign w:val="center"/>
          </w:tcPr>
          <w:p w14:paraId="266D93BD">
            <w:pPr>
              <w:ind w:firstLine="0" w:firstLineChars="0"/>
              <w:jc w:val="center"/>
              <w:rPr>
                <w:rFonts w:ascii="Times New Roman" w:hAnsi="Times New Roman"/>
                <w:sz w:val="24"/>
                <w:szCs w:val="24"/>
              </w:rPr>
            </w:pPr>
          </w:p>
        </w:tc>
        <w:tc>
          <w:tcPr>
            <w:tcW w:w="1095" w:type="pct"/>
            <w:vAlign w:val="center"/>
          </w:tcPr>
          <w:p w14:paraId="54C9789A">
            <w:pPr>
              <w:ind w:firstLine="0" w:firstLineChars="0"/>
              <w:jc w:val="center"/>
              <w:rPr>
                <w:rFonts w:ascii="Times New Roman" w:hAnsi="Times New Roman"/>
                <w:sz w:val="24"/>
                <w:szCs w:val="24"/>
              </w:rPr>
            </w:pPr>
          </w:p>
        </w:tc>
        <w:tc>
          <w:tcPr>
            <w:tcW w:w="1039" w:type="pct"/>
            <w:vAlign w:val="center"/>
          </w:tcPr>
          <w:p w14:paraId="50248C9A">
            <w:pPr>
              <w:ind w:firstLine="0" w:firstLineChars="0"/>
              <w:jc w:val="center"/>
              <w:rPr>
                <w:rFonts w:ascii="Times New Roman" w:hAnsi="Times New Roman"/>
                <w:sz w:val="24"/>
                <w:szCs w:val="24"/>
              </w:rPr>
            </w:pPr>
          </w:p>
        </w:tc>
        <w:tc>
          <w:tcPr>
            <w:tcW w:w="1125" w:type="pct"/>
            <w:vAlign w:val="center"/>
          </w:tcPr>
          <w:p w14:paraId="2532D5ED">
            <w:pPr>
              <w:ind w:firstLine="0" w:firstLineChars="0"/>
              <w:jc w:val="center"/>
              <w:rPr>
                <w:rFonts w:ascii="Times New Roman" w:hAnsi="Times New Roman"/>
                <w:sz w:val="24"/>
                <w:szCs w:val="24"/>
              </w:rPr>
            </w:pPr>
          </w:p>
        </w:tc>
      </w:tr>
    </w:tbl>
    <w:p w14:paraId="4C3462FA">
      <w:pPr>
        <w:spacing w:before="120" w:beforeLines="50" w:line="360" w:lineRule="auto"/>
        <w:ind w:firstLine="602"/>
        <w:rPr>
          <w:rFonts w:ascii="Times New Roman" w:hAnsi="Times New Roman"/>
          <w:b/>
          <w:szCs w:val="30"/>
        </w:rPr>
      </w:pPr>
      <w:r>
        <w:rPr>
          <w:rFonts w:ascii="Times New Roman" w:hAnsi="Times New Roman"/>
          <w:b/>
          <w:szCs w:val="30"/>
        </w:rPr>
        <w:t>本次解除限售后剩余的限售份额情况</w:t>
      </w:r>
    </w:p>
    <w:tbl>
      <w:tblPr>
        <w:tblStyle w:val="18"/>
        <w:tblW w:w="48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088"/>
        <w:gridCol w:w="1794"/>
        <w:gridCol w:w="1703"/>
        <w:gridCol w:w="1844"/>
      </w:tblGrid>
      <w:tr w14:paraId="15E7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67" w:type="pct"/>
            <w:vAlign w:val="center"/>
          </w:tcPr>
          <w:p w14:paraId="10C5F561">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序号</w:t>
            </w:r>
          </w:p>
        </w:tc>
        <w:tc>
          <w:tcPr>
            <w:tcW w:w="1274" w:type="pct"/>
            <w:vAlign w:val="center"/>
          </w:tcPr>
          <w:p w14:paraId="15633493">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证券账户名称</w:t>
            </w:r>
          </w:p>
        </w:tc>
        <w:tc>
          <w:tcPr>
            <w:tcW w:w="1095" w:type="pct"/>
            <w:vAlign w:val="center"/>
          </w:tcPr>
          <w:p w14:paraId="19E4B6EF">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限售份额总量</w:t>
            </w:r>
          </w:p>
        </w:tc>
        <w:tc>
          <w:tcPr>
            <w:tcW w:w="1039" w:type="pct"/>
            <w:vAlign w:val="center"/>
          </w:tcPr>
          <w:p w14:paraId="764AA5E5">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限售类型</w:t>
            </w:r>
          </w:p>
        </w:tc>
        <w:tc>
          <w:tcPr>
            <w:tcW w:w="1125" w:type="pct"/>
            <w:vAlign w:val="center"/>
          </w:tcPr>
          <w:p w14:paraId="28CB2F70">
            <w:pPr>
              <w:snapToGrid w:val="0"/>
              <w:ind w:firstLine="0" w:firstLineChars="0"/>
              <w:jc w:val="center"/>
              <w:rPr>
                <w:rFonts w:ascii="Times New Roman" w:hAnsi="Times New Roman"/>
                <w:b/>
                <w:bCs/>
                <w:kern w:val="0"/>
                <w:sz w:val="24"/>
                <w:szCs w:val="24"/>
              </w:rPr>
            </w:pPr>
            <w:r>
              <w:rPr>
                <w:rFonts w:ascii="Times New Roman" w:hAnsi="Times New Roman"/>
                <w:b/>
                <w:bCs/>
                <w:kern w:val="0"/>
                <w:sz w:val="24"/>
                <w:szCs w:val="24"/>
              </w:rPr>
              <w:t>限售期（月）</w:t>
            </w:r>
          </w:p>
        </w:tc>
      </w:tr>
      <w:tr w14:paraId="04D8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67" w:type="pct"/>
            <w:vAlign w:val="center"/>
          </w:tcPr>
          <w:p w14:paraId="743A5893">
            <w:pPr>
              <w:ind w:firstLine="0" w:firstLineChars="0"/>
              <w:jc w:val="center"/>
              <w:rPr>
                <w:rFonts w:ascii="Times New Roman" w:hAnsi="Times New Roman"/>
                <w:sz w:val="24"/>
                <w:szCs w:val="24"/>
              </w:rPr>
            </w:pPr>
            <w:r>
              <w:rPr>
                <w:rFonts w:ascii="Times New Roman" w:hAnsi="Times New Roman"/>
                <w:sz w:val="24"/>
                <w:szCs w:val="24"/>
              </w:rPr>
              <w:t>1</w:t>
            </w:r>
          </w:p>
        </w:tc>
        <w:tc>
          <w:tcPr>
            <w:tcW w:w="1274" w:type="pct"/>
            <w:vAlign w:val="center"/>
          </w:tcPr>
          <w:p w14:paraId="7D65000D">
            <w:pPr>
              <w:ind w:firstLine="0" w:firstLineChars="0"/>
              <w:jc w:val="center"/>
              <w:rPr>
                <w:rFonts w:ascii="Times New Roman" w:hAnsi="Times New Roman"/>
                <w:sz w:val="24"/>
                <w:szCs w:val="24"/>
              </w:rPr>
            </w:pPr>
          </w:p>
        </w:tc>
        <w:tc>
          <w:tcPr>
            <w:tcW w:w="1095" w:type="pct"/>
            <w:vAlign w:val="center"/>
          </w:tcPr>
          <w:p w14:paraId="26BFEE48">
            <w:pPr>
              <w:ind w:firstLine="0" w:firstLineChars="0"/>
              <w:jc w:val="center"/>
              <w:rPr>
                <w:rFonts w:ascii="Times New Roman" w:hAnsi="Times New Roman"/>
                <w:sz w:val="24"/>
                <w:szCs w:val="24"/>
              </w:rPr>
            </w:pPr>
          </w:p>
        </w:tc>
        <w:tc>
          <w:tcPr>
            <w:tcW w:w="1039" w:type="pct"/>
            <w:vAlign w:val="center"/>
          </w:tcPr>
          <w:p w14:paraId="2C2507DD">
            <w:pPr>
              <w:ind w:firstLine="0" w:firstLineChars="0"/>
              <w:jc w:val="center"/>
              <w:rPr>
                <w:rFonts w:ascii="Times New Roman" w:hAnsi="Times New Roman"/>
                <w:sz w:val="24"/>
                <w:szCs w:val="24"/>
              </w:rPr>
            </w:pPr>
          </w:p>
        </w:tc>
        <w:tc>
          <w:tcPr>
            <w:tcW w:w="1125" w:type="pct"/>
            <w:vAlign w:val="center"/>
          </w:tcPr>
          <w:p w14:paraId="23AB7C9C">
            <w:pPr>
              <w:ind w:firstLine="0" w:firstLineChars="0"/>
              <w:jc w:val="center"/>
              <w:rPr>
                <w:rFonts w:ascii="Times New Roman" w:hAnsi="Times New Roman"/>
                <w:sz w:val="24"/>
                <w:szCs w:val="24"/>
              </w:rPr>
            </w:pPr>
          </w:p>
        </w:tc>
      </w:tr>
      <w:tr w14:paraId="53BA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67" w:type="pct"/>
            <w:vAlign w:val="center"/>
          </w:tcPr>
          <w:p w14:paraId="723F2482">
            <w:pPr>
              <w:ind w:firstLine="0" w:firstLineChars="0"/>
              <w:jc w:val="center"/>
              <w:rPr>
                <w:rFonts w:ascii="Times New Roman" w:hAnsi="Times New Roman"/>
                <w:sz w:val="24"/>
                <w:szCs w:val="24"/>
              </w:rPr>
            </w:pPr>
            <w:r>
              <w:rPr>
                <w:rFonts w:ascii="Times New Roman" w:hAnsi="Times New Roman"/>
                <w:sz w:val="24"/>
                <w:szCs w:val="24"/>
              </w:rPr>
              <w:t>2</w:t>
            </w:r>
          </w:p>
        </w:tc>
        <w:tc>
          <w:tcPr>
            <w:tcW w:w="1274" w:type="pct"/>
            <w:vAlign w:val="center"/>
          </w:tcPr>
          <w:p w14:paraId="7B688995">
            <w:pPr>
              <w:ind w:firstLine="0" w:firstLineChars="0"/>
              <w:jc w:val="center"/>
              <w:rPr>
                <w:rFonts w:ascii="Times New Roman" w:hAnsi="Times New Roman"/>
                <w:sz w:val="24"/>
                <w:szCs w:val="24"/>
              </w:rPr>
            </w:pPr>
          </w:p>
        </w:tc>
        <w:tc>
          <w:tcPr>
            <w:tcW w:w="1095" w:type="pct"/>
            <w:vAlign w:val="center"/>
          </w:tcPr>
          <w:p w14:paraId="74730ACB">
            <w:pPr>
              <w:ind w:firstLine="0" w:firstLineChars="0"/>
              <w:jc w:val="center"/>
              <w:rPr>
                <w:rFonts w:ascii="Times New Roman" w:hAnsi="Times New Roman"/>
                <w:sz w:val="24"/>
                <w:szCs w:val="24"/>
              </w:rPr>
            </w:pPr>
          </w:p>
        </w:tc>
        <w:tc>
          <w:tcPr>
            <w:tcW w:w="1039" w:type="pct"/>
            <w:vAlign w:val="center"/>
          </w:tcPr>
          <w:p w14:paraId="7C71FCB6">
            <w:pPr>
              <w:ind w:firstLine="0" w:firstLineChars="0"/>
              <w:jc w:val="center"/>
              <w:rPr>
                <w:rFonts w:ascii="Times New Roman" w:hAnsi="Times New Roman"/>
                <w:sz w:val="24"/>
                <w:szCs w:val="24"/>
              </w:rPr>
            </w:pPr>
          </w:p>
        </w:tc>
        <w:tc>
          <w:tcPr>
            <w:tcW w:w="1125" w:type="pct"/>
            <w:vAlign w:val="center"/>
          </w:tcPr>
          <w:p w14:paraId="3BF8D2C5">
            <w:pPr>
              <w:ind w:firstLine="0" w:firstLineChars="0"/>
              <w:jc w:val="center"/>
              <w:rPr>
                <w:rFonts w:ascii="Times New Roman" w:hAnsi="Times New Roman"/>
                <w:sz w:val="24"/>
                <w:szCs w:val="24"/>
              </w:rPr>
            </w:pPr>
          </w:p>
        </w:tc>
      </w:tr>
      <w:tr w14:paraId="16B3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trPr>
        <w:tc>
          <w:tcPr>
            <w:tcW w:w="467" w:type="pct"/>
            <w:vAlign w:val="center"/>
          </w:tcPr>
          <w:p w14:paraId="3A4F9479">
            <w:pPr>
              <w:ind w:firstLine="0" w:firstLineChars="0"/>
              <w:jc w:val="center"/>
              <w:rPr>
                <w:rFonts w:ascii="Times New Roman" w:hAnsi="Times New Roman"/>
                <w:sz w:val="24"/>
                <w:szCs w:val="24"/>
              </w:rPr>
            </w:pPr>
            <w:r>
              <w:rPr>
                <w:rFonts w:ascii="Times New Roman" w:hAnsi="Times New Roman"/>
                <w:sz w:val="24"/>
                <w:szCs w:val="24"/>
              </w:rPr>
              <w:t>3</w:t>
            </w:r>
          </w:p>
        </w:tc>
        <w:tc>
          <w:tcPr>
            <w:tcW w:w="1274" w:type="pct"/>
            <w:vAlign w:val="center"/>
          </w:tcPr>
          <w:p w14:paraId="19FFB250">
            <w:pPr>
              <w:ind w:firstLine="0" w:firstLineChars="0"/>
              <w:jc w:val="center"/>
              <w:rPr>
                <w:rFonts w:ascii="Times New Roman" w:hAnsi="Times New Roman"/>
                <w:sz w:val="24"/>
                <w:szCs w:val="24"/>
              </w:rPr>
            </w:pPr>
          </w:p>
        </w:tc>
        <w:tc>
          <w:tcPr>
            <w:tcW w:w="1095" w:type="pct"/>
            <w:vAlign w:val="center"/>
          </w:tcPr>
          <w:p w14:paraId="01685E10">
            <w:pPr>
              <w:ind w:firstLine="0" w:firstLineChars="0"/>
              <w:jc w:val="center"/>
              <w:rPr>
                <w:rFonts w:ascii="Times New Roman" w:hAnsi="Times New Roman"/>
                <w:sz w:val="24"/>
                <w:szCs w:val="24"/>
              </w:rPr>
            </w:pPr>
          </w:p>
        </w:tc>
        <w:tc>
          <w:tcPr>
            <w:tcW w:w="1039" w:type="pct"/>
            <w:vAlign w:val="center"/>
          </w:tcPr>
          <w:p w14:paraId="1BED4BBB">
            <w:pPr>
              <w:ind w:firstLine="0" w:firstLineChars="0"/>
              <w:jc w:val="center"/>
              <w:rPr>
                <w:rFonts w:ascii="Times New Roman" w:hAnsi="Times New Roman"/>
                <w:sz w:val="24"/>
                <w:szCs w:val="24"/>
              </w:rPr>
            </w:pPr>
          </w:p>
        </w:tc>
        <w:tc>
          <w:tcPr>
            <w:tcW w:w="1125" w:type="pct"/>
            <w:vAlign w:val="center"/>
          </w:tcPr>
          <w:p w14:paraId="797EF616">
            <w:pPr>
              <w:ind w:firstLine="0" w:firstLineChars="0"/>
              <w:jc w:val="center"/>
              <w:rPr>
                <w:rFonts w:ascii="Times New Roman" w:hAnsi="Times New Roman"/>
                <w:sz w:val="24"/>
                <w:szCs w:val="24"/>
              </w:rPr>
            </w:pPr>
          </w:p>
        </w:tc>
      </w:tr>
      <w:tr w14:paraId="6698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67" w:type="pct"/>
            <w:vAlign w:val="center"/>
          </w:tcPr>
          <w:p w14:paraId="027485F8">
            <w:pPr>
              <w:ind w:firstLine="0" w:firstLineChars="0"/>
              <w:jc w:val="center"/>
              <w:rPr>
                <w:rFonts w:ascii="Times New Roman" w:hAnsi="Times New Roman"/>
                <w:sz w:val="24"/>
                <w:szCs w:val="24"/>
              </w:rPr>
            </w:pPr>
            <w:r>
              <w:rPr>
                <w:rFonts w:ascii="Times New Roman" w:hAnsi="Times New Roman"/>
                <w:sz w:val="24"/>
                <w:szCs w:val="24"/>
              </w:rPr>
              <w:t>…</w:t>
            </w:r>
          </w:p>
        </w:tc>
        <w:tc>
          <w:tcPr>
            <w:tcW w:w="1274" w:type="pct"/>
            <w:vAlign w:val="center"/>
          </w:tcPr>
          <w:p w14:paraId="4B443563">
            <w:pPr>
              <w:ind w:firstLine="0" w:firstLineChars="0"/>
              <w:jc w:val="center"/>
              <w:rPr>
                <w:rFonts w:ascii="Times New Roman" w:hAnsi="Times New Roman"/>
                <w:sz w:val="24"/>
                <w:szCs w:val="24"/>
              </w:rPr>
            </w:pPr>
          </w:p>
        </w:tc>
        <w:tc>
          <w:tcPr>
            <w:tcW w:w="1095" w:type="pct"/>
            <w:vAlign w:val="center"/>
          </w:tcPr>
          <w:p w14:paraId="12C0FCF3">
            <w:pPr>
              <w:ind w:firstLine="0" w:firstLineChars="0"/>
              <w:jc w:val="center"/>
              <w:rPr>
                <w:rFonts w:ascii="Times New Roman" w:hAnsi="Times New Roman"/>
                <w:sz w:val="24"/>
                <w:szCs w:val="24"/>
              </w:rPr>
            </w:pPr>
          </w:p>
        </w:tc>
        <w:tc>
          <w:tcPr>
            <w:tcW w:w="1039" w:type="pct"/>
            <w:vAlign w:val="center"/>
          </w:tcPr>
          <w:p w14:paraId="10B4A290">
            <w:pPr>
              <w:ind w:firstLine="0" w:firstLineChars="0"/>
              <w:jc w:val="center"/>
              <w:rPr>
                <w:rFonts w:ascii="Times New Roman" w:hAnsi="Times New Roman"/>
                <w:sz w:val="24"/>
                <w:szCs w:val="24"/>
              </w:rPr>
            </w:pPr>
          </w:p>
        </w:tc>
        <w:tc>
          <w:tcPr>
            <w:tcW w:w="1125" w:type="pct"/>
            <w:vAlign w:val="center"/>
          </w:tcPr>
          <w:p w14:paraId="7CCD2F32">
            <w:pPr>
              <w:ind w:firstLine="0" w:firstLineChars="0"/>
              <w:jc w:val="center"/>
              <w:rPr>
                <w:rFonts w:ascii="Times New Roman" w:hAnsi="Times New Roman"/>
                <w:sz w:val="24"/>
                <w:szCs w:val="24"/>
              </w:rPr>
            </w:pPr>
          </w:p>
        </w:tc>
      </w:tr>
    </w:tbl>
    <w:p w14:paraId="07C840FC">
      <w:pPr>
        <w:tabs>
          <w:tab w:val="left" w:pos="2835"/>
        </w:tabs>
        <w:spacing w:line="360" w:lineRule="auto"/>
        <w:ind w:firstLine="602"/>
        <w:rPr>
          <w:rFonts w:ascii="Times New Roman" w:hAnsi="Times New Roman"/>
          <w:b/>
          <w:szCs w:val="30"/>
        </w:rPr>
      </w:pPr>
    </w:p>
    <w:p w14:paraId="2871A8B7">
      <w:pPr>
        <w:widowControl/>
        <w:spacing w:line="240" w:lineRule="auto"/>
        <w:ind w:firstLine="0" w:firstLineChars="0"/>
        <w:jc w:val="left"/>
        <w:rPr>
          <w:rFonts w:ascii="Times New Roman" w:hAnsi="Times New Roman"/>
          <w:b/>
          <w:szCs w:val="30"/>
        </w:rPr>
      </w:pPr>
      <w:r>
        <w:rPr>
          <w:rFonts w:ascii="Times New Roman" w:hAnsi="Times New Roman"/>
          <w:b/>
          <w:szCs w:val="30"/>
        </w:rPr>
        <w:br w:type="page"/>
      </w:r>
    </w:p>
    <w:p w14:paraId="2B622B8E">
      <w:pPr>
        <w:tabs>
          <w:tab w:val="left" w:pos="2835"/>
        </w:tabs>
        <w:spacing w:line="360" w:lineRule="auto"/>
        <w:ind w:firstLine="602"/>
        <w:rPr>
          <w:rFonts w:ascii="Times New Roman" w:hAnsi="Times New Roman"/>
          <w:b/>
          <w:szCs w:val="30"/>
        </w:rPr>
      </w:pPr>
      <w:r>
        <w:rPr>
          <w:rFonts w:ascii="Times New Roman" w:hAnsi="Times New Roman"/>
          <w:b/>
          <w:szCs w:val="30"/>
        </w:rPr>
        <w:t>（二）</w:t>
      </w:r>
      <w:r>
        <w:rPr>
          <w:rFonts w:hint="eastAsia" w:ascii="Times New Roman" w:hAnsi="Times New Roman"/>
          <w:b/>
        </w:rPr>
        <w:t>公募</w:t>
      </w:r>
      <w:r>
        <w:rPr>
          <w:rFonts w:ascii="Times New Roman" w:hAnsi="Times New Roman"/>
          <w:b/>
          <w:szCs w:val="30"/>
        </w:rPr>
        <w:t>REITs场外份额解除锁定</w:t>
      </w:r>
    </w:p>
    <w:p w14:paraId="702DAD77">
      <w:pPr>
        <w:spacing w:line="360" w:lineRule="auto"/>
        <w:ind w:firstLine="602"/>
        <w:rPr>
          <w:rFonts w:ascii="Times New Roman" w:hAnsi="Times New Roman"/>
          <w:b/>
          <w:szCs w:val="30"/>
        </w:rPr>
      </w:pPr>
      <w:r>
        <w:rPr>
          <w:rFonts w:ascii="Times New Roman" w:hAnsi="Times New Roman"/>
          <w:b/>
          <w:szCs w:val="30"/>
        </w:rPr>
        <w:t>本次解除锁定的份额情况</w:t>
      </w:r>
    </w:p>
    <w:tbl>
      <w:tblPr>
        <w:tblStyle w:val="18"/>
        <w:tblW w:w="48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40"/>
        <w:gridCol w:w="1985"/>
        <w:gridCol w:w="1844"/>
        <w:gridCol w:w="1703"/>
        <w:gridCol w:w="1844"/>
      </w:tblGrid>
      <w:tr w14:paraId="0463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2364A7FE">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序号</w:t>
            </w:r>
          </w:p>
        </w:tc>
        <w:tc>
          <w:tcPr>
            <w:tcW w:w="1223" w:type="pct"/>
            <w:vAlign w:val="center"/>
          </w:tcPr>
          <w:p w14:paraId="678D7531">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sz w:val="24"/>
                <w:szCs w:val="24"/>
              </w:rPr>
              <w:t>账户名称</w:t>
            </w:r>
          </w:p>
        </w:tc>
        <w:tc>
          <w:tcPr>
            <w:tcW w:w="1136" w:type="pct"/>
            <w:vAlign w:val="center"/>
          </w:tcPr>
          <w:p w14:paraId="38D5C24D">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申请锁定份额</w:t>
            </w:r>
          </w:p>
        </w:tc>
        <w:tc>
          <w:tcPr>
            <w:tcW w:w="1049" w:type="pct"/>
            <w:vAlign w:val="center"/>
          </w:tcPr>
          <w:p w14:paraId="7B8BD438">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限售类型</w:t>
            </w:r>
          </w:p>
        </w:tc>
        <w:tc>
          <w:tcPr>
            <w:tcW w:w="1136" w:type="pct"/>
            <w:vAlign w:val="center"/>
          </w:tcPr>
          <w:p w14:paraId="3E5956CA">
            <w:pPr>
              <w:autoSpaceDE w:val="0"/>
              <w:autoSpaceDN w:val="0"/>
              <w:adjustRightInd w:val="0"/>
              <w:ind w:firstLine="0" w:firstLineChars="0"/>
              <w:jc w:val="center"/>
              <w:rPr>
                <w:rFonts w:ascii="Times New Roman" w:hAnsi="Times New Roman"/>
                <w:b/>
                <w:bCs/>
                <w:sz w:val="24"/>
                <w:szCs w:val="24"/>
              </w:rPr>
            </w:pPr>
            <w:r>
              <w:rPr>
                <w:rFonts w:ascii="Times New Roman" w:hAnsi="Times New Roman"/>
                <w:b/>
                <w:bCs/>
                <w:sz w:val="24"/>
                <w:szCs w:val="24"/>
              </w:rPr>
              <w:t>限售期（月）</w:t>
            </w:r>
          </w:p>
        </w:tc>
      </w:tr>
      <w:tr w14:paraId="2AC2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7180B672">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1</w:t>
            </w:r>
          </w:p>
        </w:tc>
        <w:tc>
          <w:tcPr>
            <w:tcW w:w="1223" w:type="pct"/>
            <w:vAlign w:val="center"/>
          </w:tcPr>
          <w:p w14:paraId="71E43A0F">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5B943B06">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60A92C78">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551BE8E2">
            <w:pPr>
              <w:autoSpaceDE w:val="0"/>
              <w:autoSpaceDN w:val="0"/>
              <w:adjustRightInd w:val="0"/>
              <w:ind w:firstLine="0" w:firstLineChars="0"/>
              <w:jc w:val="center"/>
              <w:rPr>
                <w:rFonts w:ascii="Times New Roman" w:hAnsi="Times New Roman"/>
                <w:color w:val="000000"/>
                <w:sz w:val="24"/>
                <w:szCs w:val="24"/>
              </w:rPr>
            </w:pPr>
          </w:p>
        </w:tc>
      </w:tr>
      <w:tr w14:paraId="32D0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733367CD">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2</w:t>
            </w:r>
          </w:p>
        </w:tc>
        <w:tc>
          <w:tcPr>
            <w:tcW w:w="1223" w:type="pct"/>
            <w:vAlign w:val="center"/>
          </w:tcPr>
          <w:p w14:paraId="16221A3D">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355545E4">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23670A5B">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43050652">
            <w:pPr>
              <w:autoSpaceDE w:val="0"/>
              <w:autoSpaceDN w:val="0"/>
              <w:adjustRightInd w:val="0"/>
              <w:ind w:firstLine="0" w:firstLineChars="0"/>
              <w:jc w:val="center"/>
              <w:rPr>
                <w:rFonts w:ascii="Times New Roman" w:hAnsi="Times New Roman"/>
                <w:color w:val="000000"/>
                <w:sz w:val="24"/>
                <w:szCs w:val="24"/>
              </w:rPr>
            </w:pPr>
          </w:p>
        </w:tc>
      </w:tr>
      <w:tr w14:paraId="0ACF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7E0BF152">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3</w:t>
            </w:r>
          </w:p>
        </w:tc>
        <w:tc>
          <w:tcPr>
            <w:tcW w:w="1223" w:type="pct"/>
            <w:vAlign w:val="center"/>
          </w:tcPr>
          <w:p w14:paraId="2B35C396">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489D2171">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4F18BE9F">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0355BA0C">
            <w:pPr>
              <w:autoSpaceDE w:val="0"/>
              <w:autoSpaceDN w:val="0"/>
              <w:adjustRightInd w:val="0"/>
              <w:ind w:firstLine="0" w:firstLineChars="0"/>
              <w:jc w:val="center"/>
              <w:rPr>
                <w:rFonts w:ascii="Times New Roman" w:hAnsi="Times New Roman"/>
                <w:color w:val="000000"/>
                <w:sz w:val="24"/>
                <w:szCs w:val="24"/>
              </w:rPr>
            </w:pPr>
          </w:p>
        </w:tc>
      </w:tr>
      <w:tr w14:paraId="40A8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4744D563">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w:t>
            </w:r>
          </w:p>
        </w:tc>
        <w:tc>
          <w:tcPr>
            <w:tcW w:w="1223" w:type="pct"/>
            <w:vAlign w:val="center"/>
          </w:tcPr>
          <w:p w14:paraId="36BAFF0C">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3ED73F29">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629ECC87">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01193F92">
            <w:pPr>
              <w:autoSpaceDE w:val="0"/>
              <w:autoSpaceDN w:val="0"/>
              <w:adjustRightInd w:val="0"/>
              <w:ind w:firstLine="0" w:firstLineChars="0"/>
              <w:jc w:val="center"/>
              <w:rPr>
                <w:rFonts w:ascii="Times New Roman" w:hAnsi="Times New Roman"/>
                <w:color w:val="000000"/>
                <w:sz w:val="24"/>
                <w:szCs w:val="24"/>
              </w:rPr>
            </w:pPr>
          </w:p>
        </w:tc>
      </w:tr>
    </w:tbl>
    <w:p w14:paraId="1C39DAE5">
      <w:pPr>
        <w:spacing w:before="120" w:beforeLines="50" w:line="360" w:lineRule="auto"/>
        <w:ind w:firstLine="602"/>
        <w:rPr>
          <w:rFonts w:ascii="Times New Roman" w:hAnsi="Times New Roman"/>
          <w:b/>
          <w:szCs w:val="30"/>
        </w:rPr>
      </w:pPr>
      <w:r>
        <w:rPr>
          <w:rFonts w:ascii="Times New Roman" w:hAnsi="Times New Roman"/>
          <w:b/>
          <w:szCs w:val="30"/>
        </w:rPr>
        <w:t>本次解除锁定后剩余锁定份额情况</w:t>
      </w:r>
    </w:p>
    <w:tbl>
      <w:tblPr>
        <w:tblStyle w:val="18"/>
        <w:tblW w:w="48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740"/>
        <w:gridCol w:w="1985"/>
        <w:gridCol w:w="1844"/>
        <w:gridCol w:w="1703"/>
        <w:gridCol w:w="1844"/>
      </w:tblGrid>
      <w:tr w14:paraId="1737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728F3338">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序号</w:t>
            </w:r>
          </w:p>
        </w:tc>
        <w:tc>
          <w:tcPr>
            <w:tcW w:w="1223" w:type="pct"/>
            <w:vAlign w:val="center"/>
          </w:tcPr>
          <w:p w14:paraId="7AACD5BD">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sz w:val="24"/>
                <w:szCs w:val="24"/>
              </w:rPr>
              <w:t>账户名称</w:t>
            </w:r>
          </w:p>
        </w:tc>
        <w:tc>
          <w:tcPr>
            <w:tcW w:w="1136" w:type="pct"/>
            <w:vAlign w:val="center"/>
          </w:tcPr>
          <w:p w14:paraId="5390B12A">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申请锁定份额</w:t>
            </w:r>
          </w:p>
        </w:tc>
        <w:tc>
          <w:tcPr>
            <w:tcW w:w="1049" w:type="pct"/>
            <w:vAlign w:val="center"/>
          </w:tcPr>
          <w:p w14:paraId="70E97BAF">
            <w:pPr>
              <w:autoSpaceDE w:val="0"/>
              <w:autoSpaceDN w:val="0"/>
              <w:adjustRightInd w:val="0"/>
              <w:ind w:firstLine="0" w:firstLineChars="0"/>
              <w:jc w:val="center"/>
              <w:rPr>
                <w:rFonts w:ascii="Times New Roman" w:hAnsi="Times New Roman"/>
                <w:b/>
                <w:bCs/>
                <w:color w:val="000000"/>
                <w:sz w:val="24"/>
                <w:szCs w:val="24"/>
              </w:rPr>
            </w:pPr>
            <w:r>
              <w:rPr>
                <w:rFonts w:ascii="Times New Roman" w:hAnsi="Times New Roman"/>
                <w:b/>
                <w:bCs/>
                <w:kern w:val="0"/>
                <w:sz w:val="24"/>
                <w:szCs w:val="24"/>
              </w:rPr>
              <w:t>限售类型</w:t>
            </w:r>
          </w:p>
        </w:tc>
        <w:tc>
          <w:tcPr>
            <w:tcW w:w="1136" w:type="pct"/>
            <w:vAlign w:val="center"/>
          </w:tcPr>
          <w:p w14:paraId="483AEA33">
            <w:pPr>
              <w:autoSpaceDE w:val="0"/>
              <w:autoSpaceDN w:val="0"/>
              <w:adjustRightInd w:val="0"/>
              <w:ind w:firstLine="0" w:firstLineChars="0"/>
              <w:jc w:val="center"/>
              <w:rPr>
                <w:rFonts w:ascii="Times New Roman" w:hAnsi="Times New Roman"/>
                <w:b/>
                <w:bCs/>
                <w:sz w:val="24"/>
                <w:szCs w:val="24"/>
              </w:rPr>
            </w:pPr>
            <w:r>
              <w:rPr>
                <w:rFonts w:ascii="Times New Roman" w:hAnsi="Times New Roman"/>
                <w:b/>
                <w:bCs/>
                <w:sz w:val="24"/>
                <w:szCs w:val="24"/>
              </w:rPr>
              <w:t>限售期（月）</w:t>
            </w:r>
          </w:p>
        </w:tc>
      </w:tr>
      <w:tr w14:paraId="3F70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48A8D7C9">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1</w:t>
            </w:r>
          </w:p>
        </w:tc>
        <w:tc>
          <w:tcPr>
            <w:tcW w:w="1223" w:type="pct"/>
            <w:vAlign w:val="center"/>
          </w:tcPr>
          <w:p w14:paraId="106B0720">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74FD0694">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29F23F32">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4D6F3C80">
            <w:pPr>
              <w:autoSpaceDE w:val="0"/>
              <w:autoSpaceDN w:val="0"/>
              <w:adjustRightInd w:val="0"/>
              <w:ind w:firstLine="0" w:firstLineChars="0"/>
              <w:jc w:val="center"/>
              <w:rPr>
                <w:rFonts w:ascii="Times New Roman" w:hAnsi="Times New Roman"/>
                <w:color w:val="000000"/>
                <w:sz w:val="24"/>
                <w:szCs w:val="24"/>
              </w:rPr>
            </w:pPr>
          </w:p>
        </w:tc>
      </w:tr>
      <w:tr w14:paraId="0DFE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68F8E378">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2</w:t>
            </w:r>
          </w:p>
        </w:tc>
        <w:tc>
          <w:tcPr>
            <w:tcW w:w="1223" w:type="pct"/>
            <w:vAlign w:val="center"/>
          </w:tcPr>
          <w:p w14:paraId="2F3B6EAD">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1611B4E6">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40558B0F">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2CC49E6F">
            <w:pPr>
              <w:autoSpaceDE w:val="0"/>
              <w:autoSpaceDN w:val="0"/>
              <w:adjustRightInd w:val="0"/>
              <w:ind w:firstLine="0" w:firstLineChars="0"/>
              <w:jc w:val="center"/>
              <w:rPr>
                <w:rFonts w:ascii="Times New Roman" w:hAnsi="Times New Roman"/>
                <w:color w:val="000000"/>
                <w:sz w:val="24"/>
                <w:szCs w:val="24"/>
              </w:rPr>
            </w:pPr>
          </w:p>
        </w:tc>
      </w:tr>
      <w:tr w14:paraId="3B14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0462AC04">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3</w:t>
            </w:r>
          </w:p>
        </w:tc>
        <w:tc>
          <w:tcPr>
            <w:tcW w:w="1223" w:type="pct"/>
            <w:vAlign w:val="center"/>
          </w:tcPr>
          <w:p w14:paraId="586DB5AC">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03DF6560">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2C40B7D8">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49D99423">
            <w:pPr>
              <w:autoSpaceDE w:val="0"/>
              <w:autoSpaceDN w:val="0"/>
              <w:adjustRightInd w:val="0"/>
              <w:ind w:firstLine="0" w:firstLineChars="0"/>
              <w:jc w:val="center"/>
              <w:rPr>
                <w:rFonts w:ascii="Times New Roman" w:hAnsi="Times New Roman"/>
                <w:color w:val="000000"/>
                <w:sz w:val="24"/>
                <w:szCs w:val="24"/>
              </w:rPr>
            </w:pPr>
          </w:p>
        </w:tc>
      </w:tr>
      <w:tr w14:paraId="5A6E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59" w:hRule="atLeast"/>
        </w:trPr>
        <w:tc>
          <w:tcPr>
            <w:tcW w:w="456" w:type="pct"/>
            <w:vAlign w:val="center"/>
          </w:tcPr>
          <w:p w14:paraId="2BA89663">
            <w:pPr>
              <w:autoSpaceDE w:val="0"/>
              <w:autoSpaceDN w:val="0"/>
              <w:adjustRightInd w:val="0"/>
              <w:ind w:firstLine="0" w:firstLineChars="0"/>
              <w:jc w:val="center"/>
              <w:rPr>
                <w:rFonts w:ascii="Times New Roman" w:hAnsi="Times New Roman"/>
                <w:color w:val="000000"/>
                <w:sz w:val="24"/>
                <w:szCs w:val="24"/>
              </w:rPr>
            </w:pPr>
            <w:r>
              <w:rPr>
                <w:rFonts w:ascii="Times New Roman" w:hAnsi="Times New Roman"/>
                <w:color w:val="000000"/>
                <w:sz w:val="24"/>
                <w:szCs w:val="24"/>
              </w:rPr>
              <w:t>…</w:t>
            </w:r>
          </w:p>
        </w:tc>
        <w:tc>
          <w:tcPr>
            <w:tcW w:w="1223" w:type="pct"/>
            <w:vAlign w:val="center"/>
          </w:tcPr>
          <w:p w14:paraId="7D9E1FCA">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363681B1">
            <w:pPr>
              <w:autoSpaceDE w:val="0"/>
              <w:autoSpaceDN w:val="0"/>
              <w:adjustRightInd w:val="0"/>
              <w:ind w:firstLine="0" w:firstLineChars="0"/>
              <w:jc w:val="center"/>
              <w:rPr>
                <w:rFonts w:ascii="Times New Roman" w:hAnsi="Times New Roman"/>
                <w:color w:val="000000"/>
                <w:sz w:val="24"/>
                <w:szCs w:val="24"/>
              </w:rPr>
            </w:pPr>
          </w:p>
        </w:tc>
        <w:tc>
          <w:tcPr>
            <w:tcW w:w="1049" w:type="pct"/>
            <w:vAlign w:val="center"/>
          </w:tcPr>
          <w:p w14:paraId="641A4023">
            <w:pPr>
              <w:autoSpaceDE w:val="0"/>
              <w:autoSpaceDN w:val="0"/>
              <w:adjustRightInd w:val="0"/>
              <w:ind w:firstLine="0" w:firstLineChars="0"/>
              <w:jc w:val="center"/>
              <w:rPr>
                <w:rFonts w:ascii="Times New Roman" w:hAnsi="Times New Roman"/>
                <w:color w:val="000000"/>
                <w:sz w:val="24"/>
                <w:szCs w:val="24"/>
              </w:rPr>
            </w:pPr>
          </w:p>
        </w:tc>
        <w:tc>
          <w:tcPr>
            <w:tcW w:w="1136" w:type="pct"/>
            <w:vAlign w:val="center"/>
          </w:tcPr>
          <w:p w14:paraId="5E1B5A93">
            <w:pPr>
              <w:autoSpaceDE w:val="0"/>
              <w:autoSpaceDN w:val="0"/>
              <w:adjustRightInd w:val="0"/>
              <w:ind w:firstLine="0" w:firstLineChars="0"/>
              <w:jc w:val="center"/>
              <w:rPr>
                <w:rFonts w:ascii="Times New Roman" w:hAnsi="Times New Roman"/>
                <w:color w:val="000000"/>
                <w:sz w:val="24"/>
                <w:szCs w:val="24"/>
              </w:rPr>
            </w:pPr>
          </w:p>
        </w:tc>
      </w:tr>
    </w:tbl>
    <w:p w14:paraId="630D1569">
      <w:pPr>
        <w:spacing w:before="120" w:beforeLines="50" w:line="360" w:lineRule="auto"/>
        <w:ind w:firstLine="600"/>
        <w:rPr>
          <w:rFonts w:ascii="Times New Roman" w:hAnsi="Times New Roman"/>
          <w:bCs/>
          <w:szCs w:val="30"/>
        </w:rPr>
      </w:pPr>
      <w:r>
        <w:rPr>
          <w:rFonts w:ascii="Times New Roman" w:hAnsi="Times New Roman"/>
          <w:bCs/>
          <w:szCs w:val="30"/>
        </w:rPr>
        <w:t>注：1.“限售类型”填写“原始权益人及其同一控制下关联方战略配售限售”、“其他专业机构投资者战略配售限售”</w:t>
      </w:r>
    </w:p>
    <w:p w14:paraId="07FB5BDA">
      <w:pPr>
        <w:spacing w:line="360" w:lineRule="auto"/>
        <w:ind w:firstLine="600"/>
        <w:rPr>
          <w:rFonts w:ascii="Times New Roman" w:hAnsi="Times New Roman"/>
          <w:bCs/>
          <w:szCs w:val="30"/>
        </w:rPr>
      </w:pPr>
      <w:r>
        <w:rPr>
          <w:rFonts w:ascii="Times New Roman" w:hAnsi="Times New Roman"/>
          <w:bCs/>
          <w:szCs w:val="30"/>
        </w:rPr>
        <w:t>2.</w:t>
      </w:r>
      <w:r>
        <w:rPr>
          <w:rFonts w:ascii="Times New Roman" w:hAnsi="Times New Roman"/>
          <w:bCs/>
          <w:kern w:val="0"/>
          <w:szCs w:val="30"/>
        </w:rPr>
        <w:t>限售期（月）填写12月、36月、60月</w:t>
      </w:r>
    </w:p>
    <w:p w14:paraId="50FF7397">
      <w:pPr>
        <w:ind w:firstLine="602"/>
        <w:rPr>
          <w:rFonts w:ascii="Times New Roman" w:hAnsi="Times New Roman"/>
          <w:color w:val="000000"/>
          <w:szCs w:val="30"/>
        </w:rPr>
      </w:pPr>
      <w:r>
        <w:rPr>
          <w:rFonts w:ascii="Times New Roman" w:hAnsi="Times New Roman"/>
          <w:b/>
          <w:bCs/>
          <w:color w:val="000000"/>
          <w:szCs w:val="30"/>
        </w:rPr>
        <w:t>三、</w:t>
      </w:r>
      <w:r>
        <w:rPr>
          <w:rFonts w:ascii="Times New Roman" w:hAnsi="Times New Roman"/>
          <w:b/>
          <w:color w:val="000000"/>
          <w:szCs w:val="30"/>
        </w:rPr>
        <w:t>其他需要提示的事项</w:t>
      </w:r>
    </w:p>
    <w:p w14:paraId="730246F0">
      <w:pPr>
        <w:widowControl/>
        <w:spacing w:line="240" w:lineRule="auto"/>
        <w:ind w:firstLine="0" w:firstLineChars="0"/>
        <w:jc w:val="left"/>
        <w:rPr>
          <w:rFonts w:ascii="Times New Roman" w:hAnsi="Times New Roman"/>
          <w:color w:val="000000"/>
          <w:kern w:val="0"/>
          <w:szCs w:val="30"/>
        </w:rPr>
      </w:pPr>
      <w:r>
        <w:rPr>
          <w:rFonts w:ascii="Times New Roman" w:hAnsi="Times New Roman"/>
          <w:szCs w:val="30"/>
        </w:rPr>
        <w:br w:type="page"/>
      </w:r>
    </w:p>
    <w:p w14:paraId="39685249">
      <w:pPr>
        <w:pStyle w:val="3"/>
        <w:spacing w:before="120" w:after="120"/>
        <w:ind w:firstLine="643"/>
      </w:pPr>
      <w:bookmarkStart w:id="59" w:name="_Toc217484349"/>
      <w:r>
        <w:t>相关业务联系人及电话</w:t>
      </w:r>
      <w:bookmarkEnd w:id="59"/>
    </w:p>
    <w:tbl>
      <w:tblPr>
        <w:tblStyle w:val="18"/>
        <w:tblpPr w:leftFromText="180" w:rightFromText="180" w:vertAnchor="page" w:horzAnchor="margin" w:tblpXSpec="center" w:tblpY="2462"/>
        <w:tblW w:w="3837" w:type="pct"/>
        <w:tblInd w:w="0" w:type="dxa"/>
        <w:tblBorders>
          <w:top w:val="thinThickSmallGap" w:color="000000" w:sz="18" w:space="0"/>
          <w:left w:val="none" w:color="auto" w:sz="0" w:space="0"/>
          <w:bottom w:val="thinThickSmallGap" w:color="000000" w:sz="18" w:space="0"/>
          <w:right w:val="none" w:color="auto" w:sz="0" w:space="0"/>
          <w:insideH w:val="thinThickSmallGap" w:color="000000" w:sz="18" w:space="0"/>
          <w:insideV w:val="single" w:color="auto" w:sz="4" w:space="0"/>
        </w:tblBorders>
        <w:tblLayout w:type="autofit"/>
        <w:tblCellMar>
          <w:top w:w="0" w:type="dxa"/>
          <w:left w:w="108" w:type="dxa"/>
          <w:bottom w:w="0" w:type="dxa"/>
          <w:right w:w="108" w:type="dxa"/>
        </w:tblCellMar>
      </w:tblPr>
      <w:tblGrid>
        <w:gridCol w:w="2264"/>
        <w:gridCol w:w="1548"/>
        <w:gridCol w:w="2732"/>
      </w:tblGrid>
      <w:tr w14:paraId="3A1F715F">
        <w:tblPrEx>
          <w:tblBorders>
            <w:top w:val="thinThickSmallGap" w:color="000000" w:sz="18" w:space="0"/>
            <w:left w:val="none" w:color="auto" w:sz="0" w:space="0"/>
            <w:bottom w:val="thinThickSmallGap" w:color="000000" w:sz="18" w:space="0"/>
            <w:right w:val="none" w:color="auto" w:sz="0" w:space="0"/>
            <w:insideH w:val="thinThickSmallGap" w:color="000000" w:sz="18" w:space="0"/>
            <w:insideV w:val="single" w:color="auto" w:sz="4" w:space="0"/>
          </w:tblBorders>
          <w:tblCellMar>
            <w:top w:w="0" w:type="dxa"/>
            <w:left w:w="108" w:type="dxa"/>
            <w:bottom w:w="0" w:type="dxa"/>
            <w:right w:w="108" w:type="dxa"/>
          </w:tblCellMar>
        </w:tblPrEx>
        <w:trPr>
          <w:trHeight w:val="397" w:hRule="atLeast"/>
        </w:trPr>
        <w:tc>
          <w:tcPr>
            <w:tcW w:w="1730" w:type="pct"/>
            <w:vAlign w:val="center"/>
          </w:tcPr>
          <w:p w14:paraId="72297FFA">
            <w:pPr>
              <w:snapToGrid w:val="0"/>
              <w:spacing w:before="24" w:beforeLines="10" w:after="24" w:afterLines="10"/>
              <w:ind w:firstLine="0" w:firstLineChars="0"/>
              <w:jc w:val="center"/>
              <w:rPr>
                <w:rFonts w:ascii="Times New Roman" w:hAnsi="Times New Roman"/>
                <w:b/>
                <w:bCs/>
                <w:sz w:val="24"/>
                <w:szCs w:val="24"/>
              </w:rPr>
            </w:pPr>
            <w:r>
              <w:rPr>
                <w:rFonts w:ascii="Times New Roman" w:hAnsi="Times New Roman"/>
                <w:b/>
                <w:bCs/>
                <w:sz w:val="24"/>
                <w:szCs w:val="24"/>
              </w:rPr>
              <w:t>部门名称</w:t>
            </w:r>
          </w:p>
        </w:tc>
        <w:tc>
          <w:tcPr>
            <w:tcW w:w="1183" w:type="pct"/>
            <w:vAlign w:val="center"/>
          </w:tcPr>
          <w:p w14:paraId="3D1F8245">
            <w:pPr>
              <w:snapToGrid w:val="0"/>
              <w:spacing w:before="24" w:beforeLines="10" w:after="24" w:afterLines="10"/>
              <w:ind w:firstLine="0" w:firstLineChars="0"/>
              <w:jc w:val="center"/>
              <w:rPr>
                <w:rFonts w:ascii="Times New Roman" w:hAnsi="Times New Roman"/>
                <w:b/>
                <w:bCs/>
                <w:sz w:val="24"/>
                <w:szCs w:val="24"/>
              </w:rPr>
            </w:pPr>
            <w:r>
              <w:rPr>
                <w:rFonts w:ascii="Times New Roman" w:hAnsi="Times New Roman"/>
                <w:b/>
                <w:bCs/>
                <w:sz w:val="24"/>
                <w:szCs w:val="24"/>
              </w:rPr>
              <w:t>业务</w:t>
            </w:r>
          </w:p>
        </w:tc>
        <w:tc>
          <w:tcPr>
            <w:tcW w:w="2087" w:type="pct"/>
            <w:vAlign w:val="center"/>
          </w:tcPr>
          <w:p w14:paraId="23A989FD">
            <w:pPr>
              <w:snapToGrid w:val="0"/>
              <w:spacing w:before="24" w:beforeLines="10" w:after="24" w:afterLines="10"/>
              <w:ind w:firstLine="0" w:firstLineChars="0"/>
              <w:jc w:val="center"/>
              <w:rPr>
                <w:rFonts w:ascii="Times New Roman" w:hAnsi="Times New Roman"/>
                <w:b/>
                <w:bCs/>
                <w:sz w:val="24"/>
                <w:szCs w:val="24"/>
              </w:rPr>
            </w:pPr>
            <w:r>
              <w:rPr>
                <w:rFonts w:hint="eastAsia" w:ascii="Times New Roman" w:hAnsi="Times New Roman"/>
                <w:b/>
                <w:bCs/>
                <w:sz w:val="24"/>
                <w:szCs w:val="24"/>
              </w:rPr>
              <w:t>联系</w:t>
            </w:r>
            <w:r>
              <w:rPr>
                <w:rFonts w:ascii="Times New Roman" w:hAnsi="Times New Roman"/>
                <w:b/>
                <w:bCs/>
                <w:sz w:val="24"/>
                <w:szCs w:val="24"/>
              </w:rPr>
              <w:t>电话</w:t>
            </w:r>
          </w:p>
        </w:tc>
      </w:tr>
      <w:tr w14:paraId="30C9B441">
        <w:tblPrEx>
          <w:tblBorders>
            <w:top w:val="thinThickSmallGap" w:color="000000" w:sz="18" w:space="0"/>
            <w:left w:val="none" w:color="auto" w:sz="0" w:space="0"/>
            <w:bottom w:val="thinThickSmallGap" w:color="000000" w:sz="18" w:space="0"/>
            <w:right w:val="none" w:color="auto" w:sz="0" w:space="0"/>
            <w:insideH w:val="thinThickSmallGap" w:color="000000" w:sz="18" w:space="0"/>
            <w:insideV w:val="single" w:color="auto" w:sz="4" w:space="0"/>
          </w:tblBorders>
          <w:tblCellMar>
            <w:top w:w="0" w:type="dxa"/>
            <w:left w:w="108" w:type="dxa"/>
            <w:bottom w:w="0" w:type="dxa"/>
            <w:right w:w="108" w:type="dxa"/>
          </w:tblCellMar>
        </w:tblPrEx>
        <w:trPr>
          <w:trHeight w:val="397" w:hRule="atLeast"/>
        </w:trPr>
        <w:tc>
          <w:tcPr>
            <w:tcW w:w="1730" w:type="pct"/>
            <w:vMerge w:val="restart"/>
            <w:vAlign w:val="center"/>
          </w:tcPr>
          <w:p w14:paraId="634D27C5">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债券业务中心</w:t>
            </w:r>
          </w:p>
          <w:p w14:paraId="21FB9DBD">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ssebond@sse.com.cn</w:t>
            </w:r>
          </w:p>
        </w:tc>
        <w:tc>
          <w:tcPr>
            <w:tcW w:w="1183" w:type="pct"/>
            <w:vAlign w:val="center"/>
          </w:tcPr>
          <w:p w14:paraId="4CDF2816">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交易相关</w:t>
            </w:r>
          </w:p>
        </w:tc>
        <w:tc>
          <w:tcPr>
            <w:tcW w:w="2087" w:type="pct"/>
            <w:vAlign w:val="center"/>
          </w:tcPr>
          <w:p w14:paraId="027932CF">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021-68601952</w:t>
            </w:r>
          </w:p>
          <w:p w14:paraId="7E9EE525">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021-68602700</w:t>
            </w:r>
          </w:p>
        </w:tc>
      </w:tr>
      <w:tr w14:paraId="34372F8D">
        <w:tblPrEx>
          <w:tblBorders>
            <w:top w:val="thinThickSmallGap" w:color="000000" w:sz="18" w:space="0"/>
            <w:left w:val="none" w:color="auto" w:sz="0" w:space="0"/>
            <w:bottom w:val="thinThickSmallGap" w:color="000000" w:sz="18" w:space="0"/>
            <w:right w:val="none" w:color="auto" w:sz="0" w:space="0"/>
            <w:insideH w:val="thinThickSmallGap" w:color="000000" w:sz="18" w:space="0"/>
            <w:insideV w:val="single" w:color="auto" w:sz="4" w:space="0"/>
          </w:tblBorders>
          <w:tblCellMar>
            <w:top w:w="0" w:type="dxa"/>
            <w:left w:w="108" w:type="dxa"/>
            <w:bottom w:w="0" w:type="dxa"/>
            <w:right w:w="108" w:type="dxa"/>
          </w:tblCellMar>
        </w:tblPrEx>
        <w:trPr>
          <w:trHeight w:val="397" w:hRule="atLeast"/>
        </w:trPr>
        <w:tc>
          <w:tcPr>
            <w:tcW w:w="1730" w:type="pct"/>
            <w:vMerge w:val="continue"/>
            <w:vAlign w:val="center"/>
          </w:tcPr>
          <w:p w14:paraId="4514FD1A">
            <w:pPr>
              <w:snapToGrid w:val="0"/>
              <w:spacing w:before="24" w:beforeLines="10" w:after="24" w:afterLines="10"/>
              <w:ind w:firstLine="480"/>
              <w:jc w:val="center"/>
              <w:rPr>
                <w:rFonts w:ascii="Times New Roman" w:hAnsi="Times New Roman"/>
                <w:bCs/>
                <w:sz w:val="24"/>
                <w:szCs w:val="24"/>
              </w:rPr>
            </w:pPr>
          </w:p>
        </w:tc>
        <w:tc>
          <w:tcPr>
            <w:tcW w:w="1183" w:type="pct"/>
            <w:vAlign w:val="center"/>
          </w:tcPr>
          <w:p w14:paraId="513E9FF7">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日常运作</w:t>
            </w:r>
          </w:p>
        </w:tc>
        <w:tc>
          <w:tcPr>
            <w:tcW w:w="2087" w:type="pct"/>
            <w:vAlign w:val="center"/>
          </w:tcPr>
          <w:p w14:paraId="1E3A59F9">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021-68601977</w:t>
            </w:r>
          </w:p>
          <w:p w14:paraId="3F9A763B">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021-68601985</w:t>
            </w:r>
          </w:p>
          <w:p w14:paraId="23B687EF">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021-68602059</w:t>
            </w:r>
          </w:p>
          <w:p w14:paraId="2C898EC7">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021-68601974</w:t>
            </w:r>
          </w:p>
        </w:tc>
      </w:tr>
      <w:tr w14:paraId="3D51C1BD">
        <w:tblPrEx>
          <w:tblBorders>
            <w:top w:val="thinThickSmallGap" w:color="000000" w:sz="18" w:space="0"/>
            <w:left w:val="none" w:color="auto" w:sz="0" w:space="0"/>
            <w:bottom w:val="thinThickSmallGap" w:color="000000" w:sz="18" w:space="0"/>
            <w:right w:val="none" w:color="auto" w:sz="0" w:space="0"/>
            <w:insideH w:val="thinThickSmallGap" w:color="000000" w:sz="18" w:space="0"/>
            <w:insideV w:val="single" w:color="auto" w:sz="4" w:space="0"/>
          </w:tblBorders>
          <w:tblCellMar>
            <w:top w:w="0" w:type="dxa"/>
            <w:left w:w="108" w:type="dxa"/>
            <w:bottom w:w="0" w:type="dxa"/>
            <w:right w:w="108" w:type="dxa"/>
          </w:tblCellMar>
        </w:tblPrEx>
        <w:trPr>
          <w:trHeight w:val="397" w:hRule="atLeast"/>
        </w:trPr>
        <w:tc>
          <w:tcPr>
            <w:tcW w:w="1730" w:type="pct"/>
            <w:vMerge w:val="continue"/>
            <w:vAlign w:val="center"/>
          </w:tcPr>
          <w:p w14:paraId="44280419">
            <w:pPr>
              <w:snapToGrid w:val="0"/>
              <w:spacing w:before="24" w:beforeLines="10" w:after="24" w:afterLines="10"/>
              <w:ind w:firstLine="480"/>
              <w:jc w:val="center"/>
              <w:rPr>
                <w:rFonts w:ascii="Times New Roman" w:hAnsi="Times New Roman"/>
                <w:bCs/>
                <w:sz w:val="24"/>
                <w:szCs w:val="24"/>
              </w:rPr>
            </w:pPr>
          </w:p>
        </w:tc>
        <w:tc>
          <w:tcPr>
            <w:tcW w:w="1183" w:type="pct"/>
            <w:vAlign w:val="center"/>
          </w:tcPr>
          <w:p w14:paraId="4E31FEAF">
            <w:pPr>
              <w:snapToGrid w:val="0"/>
              <w:spacing w:before="24" w:beforeLines="10" w:after="24" w:afterLines="10"/>
              <w:ind w:firstLine="0" w:firstLineChars="0"/>
              <w:jc w:val="center"/>
              <w:rPr>
                <w:rFonts w:ascii="Times New Roman" w:hAnsi="Times New Roman"/>
                <w:bCs/>
                <w:sz w:val="24"/>
                <w:szCs w:val="24"/>
              </w:rPr>
            </w:pPr>
            <w:r>
              <w:rPr>
                <w:rFonts w:ascii="Times New Roman" w:hAnsi="Times New Roman"/>
                <w:bCs/>
                <w:sz w:val="24"/>
                <w:szCs w:val="24"/>
              </w:rPr>
              <w:t>存续期信息披露管理</w:t>
            </w:r>
          </w:p>
        </w:tc>
        <w:tc>
          <w:tcPr>
            <w:tcW w:w="2087" w:type="pct"/>
            <w:vAlign w:val="center"/>
          </w:tcPr>
          <w:p w14:paraId="69F7FD27">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021-68601972</w:t>
            </w:r>
          </w:p>
          <w:p w14:paraId="69B7BE25">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021-68601993</w:t>
            </w:r>
          </w:p>
          <w:p w14:paraId="490690BF">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021-68602041</w:t>
            </w:r>
          </w:p>
          <w:p w14:paraId="1BEBBA2B">
            <w:pPr>
              <w:snapToGrid w:val="0"/>
              <w:spacing w:before="24" w:beforeLines="10" w:after="24" w:afterLines="10"/>
              <w:ind w:firstLine="0" w:firstLineChars="0"/>
              <w:jc w:val="center"/>
              <w:rPr>
                <w:rFonts w:ascii="Times New Roman" w:hAnsi="Times New Roman"/>
                <w:bCs/>
                <w:sz w:val="24"/>
                <w:szCs w:val="24"/>
              </w:rPr>
            </w:pPr>
            <w:r>
              <w:rPr>
                <w:rFonts w:hint="eastAsia" w:ascii="Times New Roman" w:hAnsi="Times New Roman"/>
                <w:bCs/>
                <w:sz w:val="24"/>
                <w:szCs w:val="24"/>
              </w:rPr>
              <w:t>021-68602623</w:t>
            </w:r>
          </w:p>
        </w:tc>
      </w:tr>
    </w:tbl>
    <w:p w14:paraId="04823965">
      <w:pPr>
        <w:pStyle w:val="16"/>
        <w:snapToGrid w:val="0"/>
        <w:spacing w:before="0" w:beforeAutospacing="0" w:after="0" w:afterAutospacing="0" w:line="360" w:lineRule="auto"/>
        <w:ind w:firstLine="0" w:firstLineChars="0"/>
        <w:jc w:val="both"/>
        <w:rPr>
          <w:rFonts w:ascii="Times New Roman" w:hAnsi="Times New Roman" w:eastAsia="仿宋_GB2312" w:cs="Times New Roman"/>
          <w:sz w:val="30"/>
          <w:szCs w:val="30"/>
        </w:rPr>
      </w:pPr>
    </w:p>
    <w:sectPr>
      <w:headerReference r:id="rId11" w:type="default"/>
      <w:headerReference r:id="rId12" w:type="even"/>
      <w:pgSz w:w="11906" w:h="16838"/>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00500000000000000"/>
    <w:charset w:val="86"/>
    <w:family w:val="modern"/>
    <w:pitch w:val="default"/>
    <w:sig w:usb0="A00002BF" w:usb1="584F6CFA" w:usb2="00000012" w:usb3="00000000" w:csb0="00040001" w:csb1="00000000"/>
  </w:font>
  <w:font w:name="Calibri Light">
    <w:altName w:val="Times New Roman"/>
    <w:panose1 w:val="020F0302020204030204"/>
    <w:charset w:val="00"/>
    <w:family w:val="swiss"/>
    <w:pitch w:val="default"/>
    <w:sig w:usb0="00000000" w:usb1="00000000" w:usb2="00000009" w:usb3="00000000" w:csb0="000001FF"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Arial">
    <w:altName w:val="Times New Roman"/>
    <w:panose1 w:val="020B0604020202020204"/>
    <w:charset w:val="00"/>
    <w:family w:val="swiss"/>
    <w:pitch w:val="default"/>
    <w:sig w:usb0="00000000" w:usb1="00000000" w:usb2="00000009" w:usb3="00000000" w:csb0="000001FF" w:csb1="00000000"/>
  </w:font>
  <w:font w:name="华文楷体">
    <w:altName w:val="方正楷体_GBK"/>
    <w:panose1 w:val="02010600040101010101"/>
    <w:charset w:val="86"/>
    <w:family w:val="auto"/>
    <w:pitch w:val="default"/>
    <w:sig w:usb0="00000000" w:usb1="00000000" w:usb2="00000010" w:usb3="00000000" w:csb0="0004009F"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08AB7">
    <w:pPr>
      <w:pStyle w:val="11"/>
      <w:ind w:firstLine="0" w:firstLineChars="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w:t>
    </w:r>
    <w:r>
      <w:rPr>
        <w:rFonts w:ascii="Times New Roman" w:hAnsi="Times New Roman"/>
        <w:sz w:val="21"/>
        <w:szCs w:val="21"/>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54AE5">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BAF0F">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40" w:lineRule="auto"/>
        <w:ind w:firstLine="600"/>
      </w:pPr>
      <w:r>
        <w:separator/>
      </w:r>
    </w:p>
  </w:footnote>
  <w:footnote w:type="continuationSeparator" w:id="5">
    <w:p>
      <w:pPr>
        <w:spacing w:line="240" w:lineRule="auto"/>
        <w:ind w:firstLine="600"/>
      </w:pPr>
      <w:r>
        <w:continuationSeparator/>
      </w:r>
    </w:p>
  </w:footnote>
  <w:footnote w:id="0">
    <w:p w14:paraId="7DAC2CD4">
      <w:pPr>
        <w:pStyle w:val="14"/>
        <w:spacing w:line="300" w:lineRule="exact"/>
        <w:ind w:firstLine="420"/>
        <w:rPr>
          <w:rFonts w:ascii="Times New Roman" w:hAnsi="Times New Roman"/>
          <w:sz w:val="21"/>
          <w:szCs w:val="21"/>
        </w:rPr>
      </w:pPr>
      <w:r>
        <w:rPr>
          <w:rStyle w:val="23"/>
          <w:rFonts w:ascii="Times New Roman" w:hAnsi="Times New Roman"/>
          <w:sz w:val="21"/>
          <w:szCs w:val="21"/>
          <w:vertAlign w:val="baseline"/>
        </w:rPr>
        <w:footnoteRef/>
      </w:r>
      <w:r>
        <w:rPr>
          <w:rFonts w:ascii="Times New Roman" w:hAnsi="Times New Roman"/>
          <w:sz w:val="21"/>
          <w:szCs w:val="21"/>
        </w:rPr>
        <w:t xml:space="preserve"> 对于REITs质押券，质押债券面值总额=质押数量（份）×上日均价（上市首日为开盘参考价）。单位为元，整数。</w:t>
      </w:r>
    </w:p>
  </w:footnote>
  <w:footnote w:id="1">
    <w:p w14:paraId="5140C5CA">
      <w:pPr>
        <w:pStyle w:val="14"/>
        <w:spacing w:line="300" w:lineRule="exact"/>
        <w:ind w:firstLine="420"/>
        <w:rPr>
          <w:rFonts w:ascii="Times New Roman" w:hAnsi="Times New Roman"/>
        </w:rPr>
      </w:pPr>
      <w:r>
        <w:rPr>
          <w:rFonts w:ascii="Times New Roman" w:hAnsi="Times New Roman"/>
          <w:sz w:val="21"/>
          <w:szCs w:val="21"/>
        </w:rPr>
        <w:footnoteRef/>
      </w:r>
      <w:r>
        <w:rPr>
          <w:rFonts w:ascii="Times New Roman" w:hAnsi="Times New Roman"/>
          <w:sz w:val="21"/>
          <w:szCs w:val="21"/>
        </w:rPr>
        <w:t xml:space="preserve"> 折算比</w:t>
      </w:r>
      <w:r>
        <w:rPr>
          <w:rFonts w:hint="eastAsia" w:ascii="Times New Roman" w:hAnsi="Times New Roman"/>
          <w:sz w:val="21"/>
          <w:szCs w:val="21"/>
        </w:rPr>
        <w:t>例</w:t>
      </w:r>
      <w:r>
        <w:rPr>
          <w:rFonts w:ascii="Times New Roman" w:hAnsi="Times New Roman"/>
          <w:sz w:val="21"/>
          <w:szCs w:val="21"/>
        </w:rPr>
        <w:t>=(成交金额/质押券面值总额)*100%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D47D3">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D5937">
    <w:pPr>
      <w:pStyle w:val="1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D65FE">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AFAB">
    <w:pPr>
      <w:pStyle w:val="1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AF8E6">
    <w:pPr>
      <w:pStyle w:val="12"/>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HorizontalSpacing w:val="150"/>
  <w:drawingGridVerticalSpacing w:val="204"/>
  <w:displayHorizontalDrawingGridEvery w:val="0"/>
  <w:displayVerticalDrawingGridEvery w:val="2"/>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920D68"/>
    <w:rsid w:val="000007D3"/>
    <w:rsid w:val="00001385"/>
    <w:rsid w:val="000032AE"/>
    <w:rsid w:val="00003E7D"/>
    <w:rsid w:val="00003FBB"/>
    <w:rsid w:val="00004264"/>
    <w:rsid w:val="00005E33"/>
    <w:rsid w:val="00010F78"/>
    <w:rsid w:val="000111AB"/>
    <w:rsid w:val="0001177E"/>
    <w:rsid w:val="00012D1B"/>
    <w:rsid w:val="00015479"/>
    <w:rsid w:val="00016775"/>
    <w:rsid w:val="00021228"/>
    <w:rsid w:val="000215EF"/>
    <w:rsid w:val="0002181E"/>
    <w:rsid w:val="000258FE"/>
    <w:rsid w:val="00026576"/>
    <w:rsid w:val="00027425"/>
    <w:rsid w:val="00027879"/>
    <w:rsid w:val="00030B16"/>
    <w:rsid w:val="00031060"/>
    <w:rsid w:val="0003112A"/>
    <w:rsid w:val="0003191A"/>
    <w:rsid w:val="00032726"/>
    <w:rsid w:val="00033EA9"/>
    <w:rsid w:val="0003481F"/>
    <w:rsid w:val="000364C6"/>
    <w:rsid w:val="00037D46"/>
    <w:rsid w:val="00040F93"/>
    <w:rsid w:val="000410C9"/>
    <w:rsid w:val="00041673"/>
    <w:rsid w:val="00042413"/>
    <w:rsid w:val="0004374D"/>
    <w:rsid w:val="00043E22"/>
    <w:rsid w:val="0004482D"/>
    <w:rsid w:val="00044D9B"/>
    <w:rsid w:val="00053325"/>
    <w:rsid w:val="000559E1"/>
    <w:rsid w:val="0005620E"/>
    <w:rsid w:val="0005660E"/>
    <w:rsid w:val="000604CE"/>
    <w:rsid w:val="00061A07"/>
    <w:rsid w:val="00062621"/>
    <w:rsid w:val="000631A8"/>
    <w:rsid w:val="00064682"/>
    <w:rsid w:val="00064BAA"/>
    <w:rsid w:val="000650B9"/>
    <w:rsid w:val="000651F7"/>
    <w:rsid w:val="00065ED7"/>
    <w:rsid w:val="00066D0B"/>
    <w:rsid w:val="00070D11"/>
    <w:rsid w:val="00071118"/>
    <w:rsid w:val="00072467"/>
    <w:rsid w:val="00073753"/>
    <w:rsid w:val="0007472F"/>
    <w:rsid w:val="00074826"/>
    <w:rsid w:val="00074D55"/>
    <w:rsid w:val="000750AA"/>
    <w:rsid w:val="000769E8"/>
    <w:rsid w:val="00076AAF"/>
    <w:rsid w:val="00076FAD"/>
    <w:rsid w:val="000772EE"/>
    <w:rsid w:val="00081B06"/>
    <w:rsid w:val="00081CA6"/>
    <w:rsid w:val="00082953"/>
    <w:rsid w:val="00083471"/>
    <w:rsid w:val="00084DAB"/>
    <w:rsid w:val="000850F7"/>
    <w:rsid w:val="000851F3"/>
    <w:rsid w:val="00086443"/>
    <w:rsid w:val="000865D6"/>
    <w:rsid w:val="00090AEE"/>
    <w:rsid w:val="0009187A"/>
    <w:rsid w:val="00091D89"/>
    <w:rsid w:val="00092CA8"/>
    <w:rsid w:val="00095C31"/>
    <w:rsid w:val="000A14EF"/>
    <w:rsid w:val="000A2273"/>
    <w:rsid w:val="000A2F4E"/>
    <w:rsid w:val="000B03F1"/>
    <w:rsid w:val="000B05E2"/>
    <w:rsid w:val="000B1CBD"/>
    <w:rsid w:val="000B36DD"/>
    <w:rsid w:val="000B70BA"/>
    <w:rsid w:val="000C230C"/>
    <w:rsid w:val="000C4157"/>
    <w:rsid w:val="000C5122"/>
    <w:rsid w:val="000C54DF"/>
    <w:rsid w:val="000C599E"/>
    <w:rsid w:val="000C60A7"/>
    <w:rsid w:val="000C6B52"/>
    <w:rsid w:val="000C7B0E"/>
    <w:rsid w:val="000D023F"/>
    <w:rsid w:val="000D0CEF"/>
    <w:rsid w:val="000D18CE"/>
    <w:rsid w:val="000D24CC"/>
    <w:rsid w:val="000D70AA"/>
    <w:rsid w:val="000D7E3D"/>
    <w:rsid w:val="000E07E9"/>
    <w:rsid w:val="000E0E04"/>
    <w:rsid w:val="000E2034"/>
    <w:rsid w:val="000E27A3"/>
    <w:rsid w:val="000E646F"/>
    <w:rsid w:val="000E751E"/>
    <w:rsid w:val="000F0099"/>
    <w:rsid w:val="000F07F6"/>
    <w:rsid w:val="000F12AD"/>
    <w:rsid w:val="000F25EE"/>
    <w:rsid w:val="000F3113"/>
    <w:rsid w:val="000F47B1"/>
    <w:rsid w:val="00101A3B"/>
    <w:rsid w:val="00102E48"/>
    <w:rsid w:val="00103405"/>
    <w:rsid w:val="001038CC"/>
    <w:rsid w:val="00104BB2"/>
    <w:rsid w:val="00105503"/>
    <w:rsid w:val="00111E60"/>
    <w:rsid w:val="00112837"/>
    <w:rsid w:val="001129F8"/>
    <w:rsid w:val="00112B5E"/>
    <w:rsid w:val="00112C49"/>
    <w:rsid w:val="00112D3A"/>
    <w:rsid w:val="00112E07"/>
    <w:rsid w:val="00113F45"/>
    <w:rsid w:val="00115232"/>
    <w:rsid w:val="001156DD"/>
    <w:rsid w:val="00115704"/>
    <w:rsid w:val="001159BE"/>
    <w:rsid w:val="00115DBB"/>
    <w:rsid w:val="00120A47"/>
    <w:rsid w:val="00121097"/>
    <w:rsid w:val="00121132"/>
    <w:rsid w:val="00121D9B"/>
    <w:rsid w:val="00122BE2"/>
    <w:rsid w:val="001262BB"/>
    <w:rsid w:val="00126532"/>
    <w:rsid w:val="00126B13"/>
    <w:rsid w:val="00130907"/>
    <w:rsid w:val="0013160D"/>
    <w:rsid w:val="0013169D"/>
    <w:rsid w:val="00131F97"/>
    <w:rsid w:val="0013324E"/>
    <w:rsid w:val="00141DDB"/>
    <w:rsid w:val="0014376B"/>
    <w:rsid w:val="001440D4"/>
    <w:rsid w:val="001465B9"/>
    <w:rsid w:val="001467A2"/>
    <w:rsid w:val="001467A9"/>
    <w:rsid w:val="00146BBB"/>
    <w:rsid w:val="0015089C"/>
    <w:rsid w:val="00151564"/>
    <w:rsid w:val="00152230"/>
    <w:rsid w:val="0015307E"/>
    <w:rsid w:val="0015382C"/>
    <w:rsid w:val="00154C04"/>
    <w:rsid w:val="00156388"/>
    <w:rsid w:val="0015654A"/>
    <w:rsid w:val="00156B0E"/>
    <w:rsid w:val="001571D8"/>
    <w:rsid w:val="001575CF"/>
    <w:rsid w:val="00160885"/>
    <w:rsid w:val="0016098A"/>
    <w:rsid w:val="0016113A"/>
    <w:rsid w:val="00162582"/>
    <w:rsid w:val="00162D4C"/>
    <w:rsid w:val="001642BE"/>
    <w:rsid w:val="00164C7C"/>
    <w:rsid w:val="00167E32"/>
    <w:rsid w:val="001728DF"/>
    <w:rsid w:val="001729C0"/>
    <w:rsid w:val="0017321D"/>
    <w:rsid w:val="0017373B"/>
    <w:rsid w:val="00176E0F"/>
    <w:rsid w:val="00180EB4"/>
    <w:rsid w:val="00182AE1"/>
    <w:rsid w:val="00183D90"/>
    <w:rsid w:val="00185467"/>
    <w:rsid w:val="00185BDF"/>
    <w:rsid w:val="00185D0E"/>
    <w:rsid w:val="00190D7B"/>
    <w:rsid w:val="00190FD3"/>
    <w:rsid w:val="00191756"/>
    <w:rsid w:val="00195D73"/>
    <w:rsid w:val="0019797B"/>
    <w:rsid w:val="001A2F20"/>
    <w:rsid w:val="001A37A4"/>
    <w:rsid w:val="001A3C61"/>
    <w:rsid w:val="001A3FD5"/>
    <w:rsid w:val="001A4EF6"/>
    <w:rsid w:val="001A5963"/>
    <w:rsid w:val="001A709F"/>
    <w:rsid w:val="001A7420"/>
    <w:rsid w:val="001B1412"/>
    <w:rsid w:val="001B173E"/>
    <w:rsid w:val="001B1AAF"/>
    <w:rsid w:val="001B1D19"/>
    <w:rsid w:val="001B205E"/>
    <w:rsid w:val="001B4CBD"/>
    <w:rsid w:val="001B61CB"/>
    <w:rsid w:val="001B6268"/>
    <w:rsid w:val="001B7C6C"/>
    <w:rsid w:val="001B7EE8"/>
    <w:rsid w:val="001C10DB"/>
    <w:rsid w:val="001C17CE"/>
    <w:rsid w:val="001C197E"/>
    <w:rsid w:val="001C60C4"/>
    <w:rsid w:val="001C7D08"/>
    <w:rsid w:val="001D208F"/>
    <w:rsid w:val="001D2622"/>
    <w:rsid w:val="001D3A4F"/>
    <w:rsid w:val="001D6571"/>
    <w:rsid w:val="001E0D14"/>
    <w:rsid w:val="001E2D48"/>
    <w:rsid w:val="001E352E"/>
    <w:rsid w:val="001E5199"/>
    <w:rsid w:val="001E523A"/>
    <w:rsid w:val="001F1DE3"/>
    <w:rsid w:val="001F47C8"/>
    <w:rsid w:val="001F4C16"/>
    <w:rsid w:val="001F747F"/>
    <w:rsid w:val="001F7E76"/>
    <w:rsid w:val="00200719"/>
    <w:rsid w:val="00207396"/>
    <w:rsid w:val="00211B83"/>
    <w:rsid w:val="00213142"/>
    <w:rsid w:val="00214D00"/>
    <w:rsid w:val="00215EFC"/>
    <w:rsid w:val="00216063"/>
    <w:rsid w:val="002172EA"/>
    <w:rsid w:val="0021776E"/>
    <w:rsid w:val="002177E4"/>
    <w:rsid w:val="00227495"/>
    <w:rsid w:val="0022777E"/>
    <w:rsid w:val="0023141C"/>
    <w:rsid w:val="00231AD4"/>
    <w:rsid w:val="0023384C"/>
    <w:rsid w:val="00234FBE"/>
    <w:rsid w:val="0024311C"/>
    <w:rsid w:val="002446C2"/>
    <w:rsid w:val="00245833"/>
    <w:rsid w:val="00246104"/>
    <w:rsid w:val="002475C8"/>
    <w:rsid w:val="00250CB1"/>
    <w:rsid w:val="00251935"/>
    <w:rsid w:val="00256180"/>
    <w:rsid w:val="0026095B"/>
    <w:rsid w:val="002614E2"/>
    <w:rsid w:val="00261DB6"/>
    <w:rsid w:val="0026480A"/>
    <w:rsid w:val="00266A0D"/>
    <w:rsid w:val="0027217C"/>
    <w:rsid w:val="002724C4"/>
    <w:rsid w:val="002733E4"/>
    <w:rsid w:val="00273EF7"/>
    <w:rsid w:val="00274B12"/>
    <w:rsid w:val="00277104"/>
    <w:rsid w:val="00277886"/>
    <w:rsid w:val="002815F7"/>
    <w:rsid w:val="002841DB"/>
    <w:rsid w:val="00292347"/>
    <w:rsid w:val="00293195"/>
    <w:rsid w:val="00293B79"/>
    <w:rsid w:val="00293DAA"/>
    <w:rsid w:val="00293F57"/>
    <w:rsid w:val="00294144"/>
    <w:rsid w:val="00294A42"/>
    <w:rsid w:val="002951FD"/>
    <w:rsid w:val="002959C9"/>
    <w:rsid w:val="0029752C"/>
    <w:rsid w:val="002A0D70"/>
    <w:rsid w:val="002A146D"/>
    <w:rsid w:val="002A1D49"/>
    <w:rsid w:val="002A6419"/>
    <w:rsid w:val="002A7BFC"/>
    <w:rsid w:val="002B030F"/>
    <w:rsid w:val="002B0855"/>
    <w:rsid w:val="002B21F2"/>
    <w:rsid w:val="002B2F70"/>
    <w:rsid w:val="002B5910"/>
    <w:rsid w:val="002C0982"/>
    <w:rsid w:val="002C2DB9"/>
    <w:rsid w:val="002C3361"/>
    <w:rsid w:val="002C3583"/>
    <w:rsid w:val="002C4C36"/>
    <w:rsid w:val="002C635F"/>
    <w:rsid w:val="002C6D90"/>
    <w:rsid w:val="002D216E"/>
    <w:rsid w:val="002D2A0C"/>
    <w:rsid w:val="002D3F99"/>
    <w:rsid w:val="002D59B3"/>
    <w:rsid w:val="002D6E9D"/>
    <w:rsid w:val="002E0A58"/>
    <w:rsid w:val="002E0D2A"/>
    <w:rsid w:val="002E2B77"/>
    <w:rsid w:val="002F0464"/>
    <w:rsid w:val="002F0B0E"/>
    <w:rsid w:val="002F0EB3"/>
    <w:rsid w:val="002F3BF2"/>
    <w:rsid w:val="0030118C"/>
    <w:rsid w:val="00301330"/>
    <w:rsid w:val="00301E34"/>
    <w:rsid w:val="00301F0E"/>
    <w:rsid w:val="00302DB4"/>
    <w:rsid w:val="00306A8F"/>
    <w:rsid w:val="00307057"/>
    <w:rsid w:val="003079A5"/>
    <w:rsid w:val="00310E67"/>
    <w:rsid w:val="00310ED2"/>
    <w:rsid w:val="00311339"/>
    <w:rsid w:val="00312E0E"/>
    <w:rsid w:val="003150EA"/>
    <w:rsid w:val="00316AB7"/>
    <w:rsid w:val="003227AA"/>
    <w:rsid w:val="0032339C"/>
    <w:rsid w:val="00324F4A"/>
    <w:rsid w:val="003308F7"/>
    <w:rsid w:val="00330EFF"/>
    <w:rsid w:val="00331492"/>
    <w:rsid w:val="0033260F"/>
    <w:rsid w:val="00332E7B"/>
    <w:rsid w:val="003339C5"/>
    <w:rsid w:val="00336B31"/>
    <w:rsid w:val="003400A9"/>
    <w:rsid w:val="003432D8"/>
    <w:rsid w:val="003438C4"/>
    <w:rsid w:val="00344D78"/>
    <w:rsid w:val="003463EC"/>
    <w:rsid w:val="00346449"/>
    <w:rsid w:val="00346779"/>
    <w:rsid w:val="00347D49"/>
    <w:rsid w:val="00347EEA"/>
    <w:rsid w:val="00351230"/>
    <w:rsid w:val="00354AA1"/>
    <w:rsid w:val="00354F95"/>
    <w:rsid w:val="003555C1"/>
    <w:rsid w:val="003602EB"/>
    <w:rsid w:val="00360404"/>
    <w:rsid w:val="00362954"/>
    <w:rsid w:val="003648E8"/>
    <w:rsid w:val="00364B13"/>
    <w:rsid w:val="0037025E"/>
    <w:rsid w:val="00371B13"/>
    <w:rsid w:val="0037362B"/>
    <w:rsid w:val="00374204"/>
    <w:rsid w:val="0037708E"/>
    <w:rsid w:val="0038029B"/>
    <w:rsid w:val="0038237A"/>
    <w:rsid w:val="00384D9B"/>
    <w:rsid w:val="00384F00"/>
    <w:rsid w:val="003864F8"/>
    <w:rsid w:val="003865CE"/>
    <w:rsid w:val="00387466"/>
    <w:rsid w:val="00387719"/>
    <w:rsid w:val="003910B5"/>
    <w:rsid w:val="00391D5C"/>
    <w:rsid w:val="00392065"/>
    <w:rsid w:val="003937FA"/>
    <w:rsid w:val="0039397B"/>
    <w:rsid w:val="00396BEF"/>
    <w:rsid w:val="00397775"/>
    <w:rsid w:val="003A3170"/>
    <w:rsid w:val="003A3604"/>
    <w:rsid w:val="003B094C"/>
    <w:rsid w:val="003B1A4A"/>
    <w:rsid w:val="003B30A4"/>
    <w:rsid w:val="003B345C"/>
    <w:rsid w:val="003B4B7D"/>
    <w:rsid w:val="003B68CF"/>
    <w:rsid w:val="003B6ECB"/>
    <w:rsid w:val="003B7232"/>
    <w:rsid w:val="003C0A16"/>
    <w:rsid w:val="003C0C3E"/>
    <w:rsid w:val="003C0DF5"/>
    <w:rsid w:val="003C1B39"/>
    <w:rsid w:val="003C1B78"/>
    <w:rsid w:val="003C5F77"/>
    <w:rsid w:val="003C65D5"/>
    <w:rsid w:val="003C75A0"/>
    <w:rsid w:val="003D003A"/>
    <w:rsid w:val="003D4B86"/>
    <w:rsid w:val="003D57C0"/>
    <w:rsid w:val="003E00F3"/>
    <w:rsid w:val="003E0512"/>
    <w:rsid w:val="003E2548"/>
    <w:rsid w:val="003E44E5"/>
    <w:rsid w:val="003E59C8"/>
    <w:rsid w:val="003E6642"/>
    <w:rsid w:val="003F0219"/>
    <w:rsid w:val="003F0BBF"/>
    <w:rsid w:val="003F1F09"/>
    <w:rsid w:val="003F2F9D"/>
    <w:rsid w:val="003F30D6"/>
    <w:rsid w:val="003F48D5"/>
    <w:rsid w:val="003F5CF4"/>
    <w:rsid w:val="00400910"/>
    <w:rsid w:val="00400C07"/>
    <w:rsid w:val="004011ED"/>
    <w:rsid w:val="00402D55"/>
    <w:rsid w:val="00404BBF"/>
    <w:rsid w:val="00407615"/>
    <w:rsid w:val="004116F2"/>
    <w:rsid w:val="00417CD2"/>
    <w:rsid w:val="00420A1D"/>
    <w:rsid w:val="00421035"/>
    <w:rsid w:val="004218BC"/>
    <w:rsid w:val="004226BB"/>
    <w:rsid w:val="00423334"/>
    <w:rsid w:val="004239B1"/>
    <w:rsid w:val="004241CD"/>
    <w:rsid w:val="004248B8"/>
    <w:rsid w:val="004258E9"/>
    <w:rsid w:val="00425AC7"/>
    <w:rsid w:val="00425B23"/>
    <w:rsid w:val="00427C7F"/>
    <w:rsid w:val="00427E25"/>
    <w:rsid w:val="0043002D"/>
    <w:rsid w:val="004320FF"/>
    <w:rsid w:val="004353FD"/>
    <w:rsid w:val="00437E7F"/>
    <w:rsid w:val="0044187E"/>
    <w:rsid w:val="004435DB"/>
    <w:rsid w:val="004450DB"/>
    <w:rsid w:val="00446D9E"/>
    <w:rsid w:val="0045061E"/>
    <w:rsid w:val="00453414"/>
    <w:rsid w:val="0045424F"/>
    <w:rsid w:val="0045432E"/>
    <w:rsid w:val="00454430"/>
    <w:rsid w:val="00457042"/>
    <w:rsid w:val="00457BED"/>
    <w:rsid w:val="00461625"/>
    <w:rsid w:val="004767B4"/>
    <w:rsid w:val="00476EA9"/>
    <w:rsid w:val="00477463"/>
    <w:rsid w:val="004776D3"/>
    <w:rsid w:val="00480D36"/>
    <w:rsid w:val="0048215F"/>
    <w:rsid w:val="00483AA7"/>
    <w:rsid w:val="004840D9"/>
    <w:rsid w:val="00484273"/>
    <w:rsid w:val="0049075D"/>
    <w:rsid w:val="00491906"/>
    <w:rsid w:val="00491FBC"/>
    <w:rsid w:val="00493CE5"/>
    <w:rsid w:val="00496C5E"/>
    <w:rsid w:val="00497D50"/>
    <w:rsid w:val="00497DD0"/>
    <w:rsid w:val="004A351F"/>
    <w:rsid w:val="004A4E7E"/>
    <w:rsid w:val="004A619F"/>
    <w:rsid w:val="004A6412"/>
    <w:rsid w:val="004B02AB"/>
    <w:rsid w:val="004B25C1"/>
    <w:rsid w:val="004B2A5A"/>
    <w:rsid w:val="004B3545"/>
    <w:rsid w:val="004B38DB"/>
    <w:rsid w:val="004B53DC"/>
    <w:rsid w:val="004B5494"/>
    <w:rsid w:val="004B5583"/>
    <w:rsid w:val="004B5C78"/>
    <w:rsid w:val="004B73C5"/>
    <w:rsid w:val="004C327D"/>
    <w:rsid w:val="004C3885"/>
    <w:rsid w:val="004C395D"/>
    <w:rsid w:val="004C43C9"/>
    <w:rsid w:val="004C507D"/>
    <w:rsid w:val="004C66E6"/>
    <w:rsid w:val="004C6FDD"/>
    <w:rsid w:val="004D1513"/>
    <w:rsid w:val="004D1E22"/>
    <w:rsid w:val="004D351A"/>
    <w:rsid w:val="004D364A"/>
    <w:rsid w:val="004D431D"/>
    <w:rsid w:val="004D6EE0"/>
    <w:rsid w:val="004E088C"/>
    <w:rsid w:val="004E37C0"/>
    <w:rsid w:val="004E563A"/>
    <w:rsid w:val="004E5F75"/>
    <w:rsid w:val="004E7E47"/>
    <w:rsid w:val="004F011B"/>
    <w:rsid w:val="004F0E49"/>
    <w:rsid w:val="004F1A46"/>
    <w:rsid w:val="004F44C1"/>
    <w:rsid w:val="004F5D18"/>
    <w:rsid w:val="004F5DAF"/>
    <w:rsid w:val="004F69F6"/>
    <w:rsid w:val="004F7CD5"/>
    <w:rsid w:val="004F7EDE"/>
    <w:rsid w:val="005001D2"/>
    <w:rsid w:val="00500328"/>
    <w:rsid w:val="005028FC"/>
    <w:rsid w:val="00505AA3"/>
    <w:rsid w:val="00510830"/>
    <w:rsid w:val="00511C7F"/>
    <w:rsid w:val="005144F4"/>
    <w:rsid w:val="005157D6"/>
    <w:rsid w:val="00515DDC"/>
    <w:rsid w:val="005165B8"/>
    <w:rsid w:val="0051661A"/>
    <w:rsid w:val="00520272"/>
    <w:rsid w:val="0052372E"/>
    <w:rsid w:val="00524739"/>
    <w:rsid w:val="00524AB9"/>
    <w:rsid w:val="00524B02"/>
    <w:rsid w:val="00525B80"/>
    <w:rsid w:val="005266FF"/>
    <w:rsid w:val="00531F0F"/>
    <w:rsid w:val="0053350F"/>
    <w:rsid w:val="00533527"/>
    <w:rsid w:val="00533B39"/>
    <w:rsid w:val="00534B8F"/>
    <w:rsid w:val="005372B7"/>
    <w:rsid w:val="00542977"/>
    <w:rsid w:val="00543CA9"/>
    <w:rsid w:val="005457F3"/>
    <w:rsid w:val="005511FC"/>
    <w:rsid w:val="0055269E"/>
    <w:rsid w:val="00557325"/>
    <w:rsid w:val="005600C3"/>
    <w:rsid w:val="005631B8"/>
    <w:rsid w:val="00563D4C"/>
    <w:rsid w:val="00565AF9"/>
    <w:rsid w:val="00566C86"/>
    <w:rsid w:val="00571560"/>
    <w:rsid w:val="00572590"/>
    <w:rsid w:val="005740C8"/>
    <w:rsid w:val="0057422C"/>
    <w:rsid w:val="00575B5D"/>
    <w:rsid w:val="005777C5"/>
    <w:rsid w:val="00580162"/>
    <w:rsid w:val="00580C59"/>
    <w:rsid w:val="005819DE"/>
    <w:rsid w:val="0058334B"/>
    <w:rsid w:val="0058672D"/>
    <w:rsid w:val="00586F10"/>
    <w:rsid w:val="00590880"/>
    <w:rsid w:val="00591448"/>
    <w:rsid w:val="005929F4"/>
    <w:rsid w:val="00594700"/>
    <w:rsid w:val="005957E9"/>
    <w:rsid w:val="005959F5"/>
    <w:rsid w:val="00597FCA"/>
    <w:rsid w:val="005A1CDF"/>
    <w:rsid w:val="005A4C47"/>
    <w:rsid w:val="005A5327"/>
    <w:rsid w:val="005A6D5A"/>
    <w:rsid w:val="005B394A"/>
    <w:rsid w:val="005B51A1"/>
    <w:rsid w:val="005B51DD"/>
    <w:rsid w:val="005B600D"/>
    <w:rsid w:val="005B6D78"/>
    <w:rsid w:val="005B7A2B"/>
    <w:rsid w:val="005C2C6C"/>
    <w:rsid w:val="005C35E6"/>
    <w:rsid w:val="005C66B5"/>
    <w:rsid w:val="005C6A82"/>
    <w:rsid w:val="005D0D5F"/>
    <w:rsid w:val="005D2995"/>
    <w:rsid w:val="005D49F8"/>
    <w:rsid w:val="005D4AE1"/>
    <w:rsid w:val="005D5E85"/>
    <w:rsid w:val="005D7323"/>
    <w:rsid w:val="005D736B"/>
    <w:rsid w:val="005D7632"/>
    <w:rsid w:val="005D7B38"/>
    <w:rsid w:val="005E0CA6"/>
    <w:rsid w:val="005E17E1"/>
    <w:rsid w:val="005E2132"/>
    <w:rsid w:val="005E3109"/>
    <w:rsid w:val="005E3274"/>
    <w:rsid w:val="005E7E13"/>
    <w:rsid w:val="005F13D7"/>
    <w:rsid w:val="005F3614"/>
    <w:rsid w:val="005F5B0E"/>
    <w:rsid w:val="0060180F"/>
    <w:rsid w:val="00601E78"/>
    <w:rsid w:val="00602914"/>
    <w:rsid w:val="0060382E"/>
    <w:rsid w:val="00603D51"/>
    <w:rsid w:val="0060556C"/>
    <w:rsid w:val="006074E2"/>
    <w:rsid w:val="00607EAA"/>
    <w:rsid w:val="00610213"/>
    <w:rsid w:val="00610C4C"/>
    <w:rsid w:val="00611297"/>
    <w:rsid w:val="00612F05"/>
    <w:rsid w:val="006134B6"/>
    <w:rsid w:val="00617CBA"/>
    <w:rsid w:val="00622FE7"/>
    <w:rsid w:val="00623078"/>
    <w:rsid w:val="00624A05"/>
    <w:rsid w:val="00626CCD"/>
    <w:rsid w:val="006320C4"/>
    <w:rsid w:val="00632E72"/>
    <w:rsid w:val="00633626"/>
    <w:rsid w:val="0063369F"/>
    <w:rsid w:val="0063729A"/>
    <w:rsid w:val="00637791"/>
    <w:rsid w:val="00640712"/>
    <w:rsid w:val="00640F46"/>
    <w:rsid w:val="00642682"/>
    <w:rsid w:val="006427B2"/>
    <w:rsid w:val="00643F9B"/>
    <w:rsid w:val="00645590"/>
    <w:rsid w:val="006514C1"/>
    <w:rsid w:val="00651F0E"/>
    <w:rsid w:val="006524D2"/>
    <w:rsid w:val="00652B46"/>
    <w:rsid w:val="006537CC"/>
    <w:rsid w:val="0065535C"/>
    <w:rsid w:val="00655692"/>
    <w:rsid w:val="00657014"/>
    <w:rsid w:val="006604B9"/>
    <w:rsid w:val="006610B4"/>
    <w:rsid w:val="006626D2"/>
    <w:rsid w:val="006704B9"/>
    <w:rsid w:val="00670F86"/>
    <w:rsid w:val="00671234"/>
    <w:rsid w:val="00672EAB"/>
    <w:rsid w:val="0067395F"/>
    <w:rsid w:val="00674555"/>
    <w:rsid w:val="00675217"/>
    <w:rsid w:val="00675A0E"/>
    <w:rsid w:val="006769D9"/>
    <w:rsid w:val="00676F54"/>
    <w:rsid w:val="00677448"/>
    <w:rsid w:val="0068139C"/>
    <w:rsid w:val="00681E3C"/>
    <w:rsid w:val="00684527"/>
    <w:rsid w:val="00686725"/>
    <w:rsid w:val="00686E7A"/>
    <w:rsid w:val="0069044A"/>
    <w:rsid w:val="0069073F"/>
    <w:rsid w:val="00690871"/>
    <w:rsid w:val="00691305"/>
    <w:rsid w:val="006947E3"/>
    <w:rsid w:val="00696390"/>
    <w:rsid w:val="00696672"/>
    <w:rsid w:val="006A0DFF"/>
    <w:rsid w:val="006A165A"/>
    <w:rsid w:val="006B2571"/>
    <w:rsid w:val="006B2784"/>
    <w:rsid w:val="006B282B"/>
    <w:rsid w:val="006B356E"/>
    <w:rsid w:val="006B7B22"/>
    <w:rsid w:val="006B7B9C"/>
    <w:rsid w:val="006C005F"/>
    <w:rsid w:val="006C214F"/>
    <w:rsid w:val="006C3BEE"/>
    <w:rsid w:val="006C52C6"/>
    <w:rsid w:val="006C77DC"/>
    <w:rsid w:val="006D1327"/>
    <w:rsid w:val="006D14A7"/>
    <w:rsid w:val="006D3216"/>
    <w:rsid w:val="006D57E1"/>
    <w:rsid w:val="006D5C24"/>
    <w:rsid w:val="006D5DEB"/>
    <w:rsid w:val="006E2460"/>
    <w:rsid w:val="006E29C5"/>
    <w:rsid w:val="006E3C31"/>
    <w:rsid w:val="006E485C"/>
    <w:rsid w:val="006E5A10"/>
    <w:rsid w:val="006E5A18"/>
    <w:rsid w:val="006E5EFA"/>
    <w:rsid w:val="006E6F43"/>
    <w:rsid w:val="006F1743"/>
    <w:rsid w:val="006F2567"/>
    <w:rsid w:val="006F2EE9"/>
    <w:rsid w:val="006F47C0"/>
    <w:rsid w:val="006F4DDC"/>
    <w:rsid w:val="006F5807"/>
    <w:rsid w:val="006F7D99"/>
    <w:rsid w:val="0070001A"/>
    <w:rsid w:val="00704243"/>
    <w:rsid w:val="00704870"/>
    <w:rsid w:val="00707891"/>
    <w:rsid w:val="00712592"/>
    <w:rsid w:val="0071482D"/>
    <w:rsid w:val="00714F88"/>
    <w:rsid w:val="0071757B"/>
    <w:rsid w:val="007176B4"/>
    <w:rsid w:val="00721ECC"/>
    <w:rsid w:val="007238AC"/>
    <w:rsid w:val="00724277"/>
    <w:rsid w:val="00727879"/>
    <w:rsid w:val="00727B84"/>
    <w:rsid w:val="00727BCB"/>
    <w:rsid w:val="00730372"/>
    <w:rsid w:val="007313C1"/>
    <w:rsid w:val="007329F5"/>
    <w:rsid w:val="00732FE8"/>
    <w:rsid w:val="00733D16"/>
    <w:rsid w:val="0073447C"/>
    <w:rsid w:val="00734564"/>
    <w:rsid w:val="0073583D"/>
    <w:rsid w:val="007369B1"/>
    <w:rsid w:val="00737401"/>
    <w:rsid w:val="0074050C"/>
    <w:rsid w:val="007414D6"/>
    <w:rsid w:val="00741EA6"/>
    <w:rsid w:val="00745FD5"/>
    <w:rsid w:val="00751A08"/>
    <w:rsid w:val="00751E75"/>
    <w:rsid w:val="0075300A"/>
    <w:rsid w:val="00756BB1"/>
    <w:rsid w:val="00761763"/>
    <w:rsid w:val="007629E2"/>
    <w:rsid w:val="00764B80"/>
    <w:rsid w:val="00765660"/>
    <w:rsid w:val="007659CC"/>
    <w:rsid w:val="0076625A"/>
    <w:rsid w:val="0077175A"/>
    <w:rsid w:val="00772A82"/>
    <w:rsid w:val="007736EF"/>
    <w:rsid w:val="00773EEB"/>
    <w:rsid w:val="007772EA"/>
    <w:rsid w:val="0078217B"/>
    <w:rsid w:val="00782185"/>
    <w:rsid w:val="007835FD"/>
    <w:rsid w:val="00783C7F"/>
    <w:rsid w:val="00784C1A"/>
    <w:rsid w:val="00785074"/>
    <w:rsid w:val="00787798"/>
    <w:rsid w:val="0079000C"/>
    <w:rsid w:val="00790068"/>
    <w:rsid w:val="007906DE"/>
    <w:rsid w:val="00792EC8"/>
    <w:rsid w:val="007A27E5"/>
    <w:rsid w:val="007A314E"/>
    <w:rsid w:val="007A5741"/>
    <w:rsid w:val="007A6111"/>
    <w:rsid w:val="007A6F0C"/>
    <w:rsid w:val="007B2005"/>
    <w:rsid w:val="007B3567"/>
    <w:rsid w:val="007C0447"/>
    <w:rsid w:val="007C4696"/>
    <w:rsid w:val="007D0469"/>
    <w:rsid w:val="007D0D78"/>
    <w:rsid w:val="007D5C40"/>
    <w:rsid w:val="007D71B8"/>
    <w:rsid w:val="007D7F62"/>
    <w:rsid w:val="007E385B"/>
    <w:rsid w:val="007E6DE8"/>
    <w:rsid w:val="007F02A6"/>
    <w:rsid w:val="007F02AE"/>
    <w:rsid w:val="007F0D58"/>
    <w:rsid w:val="007F3B90"/>
    <w:rsid w:val="007F50D8"/>
    <w:rsid w:val="007F57E0"/>
    <w:rsid w:val="007F71BD"/>
    <w:rsid w:val="00801963"/>
    <w:rsid w:val="00806967"/>
    <w:rsid w:val="00807C77"/>
    <w:rsid w:val="0081004D"/>
    <w:rsid w:val="00810AC0"/>
    <w:rsid w:val="008150F5"/>
    <w:rsid w:val="008165FA"/>
    <w:rsid w:val="00820C1D"/>
    <w:rsid w:val="00823531"/>
    <w:rsid w:val="00824525"/>
    <w:rsid w:val="00824B7C"/>
    <w:rsid w:val="0082590D"/>
    <w:rsid w:val="00826A54"/>
    <w:rsid w:val="00826B1C"/>
    <w:rsid w:val="00826B51"/>
    <w:rsid w:val="0082703D"/>
    <w:rsid w:val="00827F6A"/>
    <w:rsid w:val="00833433"/>
    <w:rsid w:val="00834246"/>
    <w:rsid w:val="008342C1"/>
    <w:rsid w:val="00834699"/>
    <w:rsid w:val="008367A4"/>
    <w:rsid w:val="00840D67"/>
    <w:rsid w:val="00840DD1"/>
    <w:rsid w:val="0084161F"/>
    <w:rsid w:val="00841865"/>
    <w:rsid w:val="0084393E"/>
    <w:rsid w:val="00843AF3"/>
    <w:rsid w:val="00844004"/>
    <w:rsid w:val="0084610B"/>
    <w:rsid w:val="0084628F"/>
    <w:rsid w:val="00846D93"/>
    <w:rsid w:val="00847C4A"/>
    <w:rsid w:val="008500AC"/>
    <w:rsid w:val="00850D4D"/>
    <w:rsid w:val="00851FDD"/>
    <w:rsid w:val="00855BC0"/>
    <w:rsid w:val="008567C4"/>
    <w:rsid w:val="008572B5"/>
    <w:rsid w:val="00865729"/>
    <w:rsid w:val="008658A5"/>
    <w:rsid w:val="00865EAE"/>
    <w:rsid w:val="00866988"/>
    <w:rsid w:val="00866CD3"/>
    <w:rsid w:val="0086702B"/>
    <w:rsid w:val="00867766"/>
    <w:rsid w:val="0087002A"/>
    <w:rsid w:val="00870693"/>
    <w:rsid w:val="0087245C"/>
    <w:rsid w:val="00872FE2"/>
    <w:rsid w:val="008731BE"/>
    <w:rsid w:val="008736DA"/>
    <w:rsid w:val="00874D87"/>
    <w:rsid w:val="00876876"/>
    <w:rsid w:val="00876CC5"/>
    <w:rsid w:val="00880916"/>
    <w:rsid w:val="008830A5"/>
    <w:rsid w:val="00883E79"/>
    <w:rsid w:val="0088610F"/>
    <w:rsid w:val="008878D0"/>
    <w:rsid w:val="008956A4"/>
    <w:rsid w:val="008A003A"/>
    <w:rsid w:val="008A0277"/>
    <w:rsid w:val="008A1FE6"/>
    <w:rsid w:val="008A4521"/>
    <w:rsid w:val="008A605B"/>
    <w:rsid w:val="008A7474"/>
    <w:rsid w:val="008A7E9E"/>
    <w:rsid w:val="008B0F93"/>
    <w:rsid w:val="008B339C"/>
    <w:rsid w:val="008B342A"/>
    <w:rsid w:val="008B34D4"/>
    <w:rsid w:val="008B4ABE"/>
    <w:rsid w:val="008B6EA1"/>
    <w:rsid w:val="008C18FE"/>
    <w:rsid w:val="008C1B04"/>
    <w:rsid w:val="008C3313"/>
    <w:rsid w:val="008C60F9"/>
    <w:rsid w:val="008C6260"/>
    <w:rsid w:val="008C6660"/>
    <w:rsid w:val="008C6CAC"/>
    <w:rsid w:val="008C73B7"/>
    <w:rsid w:val="008E166F"/>
    <w:rsid w:val="008E3001"/>
    <w:rsid w:val="008E3445"/>
    <w:rsid w:val="008E34B1"/>
    <w:rsid w:val="008E44F2"/>
    <w:rsid w:val="008E4C32"/>
    <w:rsid w:val="008E640E"/>
    <w:rsid w:val="008F0312"/>
    <w:rsid w:val="008F213B"/>
    <w:rsid w:val="008F4054"/>
    <w:rsid w:val="008F451A"/>
    <w:rsid w:val="00900888"/>
    <w:rsid w:val="00900CA9"/>
    <w:rsid w:val="00903190"/>
    <w:rsid w:val="0090321B"/>
    <w:rsid w:val="00903F72"/>
    <w:rsid w:val="00905FA5"/>
    <w:rsid w:val="00907D49"/>
    <w:rsid w:val="009118B8"/>
    <w:rsid w:val="00911E88"/>
    <w:rsid w:val="00912813"/>
    <w:rsid w:val="00914145"/>
    <w:rsid w:val="00914EBD"/>
    <w:rsid w:val="009166F9"/>
    <w:rsid w:val="00917612"/>
    <w:rsid w:val="00920AE8"/>
    <w:rsid w:val="0092115B"/>
    <w:rsid w:val="0092121B"/>
    <w:rsid w:val="00921C11"/>
    <w:rsid w:val="0092283D"/>
    <w:rsid w:val="009246DB"/>
    <w:rsid w:val="00925BB9"/>
    <w:rsid w:val="00930A87"/>
    <w:rsid w:val="00930F4B"/>
    <w:rsid w:val="00932355"/>
    <w:rsid w:val="0093327C"/>
    <w:rsid w:val="0093345B"/>
    <w:rsid w:val="00934345"/>
    <w:rsid w:val="0094209C"/>
    <w:rsid w:val="009455B4"/>
    <w:rsid w:val="00946DAD"/>
    <w:rsid w:val="00951131"/>
    <w:rsid w:val="009542EC"/>
    <w:rsid w:val="00955DE5"/>
    <w:rsid w:val="00956365"/>
    <w:rsid w:val="00956A3D"/>
    <w:rsid w:val="00957C96"/>
    <w:rsid w:val="00957F79"/>
    <w:rsid w:val="00961A0D"/>
    <w:rsid w:val="00963187"/>
    <w:rsid w:val="00963A8D"/>
    <w:rsid w:val="00964239"/>
    <w:rsid w:val="00964D68"/>
    <w:rsid w:val="009666BB"/>
    <w:rsid w:val="00970FA6"/>
    <w:rsid w:val="0097160B"/>
    <w:rsid w:val="00971F0A"/>
    <w:rsid w:val="00971F8A"/>
    <w:rsid w:val="009729A9"/>
    <w:rsid w:val="00973D4C"/>
    <w:rsid w:val="0097488F"/>
    <w:rsid w:val="00974EA0"/>
    <w:rsid w:val="00976D61"/>
    <w:rsid w:val="009817B8"/>
    <w:rsid w:val="00983303"/>
    <w:rsid w:val="00983476"/>
    <w:rsid w:val="00984137"/>
    <w:rsid w:val="009844E5"/>
    <w:rsid w:val="00984D05"/>
    <w:rsid w:val="00987D2B"/>
    <w:rsid w:val="00990906"/>
    <w:rsid w:val="00993755"/>
    <w:rsid w:val="009940D0"/>
    <w:rsid w:val="0099445C"/>
    <w:rsid w:val="00994912"/>
    <w:rsid w:val="00994962"/>
    <w:rsid w:val="00995E21"/>
    <w:rsid w:val="00996D9A"/>
    <w:rsid w:val="009A0397"/>
    <w:rsid w:val="009A08E9"/>
    <w:rsid w:val="009A2846"/>
    <w:rsid w:val="009A331F"/>
    <w:rsid w:val="009A3776"/>
    <w:rsid w:val="009A47ED"/>
    <w:rsid w:val="009A5328"/>
    <w:rsid w:val="009A53E7"/>
    <w:rsid w:val="009A5DE0"/>
    <w:rsid w:val="009A6786"/>
    <w:rsid w:val="009A6F0D"/>
    <w:rsid w:val="009A7649"/>
    <w:rsid w:val="009B1810"/>
    <w:rsid w:val="009B2245"/>
    <w:rsid w:val="009B23BD"/>
    <w:rsid w:val="009B28DF"/>
    <w:rsid w:val="009B51AA"/>
    <w:rsid w:val="009B6018"/>
    <w:rsid w:val="009B692D"/>
    <w:rsid w:val="009C08A5"/>
    <w:rsid w:val="009C0E3D"/>
    <w:rsid w:val="009C114D"/>
    <w:rsid w:val="009C5FAF"/>
    <w:rsid w:val="009C62D2"/>
    <w:rsid w:val="009D1699"/>
    <w:rsid w:val="009D322C"/>
    <w:rsid w:val="009D3F5B"/>
    <w:rsid w:val="009E1FFA"/>
    <w:rsid w:val="009E3101"/>
    <w:rsid w:val="009E5281"/>
    <w:rsid w:val="009E5E91"/>
    <w:rsid w:val="009F0B4D"/>
    <w:rsid w:val="009F25A7"/>
    <w:rsid w:val="009F4804"/>
    <w:rsid w:val="009F666C"/>
    <w:rsid w:val="009F6710"/>
    <w:rsid w:val="009F6B50"/>
    <w:rsid w:val="00A00F21"/>
    <w:rsid w:val="00A012DF"/>
    <w:rsid w:val="00A0407C"/>
    <w:rsid w:val="00A06710"/>
    <w:rsid w:val="00A070E0"/>
    <w:rsid w:val="00A0746B"/>
    <w:rsid w:val="00A10164"/>
    <w:rsid w:val="00A106FB"/>
    <w:rsid w:val="00A13485"/>
    <w:rsid w:val="00A152E0"/>
    <w:rsid w:val="00A1686A"/>
    <w:rsid w:val="00A16AD0"/>
    <w:rsid w:val="00A17299"/>
    <w:rsid w:val="00A17797"/>
    <w:rsid w:val="00A179BA"/>
    <w:rsid w:val="00A20167"/>
    <w:rsid w:val="00A20376"/>
    <w:rsid w:val="00A20C50"/>
    <w:rsid w:val="00A221FB"/>
    <w:rsid w:val="00A2467B"/>
    <w:rsid w:val="00A24983"/>
    <w:rsid w:val="00A31C02"/>
    <w:rsid w:val="00A323D4"/>
    <w:rsid w:val="00A33A91"/>
    <w:rsid w:val="00A34560"/>
    <w:rsid w:val="00A35E2E"/>
    <w:rsid w:val="00A37944"/>
    <w:rsid w:val="00A43EC7"/>
    <w:rsid w:val="00A44FE1"/>
    <w:rsid w:val="00A45CC0"/>
    <w:rsid w:val="00A46E8D"/>
    <w:rsid w:val="00A51BC2"/>
    <w:rsid w:val="00A53A33"/>
    <w:rsid w:val="00A61DE0"/>
    <w:rsid w:val="00A63D91"/>
    <w:rsid w:val="00A64CC2"/>
    <w:rsid w:val="00A6516C"/>
    <w:rsid w:val="00A65C8B"/>
    <w:rsid w:val="00A67290"/>
    <w:rsid w:val="00A70D53"/>
    <w:rsid w:val="00A73583"/>
    <w:rsid w:val="00A73EA6"/>
    <w:rsid w:val="00A75E79"/>
    <w:rsid w:val="00A77C52"/>
    <w:rsid w:val="00A81873"/>
    <w:rsid w:val="00A855B2"/>
    <w:rsid w:val="00A857D2"/>
    <w:rsid w:val="00A85EF1"/>
    <w:rsid w:val="00A8648F"/>
    <w:rsid w:val="00A917D6"/>
    <w:rsid w:val="00A9203C"/>
    <w:rsid w:val="00A92276"/>
    <w:rsid w:val="00A928BE"/>
    <w:rsid w:val="00A942D9"/>
    <w:rsid w:val="00A979BD"/>
    <w:rsid w:val="00AA035F"/>
    <w:rsid w:val="00AA0F85"/>
    <w:rsid w:val="00AA59E8"/>
    <w:rsid w:val="00AA5C34"/>
    <w:rsid w:val="00AA7D0B"/>
    <w:rsid w:val="00AB5DD0"/>
    <w:rsid w:val="00AB71BB"/>
    <w:rsid w:val="00AB7603"/>
    <w:rsid w:val="00AB76E0"/>
    <w:rsid w:val="00AC142B"/>
    <w:rsid w:val="00AC1A13"/>
    <w:rsid w:val="00AC1D63"/>
    <w:rsid w:val="00AC36D2"/>
    <w:rsid w:val="00AC3B07"/>
    <w:rsid w:val="00AC44DF"/>
    <w:rsid w:val="00AC514C"/>
    <w:rsid w:val="00AC58A8"/>
    <w:rsid w:val="00AC6BB4"/>
    <w:rsid w:val="00AD0836"/>
    <w:rsid w:val="00AD17D6"/>
    <w:rsid w:val="00AD2B25"/>
    <w:rsid w:val="00AD62F6"/>
    <w:rsid w:val="00AE02F9"/>
    <w:rsid w:val="00AE0777"/>
    <w:rsid w:val="00AE11A9"/>
    <w:rsid w:val="00AE1BC4"/>
    <w:rsid w:val="00AE1E2A"/>
    <w:rsid w:val="00AE2705"/>
    <w:rsid w:val="00AE36BE"/>
    <w:rsid w:val="00AE5B10"/>
    <w:rsid w:val="00AE6550"/>
    <w:rsid w:val="00AF2F98"/>
    <w:rsid w:val="00AF66AF"/>
    <w:rsid w:val="00B01FCE"/>
    <w:rsid w:val="00B032D6"/>
    <w:rsid w:val="00B038B0"/>
    <w:rsid w:val="00B03DB2"/>
    <w:rsid w:val="00B03FF8"/>
    <w:rsid w:val="00B07138"/>
    <w:rsid w:val="00B105F9"/>
    <w:rsid w:val="00B11AE4"/>
    <w:rsid w:val="00B11F32"/>
    <w:rsid w:val="00B14FC4"/>
    <w:rsid w:val="00B178F8"/>
    <w:rsid w:val="00B20250"/>
    <w:rsid w:val="00B217BD"/>
    <w:rsid w:val="00B21E05"/>
    <w:rsid w:val="00B227A7"/>
    <w:rsid w:val="00B2512F"/>
    <w:rsid w:val="00B263A6"/>
    <w:rsid w:val="00B30459"/>
    <w:rsid w:val="00B30BBA"/>
    <w:rsid w:val="00B32AC0"/>
    <w:rsid w:val="00B33B61"/>
    <w:rsid w:val="00B34BBD"/>
    <w:rsid w:val="00B3668B"/>
    <w:rsid w:val="00B40944"/>
    <w:rsid w:val="00B418CE"/>
    <w:rsid w:val="00B459B8"/>
    <w:rsid w:val="00B45A3E"/>
    <w:rsid w:val="00B5086A"/>
    <w:rsid w:val="00B51276"/>
    <w:rsid w:val="00B51428"/>
    <w:rsid w:val="00B51E56"/>
    <w:rsid w:val="00B52B04"/>
    <w:rsid w:val="00B537FC"/>
    <w:rsid w:val="00B5792A"/>
    <w:rsid w:val="00B61475"/>
    <w:rsid w:val="00B61AA4"/>
    <w:rsid w:val="00B62A2A"/>
    <w:rsid w:val="00B631D1"/>
    <w:rsid w:val="00B65C9B"/>
    <w:rsid w:val="00B6704F"/>
    <w:rsid w:val="00B675F2"/>
    <w:rsid w:val="00B7184E"/>
    <w:rsid w:val="00B72F95"/>
    <w:rsid w:val="00B7345A"/>
    <w:rsid w:val="00B73ADF"/>
    <w:rsid w:val="00B747EA"/>
    <w:rsid w:val="00B80DD5"/>
    <w:rsid w:val="00B8193B"/>
    <w:rsid w:val="00B81A02"/>
    <w:rsid w:val="00B82045"/>
    <w:rsid w:val="00B82200"/>
    <w:rsid w:val="00B83D25"/>
    <w:rsid w:val="00B84FB9"/>
    <w:rsid w:val="00B85BA3"/>
    <w:rsid w:val="00B867A7"/>
    <w:rsid w:val="00B927F0"/>
    <w:rsid w:val="00B94A08"/>
    <w:rsid w:val="00B96BBD"/>
    <w:rsid w:val="00BA10DC"/>
    <w:rsid w:val="00BA4015"/>
    <w:rsid w:val="00BA609D"/>
    <w:rsid w:val="00BA62C1"/>
    <w:rsid w:val="00BB20DB"/>
    <w:rsid w:val="00BB290D"/>
    <w:rsid w:val="00BB2C8A"/>
    <w:rsid w:val="00BB3255"/>
    <w:rsid w:val="00BB3D54"/>
    <w:rsid w:val="00BB49A1"/>
    <w:rsid w:val="00BB5D8D"/>
    <w:rsid w:val="00BB779D"/>
    <w:rsid w:val="00BC37F0"/>
    <w:rsid w:val="00BC4549"/>
    <w:rsid w:val="00BC5755"/>
    <w:rsid w:val="00BC5D2E"/>
    <w:rsid w:val="00BC5E92"/>
    <w:rsid w:val="00BC726E"/>
    <w:rsid w:val="00BC7777"/>
    <w:rsid w:val="00BD23A4"/>
    <w:rsid w:val="00BD30D8"/>
    <w:rsid w:val="00BD4914"/>
    <w:rsid w:val="00BD49B0"/>
    <w:rsid w:val="00BD518F"/>
    <w:rsid w:val="00BD6D3F"/>
    <w:rsid w:val="00BE00DB"/>
    <w:rsid w:val="00BE0513"/>
    <w:rsid w:val="00BE5CDF"/>
    <w:rsid w:val="00BF0236"/>
    <w:rsid w:val="00BF43A0"/>
    <w:rsid w:val="00BF485C"/>
    <w:rsid w:val="00BF5194"/>
    <w:rsid w:val="00BF5AF9"/>
    <w:rsid w:val="00BF71EB"/>
    <w:rsid w:val="00C01B14"/>
    <w:rsid w:val="00C0317B"/>
    <w:rsid w:val="00C03267"/>
    <w:rsid w:val="00C05684"/>
    <w:rsid w:val="00C10469"/>
    <w:rsid w:val="00C10D08"/>
    <w:rsid w:val="00C11296"/>
    <w:rsid w:val="00C1201C"/>
    <w:rsid w:val="00C12105"/>
    <w:rsid w:val="00C12490"/>
    <w:rsid w:val="00C16283"/>
    <w:rsid w:val="00C2016A"/>
    <w:rsid w:val="00C20AB5"/>
    <w:rsid w:val="00C21CB1"/>
    <w:rsid w:val="00C24F83"/>
    <w:rsid w:val="00C27441"/>
    <w:rsid w:val="00C30303"/>
    <w:rsid w:val="00C311B0"/>
    <w:rsid w:val="00C31520"/>
    <w:rsid w:val="00C3153D"/>
    <w:rsid w:val="00C318F3"/>
    <w:rsid w:val="00C33210"/>
    <w:rsid w:val="00C34D53"/>
    <w:rsid w:val="00C36088"/>
    <w:rsid w:val="00C40E58"/>
    <w:rsid w:val="00C41DA8"/>
    <w:rsid w:val="00C423D2"/>
    <w:rsid w:val="00C43690"/>
    <w:rsid w:val="00C44394"/>
    <w:rsid w:val="00C444F6"/>
    <w:rsid w:val="00C5506F"/>
    <w:rsid w:val="00C5534D"/>
    <w:rsid w:val="00C61FF7"/>
    <w:rsid w:val="00C64AD0"/>
    <w:rsid w:val="00C654C8"/>
    <w:rsid w:val="00C67F10"/>
    <w:rsid w:val="00C67F2E"/>
    <w:rsid w:val="00C7126B"/>
    <w:rsid w:val="00C712B3"/>
    <w:rsid w:val="00C7228B"/>
    <w:rsid w:val="00C73097"/>
    <w:rsid w:val="00C75664"/>
    <w:rsid w:val="00C760B3"/>
    <w:rsid w:val="00C77197"/>
    <w:rsid w:val="00C81642"/>
    <w:rsid w:val="00C817C8"/>
    <w:rsid w:val="00C81A98"/>
    <w:rsid w:val="00C82911"/>
    <w:rsid w:val="00C82EB2"/>
    <w:rsid w:val="00C86FE2"/>
    <w:rsid w:val="00C92588"/>
    <w:rsid w:val="00C94229"/>
    <w:rsid w:val="00C96778"/>
    <w:rsid w:val="00CA1655"/>
    <w:rsid w:val="00CA1CFD"/>
    <w:rsid w:val="00CA3233"/>
    <w:rsid w:val="00CA35CC"/>
    <w:rsid w:val="00CA44C6"/>
    <w:rsid w:val="00CA53B6"/>
    <w:rsid w:val="00CA53C3"/>
    <w:rsid w:val="00CA553E"/>
    <w:rsid w:val="00CA5A47"/>
    <w:rsid w:val="00CA5B0C"/>
    <w:rsid w:val="00CA6BE3"/>
    <w:rsid w:val="00CB1B24"/>
    <w:rsid w:val="00CB37AC"/>
    <w:rsid w:val="00CB615C"/>
    <w:rsid w:val="00CB700D"/>
    <w:rsid w:val="00CB755E"/>
    <w:rsid w:val="00CB7A52"/>
    <w:rsid w:val="00CC17E4"/>
    <w:rsid w:val="00CC6016"/>
    <w:rsid w:val="00CC6AE2"/>
    <w:rsid w:val="00CC7012"/>
    <w:rsid w:val="00CC743A"/>
    <w:rsid w:val="00CD0525"/>
    <w:rsid w:val="00CD1742"/>
    <w:rsid w:val="00CD2658"/>
    <w:rsid w:val="00CD4FE0"/>
    <w:rsid w:val="00CD5C4A"/>
    <w:rsid w:val="00CD6197"/>
    <w:rsid w:val="00CD648C"/>
    <w:rsid w:val="00CD69AA"/>
    <w:rsid w:val="00CE0292"/>
    <w:rsid w:val="00CE0FB2"/>
    <w:rsid w:val="00CE464C"/>
    <w:rsid w:val="00CE47A4"/>
    <w:rsid w:val="00CE64B3"/>
    <w:rsid w:val="00CE782A"/>
    <w:rsid w:val="00CF1182"/>
    <w:rsid w:val="00CF5088"/>
    <w:rsid w:val="00CF553E"/>
    <w:rsid w:val="00CF669C"/>
    <w:rsid w:val="00D01DF8"/>
    <w:rsid w:val="00D0314C"/>
    <w:rsid w:val="00D033B6"/>
    <w:rsid w:val="00D04001"/>
    <w:rsid w:val="00D045A5"/>
    <w:rsid w:val="00D071F6"/>
    <w:rsid w:val="00D11E10"/>
    <w:rsid w:val="00D14277"/>
    <w:rsid w:val="00D1439F"/>
    <w:rsid w:val="00D15559"/>
    <w:rsid w:val="00D16A17"/>
    <w:rsid w:val="00D171BE"/>
    <w:rsid w:val="00D234D4"/>
    <w:rsid w:val="00D235C9"/>
    <w:rsid w:val="00D25903"/>
    <w:rsid w:val="00D26FF0"/>
    <w:rsid w:val="00D276DB"/>
    <w:rsid w:val="00D27DE3"/>
    <w:rsid w:val="00D319AB"/>
    <w:rsid w:val="00D33E66"/>
    <w:rsid w:val="00D35AB8"/>
    <w:rsid w:val="00D40954"/>
    <w:rsid w:val="00D44A9C"/>
    <w:rsid w:val="00D44FEA"/>
    <w:rsid w:val="00D466FE"/>
    <w:rsid w:val="00D469DC"/>
    <w:rsid w:val="00D47FDB"/>
    <w:rsid w:val="00D51CF6"/>
    <w:rsid w:val="00D5211E"/>
    <w:rsid w:val="00D52CFB"/>
    <w:rsid w:val="00D54326"/>
    <w:rsid w:val="00D55E41"/>
    <w:rsid w:val="00D57422"/>
    <w:rsid w:val="00D60387"/>
    <w:rsid w:val="00D61D78"/>
    <w:rsid w:val="00D63984"/>
    <w:rsid w:val="00D64286"/>
    <w:rsid w:val="00D67F4C"/>
    <w:rsid w:val="00D70F9B"/>
    <w:rsid w:val="00D720CB"/>
    <w:rsid w:val="00D7250E"/>
    <w:rsid w:val="00D730D4"/>
    <w:rsid w:val="00D759F5"/>
    <w:rsid w:val="00D7693A"/>
    <w:rsid w:val="00D817C7"/>
    <w:rsid w:val="00D856BA"/>
    <w:rsid w:val="00D85AAA"/>
    <w:rsid w:val="00D86EFC"/>
    <w:rsid w:val="00D87AB6"/>
    <w:rsid w:val="00D90C55"/>
    <w:rsid w:val="00D97425"/>
    <w:rsid w:val="00DA012C"/>
    <w:rsid w:val="00DA067D"/>
    <w:rsid w:val="00DA0AC4"/>
    <w:rsid w:val="00DA108D"/>
    <w:rsid w:val="00DA28C3"/>
    <w:rsid w:val="00DA4FFD"/>
    <w:rsid w:val="00DA7B88"/>
    <w:rsid w:val="00DB10E6"/>
    <w:rsid w:val="00DB1EB6"/>
    <w:rsid w:val="00DB2462"/>
    <w:rsid w:val="00DB3AA2"/>
    <w:rsid w:val="00DB44C9"/>
    <w:rsid w:val="00DB4DE8"/>
    <w:rsid w:val="00DB58BD"/>
    <w:rsid w:val="00DB7E32"/>
    <w:rsid w:val="00DC0FE7"/>
    <w:rsid w:val="00DC114C"/>
    <w:rsid w:val="00DC14AE"/>
    <w:rsid w:val="00DC1B58"/>
    <w:rsid w:val="00DC5DFC"/>
    <w:rsid w:val="00DC605B"/>
    <w:rsid w:val="00DC6D33"/>
    <w:rsid w:val="00DC7559"/>
    <w:rsid w:val="00DD0034"/>
    <w:rsid w:val="00DD15B1"/>
    <w:rsid w:val="00DD2704"/>
    <w:rsid w:val="00DD2DF3"/>
    <w:rsid w:val="00DD2FD2"/>
    <w:rsid w:val="00DD37F5"/>
    <w:rsid w:val="00DD40EE"/>
    <w:rsid w:val="00DD6739"/>
    <w:rsid w:val="00DD6A89"/>
    <w:rsid w:val="00DD773F"/>
    <w:rsid w:val="00DE08D3"/>
    <w:rsid w:val="00DE58FA"/>
    <w:rsid w:val="00DF0624"/>
    <w:rsid w:val="00DF0C5A"/>
    <w:rsid w:val="00DF0F11"/>
    <w:rsid w:val="00DF32F5"/>
    <w:rsid w:val="00DF3F06"/>
    <w:rsid w:val="00DF4CB1"/>
    <w:rsid w:val="00DF5BDA"/>
    <w:rsid w:val="00E01260"/>
    <w:rsid w:val="00E0233D"/>
    <w:rsid w:val="00E02609"/>
    <w:rsid w:val="00E03B37"/>
    <w:rsid w:val="00E0504A"/>
    <w:rsid w:val="00E0652B"/>
    <w:rsid w:val="00E06D08"/>
    <w:rsid w:val="00E07985"/>
    <w:rsid w:val="00E1231D"/>
    <w:rsid w:val="00E12B16"/>
    <w:rsid w:val="00E1340D"/>
    <w:rsid w:val="00E1620E"/>
    <w:rsid w:val="00E162BD"/>
    <w:rsid w:val="00E16428"/>
    <w:rsid w:val="00E16901"/>
    <w:rsid w:val="00E17100"/>
    <w:rsid w:val="00E17CD5"/>
    <w:rsid w:val="00E17F48"/>
    <w:rsid w:val="00E20288"/>
    <w:rsid w:val="00E2091A"/>
    <w:rsid w:val="00E21EC5"/>
    <w:rsid w:val="00E2283A"/>
    <w:rsid w:val="00E246D2"/>
    <w:rsid w:val="00E247B5"/>
    <w:rsid w:val="00E24BC0"/>
    <w:rsid w:val="00E262CC"/>
    <w:rsid w:val="00E333B8"/>
    <w:rsid w:val="00E34854"/>
    <w:rsid w:val="00E37B05"/>
    <w:rsid w:val="00E415E8"/>
    <w:rsid w:val="00E42DDB"/>
    <w:rsid w:val="00E44138"/>
    <w:rsid w:val="00E4758C"/>
    <w:rsid w:val="00E53DD9"/>
    <w:rsid w:val="00E56E12"/>
    <w:rsid w:val="00E57B52"/>
    <w:rsid w:val="00E6127A"/>
    <w:rsid w:val="00E71719"/>
    <w:rsid w:val="00E71BE7"/>
    <w:rsid w:val="00E73638"/>
    <w:rsid w:val="00E742EC"/>
    <w:rsid w:val="00E74D2F"/>
    <w:rsid w:val="00E752E9"/>
    <w:rsid w:val="00E75626"/>
    <w:rsid w:val="00E758F5"/>
    <w:rsid w:val="00E772B5"/>
    <w:rsid w:val="00E80958"/>
    <w:rsid w:val="00E80E00"/>
    <w:rsid w:val="00E81735"/>
    <w:rsid w:val="00E81A2A"/>
    <w:rsid w:val="00E8590F"/>
    <w:rsid w:val="00E87A9D"/>
    <w:rsid w:val="00E87CCD"/>
    <w:rsid w:val="00E90034"/>
    <w:rsid w:val="00E91333"/>
    <w:rsid w:val="00E92B69"/>
    <w:rsid w:val="00E93446"/>
    <w:rsid w:val="00E9376A"/>
    <w:rsid w:val="00E93873"/>
    <w:rsid w:val="00E940DE"/>
    <w:rsid w:val="00E95682"/>
    <w:rsid w:val="00E96148"/>
    <w:rsid w:val="00EA0D99"/>
    <w:rsid w:val="00EA7760"/>
    <w:rsid w:val="00EA79C3"/>
    <w:rsid w:val="00EB049D"/>
    <w:rsid w:val="00EB0BBE"/>
    <w:rsid w:val="00EB0C1F"/>
    <w:rsid w:val="00EB1DAE"/>
    <w:rsid w:val="00EB22B3"/>
    <w:rsid w:val="00EB4D91"/>
    <w:rsid w:val="00EB6398"/>
    <w:rsid w:val="00EB67F4"/>
    <w:rsid w:val="00EC1BDB"/>
    <w:rsid w:val="00ED0F53"/>
    <w:rsid w:val="00ED22BD"/>
    <w:rsid w:val="00ED2D33"/>
    <w:rsid w:val="00ED5459"/>
    <w:rsid w:val="00ED5A7D"/>
    <w:rsid w:val="00ED5C0A"/>
    <w:rsid w:val="00ED6A4C"/>
    <w:rsid w:val="00ED70C4"/>
    <w:rsid w:val="00EE4B92"/>
    <w:rsid w:val="00EF04C3"/>
    <w:rsid w:val="00EF221C"/>
    <w:rsid w:val="00EF2C61"/>
    <w:rsid w:val="00EF30BC"/>
    <w:rsid w:val="00EF4286"/>
    <w:rsid w:val="00EF4E72"/>
    <w:rsid w:val="00EF52D6"/>
    <w:rsid w:val="00EF7A41"/>
    <w:rsid w:val="00F01010"/>
    <w:rsid w:val="00F02A76"/>
    <w:rsid w:val="00F04DC6"/>
    <w:rsid w:val="00F04FBE"/>
    <w:rsid w:val="00F070BD"/>
    <w:rsid w:val="00F101A8"/>
    <w:rsid w:val="00F11DB4"/>
    <w:rsid w:val="00F13724"/>
    <w:rsid w:val="00F1407D"/>
    <w:rsid w:val="00F1439A"/>
    <w:rsid w:val="00F15989"/>
    <w:rsid w:val="00F1643A"/>
    <w:rsid w:val="00F1722A"/>
    <w:rsid w:val="00F202D6"/>
    <w:rsid w:val="00F20520"/>
    <w:rsid w:val="00F2182D"/>
    <w:rsid w:val="00F254BB"/>
    <w:rsid w:val="00F25CA5"/>
    <w:rsid w:val="00F25DB7"/>
    <w:rsid w:val="00F312CF"/>
    <w:rsid w:val="00F3134B"/>
    <w:rsid w:val="00F31B21"/>
    <w:rsid w:val="00F32E21"/>
    <w:rsid w:val="00F354CB"/>
    <w:rsid w:val="00F37851"/>
    <w:rsid w:val="00F37BFA"/>
    <w:rsid w:val="00F41FF2"/>
    <w:rsid w:val="00F445F5"/>
    <w:rsid w:val="00F47200"/>
    <w:rsid w:val="00F5169C"/>
    <w:rsid w:val="00F51701"/>
    <w:rsid w:val="00F5608D"/>
    <w:rsid w:val="00F561E2"/>
    <w:rsid w:val="00F56DC6"/>
    <w:rsid w:val="00F57327"/>
    <w:rsid w:val="00F604FE"/>
    <w:rsid w:val="00F60D0E"/>
    <w:rsid w:val="00F6117D"/>
    <w:rsid w:val="00F614E1"/>
    <w:rsid w:val="00F61BE7"/>
    <w:rsid w:val="00F623EF"/>
    <w:rsid w:val="00F62AC8"/>
    <w:rsid w:val="00F62D18"/>
    <w:rsid w:val="00F64E09"/>
    <w:rsid w:val="00F65D41"/>
    <w:rsid w:val="00F66672"/>
    <w:rsid w:val="00F6787F"/>
    <w:rsid w:val="00F708D3"/>
    <w:rsid w:val="00F70986"/>
    <w:rsid w:val="00F70EC8"/>
    <w:rsid w:val="00F71761"/>
    <w:rsid w:val="00F738E1"/>
    <w:rsid w:val="00F73A7E"/>
    <w:rsid w:val="00F73E5D"/>
    <w:rsid w:val="00F77420"/>
    <w:rsid w:val="00F8058E"/>
    <w:rsid w:val="00F816C1"/>
    <w:rsid w:val="00F833CE"/>
    <w:rsid w:val="00F83D7B"/>
    <w:rsid w:val="00F84310"/>
    <w:rsid w:val="00F850A9"/>
    <w:rsid w:val="00F90795"/>
    <w:rsid w:val="00F9151E"/>
    <w:rsid w:val="00F922FC"/>
    <w:rsid w:val="00F952EA"/>
    <w:rsid w:val="00F952F3"/>
    <w:rsid w:val="00F9542C"/>
    <w:rsid w:val="00F95EC0"/>
    <w:rsid w:val="00F9635D"/>
    <w:rsid w:val="00F974CB"/>
    <w:rsid w:val="00FA238C"/>
    <w:rsid w:val="00FA6B40"/>
    <w:rsid w:val="00FA7A08"/>
    <w:rsid w:val="00FB1719"/>
    <w:rsid w:val="00FB30AD"/>
    <w:rsid w:val="00FB539D"/>
    <w:rsid w:val="00FB6A50"/>
    <w:rsid w:val="00FC043D"/>
    <w:rsid w:val="00FC1AC7"/>
    <w:rsid w:val="00FC2027"/>
    <w:rsid w:val="00FC2317"/>
    <w:rsid w:val="00FC425B"/>
    <w:rsid w:val="00FC4D3B"/>
    <w:rsid w:val="00FC5DA4"/>
    <w:rsid w:val="00FD0D82"/>
    <w:rsid w:val="00FD1462"/>
    <w:rsid w:val="00FD15B3"/>
    <w:rsid w:val="00FD2DDC"/>
    <w:rsid w:val="00FD3098"/>
    <w:rsid w:val="00FD3E77"/>
    <w:rsid w:val="00FD4DAB"/>
    <w:rsid w:val="00FD6619"/>
    <w:rsid w:val="00FE019F"/>
    <w:rsid w:val="00FE097E"/>
    <w:rsid w:val="00FE24AC"/>
    <w:rsid w:val="00FE2906"/>
    <w:rsid w:val="00FE291D"/>
    <w:rsid w:val="00FE461C"/>
    <w:rsid w:val="00FE4C40"/>
    <w:rsid w:val="00FE5B96"/>
    <w:rsid w:val="00FE6080"/>
    <w:rsid w:val="00FE76A8"/>
    <w:rsid w:val="00FF138D"/>
    <w:rsid w:val="00FF4D38"/>
    <w:rsid w:val="046D0DC6"/>
    <w:rsid w:val="05415872"/>
    <w:rsid w:val="0A631516"/>
    <w:rsid w:val="0B1718E7"/>
    <w:rsid w:val="0B2D2264"/>
    <w:rsid w:val="0CA47AC9"/>
    <w:rsid w:val="0F8F3F19"/>
    <w:rsid w:val="1277225B"/>
    <w:rsid w:val="14F14B75"/>
    <w:rsid w:val="16450C97"/>
    <w:rsid w:val="178612A4"/>
    <w:rsid w:val="1F003FE9"/>
    <w:rsid w:val="25D565A0"/>
    <w:rsid w:val="279117A2"/>
    <w:rsid w:val="29DB09B9"/>
    <w:rsid w:val="2E0C7349"/>
    <w:rsid w:val="2F69D1BD"/>
    <w:rsid w:val="352743C4"/>
    <w:rsid w:val="39F11E82"/>
    <w:rsid w:val="3DAE0540"/>
    <w:rsid w:val="456033DF"/>
    <w:rsid w:val="495A19E6"/>
    <w:rsid w:val="4C2B7D94"/>
    <w:rsid w:val="4E8C356D"/>
    <w:rsid w:val="51A768B2"/>
    <w:rsid w:val="52257550"/>
    <w:rsid w:val="52920D68"/>
    <w:rsid w:val="52F11223"/>
    <w:rsid w:val="56E77B1E"/>
    <w:rsid w:val="5A84160F"/>
    <w:rsid w:val="5CF24C0B"/>
    <w:rsid w:val="61502F36"/>
    <w:rsid w:val="628E75BB"/>
    <w:rsid w:val="63DE3459"/>
    <w:rsid w:val="63EC3859"/>
    <w:rsid w:val="66647A8B"/>
    <w:rsid w:val="68E42FA2"/>
    <w:rsid w:val="69270594"/>
    <w:rsid w:val="6B244B56"/>
    <w:rsid w:val="6C897019"/>
    <w:rsid w:val="738A61B6"/>
    <w:rsid w:val="73FF61DE"/>
    <w:rsid w:val="79EEE635"/>
    <w:rsid w:val="7C047802"/>
    <w:rsid w:val="7CD366A1"/>
    <w:rsid w:val="7F7D23B8"/>
    <w:rsid w:val="7F970F1B"/>
    <w:rsid w:val="FFFE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qFormat="1" w:uiPriority="99"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Calibri" w:hAnsi="Calibri" w:eastAsia="仿宋_GB2312" w:cs="Times New Roman"/>
      <w:kern w:val="2"/>
      <w:sz w:val="30"/>
      <w:szCs w:val="22"/>
      <w:lang w:val="en-US" w:eastAsia="zh-CN" w:bidi="ar-SA"/>
    </w:rPr>
  </w:style>
  <w:style w:type="paragraph" w:styleId="2">
    <w:name w:val="heading 1"/>
    <w:basedOn w:val="1"/>
    <w:next w:val="1"/>
    <w:link w:val="24"/>
    <w:qFormat/>
    <w:uiPriority w:val="0"/>
    <w:pPr>
      <w:keepNext/>
      <w:keepLines/>
      <w:spacing w:beforeLines="50" w:afterLines="50"/>
      <w:jc w:val="center"/>
      <w:outlineLvl w:val="0"/>
    </w:pPr>
    <w:rPr>
      <w:rFonts w:eastAsia="黑体"/>
      <w:b/>
      <w:bCs/>
      <w:kern w:val="44"/>
      <w:sz w:val="36"/>
      <w:szCs w:val="44"/>
    </w:rPr>
  </w:style>
  <w:style w:type="paragraph" w:styleId="3">
    <w:name w:val="heading 2"/>
    <w:basedOn w:val="1"/>
    <w:next w:val="1"/>
    <w:link w:val="28"/>
    <w:qFormat/>
    <w:uiPriority w:val="0"/>
    <w:pPr>
      <w:keepNext/>
      <w:keepLines/>
      <w:spacing w:beforeLines="50" w:afterLines="50"/>
      <w:outlineLvl w:val="1"/>
    </w:pPr>
    <w:rPr>
      <w:rFonts w:ascii="Calibri Light" w:hAnsi="Calibri Light" w:eastAsia="黑体"/>
      <w:b/>
      <w:bCs/>
      <w:sz w:val="32"/>
      <w:szCs w:val="32"/>
    </w:rPr>
  </w:style>
  <w:style w:type="paragraph" w:styleId="4">
    <w:name w:val="heading 3"/>
    <w:basedOn w:val="1"/>
    <w:next w:val="1"/>
    <w:link w:val="38"/>
    <w:unhideWhenUsed/>
    <w:qFormat/>
    <w:uiPriority w:val="0"/>
    <w:pPr>
      <w:keepNext/>
      <w:keepLines/>
      <w:outlineLvl w:val="2"/>
    </w:pPr>
    <w:rPr>
      <w:b/>
      <w:bCs/>
      <w:szCs w:val="32"/>
    </w:rPr>
  </w:style>
  <w:style w:type="paragraph" w:styleId="5">
    <w:name w:val="heading 4"/>
    <w:basedOn w:val="1"/>
    <w:next w:val="1"/>
    <w:link w:val="31"/>
    <w:qFormat/>
    <w:uiPriority w:val="0"/>
    <w:pPr>
      <w:keepNext/>
      <w:keepLines/>
      <w:spacing w:before="280" w:after="29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4"/>
    <w:qFormat/>
    <w:uiPriority w:val="0"/>
    <w:rPr>
      <w:rFonts w:ascii="宋体"/>
      <w:sz w:val="18"/>
      <w:szCs w:val="18"/>
    </w:rPr>
  </w:style>
  <w:style w:type="paragraph" w:styleId="7">
    <w:name w:val="annotation text"/>
    <w:basedOn w:val="1"/>
    <w:link w:val="36"/>
    <w:qFormat/>
    <w:uiPriority w:val="0"/>
    <w:pPr>
      <w:jc w:val="left"/>
    </w:pPr>
  </w:style>
  <w:style w:type="paragraph" w:styleId="8">
    <w:name w:val="toc 3"/>
    <w:basedOn w:val="1"/>
    <w:next w:val="1"/>
    <w:unhideWhenUsed/>
    <w:qFormat/>
    <w:uiPriority w:val="39"/>
    <w:pPr>
      <w:ind w:left="840" w:leftChars="400"/>
    </w:pPr>
  </w:style>
  <w:style w:type="paragraph" w:styleId="9">
    <w:name w:val="endnote text"/>
    <w:basedOn w:val="1"/>
    <w:link w:val="40"/>
    <w:unhideWhenUsed/>
    <w:qFormat/>
    <w:uiPriority w:val="99"/>
    <w:pPr>
      <w:snapToGrid w:val="0"/>
      <w:jc w:val="left"/>
    </w:pPr>
  </w:style>
  <w:style w:type="paragraph" w:styleId="10">
    <w:name w:val="Balloon Text"/>
    <w:basedOn w:val="1"/>
    <w:link w:val="25"/>
    <w:qFormat/>
    <w:uiPriority w:val="0"/>
    <w:rPr>
      <w:sz w:val="18"/>
      <w:szCs w:val="18"/>
    </w:rPr>
  </w:style>
  <w:style w:type="paragraph" w:styleId="11">
    <w:name w:val="footer"/>
    <w:basedOn w:val="1"/>
    <w:link w:val="27"/>
    <w:qFormat/>
    <w:uiPriority w:val="99"/>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footnote text"/>
    <w:basedOn w:val="1"/>
    <w:link w:val="39"/>
    <w:unhideWhenUsed/>
    <w:qFormat/>
    <w:uiPriority w:val="0"/>
    <w:pPr>
      <w:snapToGrid w:val="0"/>
      <w:jc w:val="left"/>
    </w:pPr>
    <w:rPr>
      <w:sz w:val="18"/>
      <w:szCs w:val="18"/>
    </w:rPr>
  </w:style>
  <w:style w:type="paragraph" w:styleId="15">
    <w:name w:val="toc 2"/>
    <w:basedOn w:val="1"/>
    <w:next w:val="1"/>
    <w:unhideWhenUsed/>
    <w:qFormat/>
    <w:uiPriority w:val="39"/>
    <w:pPr>
      <w:ind w:left="420" w:leftChars="200"/>
    </w:pPr>
  </w:style>
  <w:style w:type="paragraph" w:styleId="16">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7">
    <w:name w:val="annotation subject"/>
    <w:basedOn w:val="7"/>
    <w:next w:val="7"/>
    <w:link w:val="37"/>
    <w:qFormat/>
    <w:uiPriority w:val="0"/>
    <w:rPr>
      <w:b/>
      <w:bCs/>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unhideWhenUsed/>
    <w:qFormat/>
    <w:uiPriority w:val="99"/>
    <w:rPr>
      <w:color w:val="0563C1"/>
      <w:u w:val="single"/>
    </w:rPr>
  </w:style>
  <w:style w:type="character" w:styleId="22">
    <w:name w:val="annotation reference"/>
    <w:qFormat/>
    <w:uiPriority w:val="0"/>
    <w:rPr>
      <w:sz w:val="21"/>
      <w:szCs w:val="21"/>
    </w:rPr>
  </w:style>
  <w:style w:type="character" w:styleId="23">
    <w:name w:val="footnote reference"/>
    <w:unhideWhenUsed/>
    <w:qFormat/>
    <w:uiPriority w:val="0"/>
    <w:rPr>
      <w:vertAlign w:val="superscript"/>
    </w:rPr>
  </w:style>
  <w:style w:type="character" w:customStyle="1" w:styleId="24">
    <w:name w:val="标题 1 字符"/>
    <w:link w:val="2"/>
    <w:qFormat/>
    <w:uiPriority w:val="0"/>
    <w:rPr>
      <w:rFonts w:eastAsia="黑体"/>
      <w:b/>
      <w:bCs/>
      <w:kern w:val="44"/>
      <w:sz w:val="36"/>
      <w:szCs w:val="44"/>
    </w:rPr>
  </w:style>
  <w:style w:type="character" w:customStyle="1" w:styleId="25">
    <w:name w:val="批注框文本 字符"/>
    <w:link w:val="10"/>
    <w:qFormat/>
    <w:uiPriority w:val="0"/>
    <w:rPr>
      <w:kern w:val="2"/>
      <w:sz w:val="18"/>
      <w:szCs w:val="18"/>
    </w:rPr>
  </w:style>
  <w:style w:type="character" w:customStyle="1" w:styleId="26">
    <w:name w:val="页眉 字符"/>
    <w:link w:val="12"/>
    <w:qFormat/>
    <w:uiPriority w:val="0"/>
    <w:rPr>
      <w:kern w:val="2"/>
      <w:sz w:val="18"/>
      <w:szCs w:val="18"/>
    </w:rPr>
  </w:style>
  <w:style w:type="character" w:customStyle="1" w:styleId="27">
    <w:name w:val="页脚 字符"/>
    <w:link w:val="11"/>
    <w:qFormat/>
    <w:uiPriority w:val="99"/>
    <w:rPr>
      <w:kern w:val="2"/>
      <w:sz w:val="18"/>
      <w:szCs w:val="18"/>
    </w:rPr>
  </w:style>
  <w:style w:type="character" w:customStyle="1" w:styleId="28">
    <w:name w:val="标题 2 字符"/>
    <w:link w:val="3"/>
    <w:qFormat/>
    <w:uiPriority w:val="0"/>
    <w:rPr>
      <w:rFonts w:ascii="Calibri Light" w:hAnsi="Calibri Light" w:eastAsia="黑体"/>
      <w:b/>
      <w:bCs/>
      <w:kern w:val="2"/>
      <w:sz w:val="32"/>
      <w:szCs w:val="32"/>
    </w:rPr>
  </w:style>
  <w:style w:type="character" w:customStyle="1" w:styleId="29">
    <w:name w:val="列表段落 字符"/>
    <w:link w:val="30"/>
    <w:qFormat/>
    <w:uiPriority w:val="0"/>
    <w:rPr>
      <w:kern w:val="2"/>
      <w:sz w:val="21"/>
      <w:szCs w:val="22"/>
    </w:rPr>
  </w:style>
  <w:style w:type="paragraph" w:styleId="30">
    <w:name w:val="List Paragraph"/>
    <w:basedOn w:val="1"/>
    <w:link w:val="29"/>
    <w:qFormat/>
    <w:uiPriority w:val="0"/>
    <w:pPr>
      <w:ind w:firstLine="420"/>
    </w:pPr>
  </w:style>
  <w:style w:type="character" w:customStyle="1" w:styleId="31">
    <w:name w:val="标题 4 字符"/>
    <w:link w:val="5"/>
    <w:semiHidden/>
    <w:qFormat/>
    <w:uiPriority w:val="0"/>
    <w:rPr>
      <w:rFonts w:ascii="Cambria" w:hAnsi="Cambria" w:eastAsia="宋体" w:cs="Times New Roman"/>
      <w:b/>
      <w:bCs/>
      <w:kern w:val="2"/>
      <w:sz w:val="28"/>
      <w:szCs w:val="28"/>
    </w:rPr>
  </w:style>
  <w:style w:type="paragraph" w:customStyle="1" w:styleId="32">
    <w:name w:val="Normal0"/>
    <w:qFormat/>
    <w:uiPriority w:val="0"/>
    <w:rPr>
      <w:rFonts w:ascii="Times New Roman" w:hAnsi="Times New Roman" w:eastAsia="宋体" w:cs="Times New Roman"/>
      <w:lang w:val="en-US" w:eastAsia="en-US" w:bidi="ar-SA"/>
    </w:rPr>
  </w:style>
  <w:style w:type="paragraph" w:customStyle="1" w:styleId="33">
    <w:name w:val="TOC 标题1"/>
    <w:basedOn w:val="2"/>
    <w:next w:val="1"/>
    <w:qFormat/>
    <w:uiPriority w:val="39"/>
    <w:pPr>
      <w:widowControl/>
      <w:spacing w:before="480" w:line="276" w:lineRule="auto"/>
      <w:jc w:val="left"/>
      <w:outlineLvl w:val="9"/>
    </w:pPr>
    <w:rPr>
      <w:rFonts w:ascii="Calibri Light" w:hAnsi="Calibri Light" w:eastAsia="宋体"/>
      <w:color w:val="2E74B5"/>
      <w:kern w:val="0"/>
      <w:sz w:val="28"/>
      <w:szCs w:val="28"/>
    </w:rPr>
  </w:style>
  <w:style w:type="character" w:customStyle="1" w:styleId="34">
    <w:name w:val="文档结构图 字符"/>
    <w:link w:val="6"/>
    <w:qFormat/>
    <w:uiPriority w:val="0"/>
    <w:rPr>
      <w:rFonts w:ascii="宋体"/>
      <w:kern w:val="2"/>
      <w:sz w:val="18"/>
      <w:szCs w:val="18"/>
    </w:rPr>
  </w:style>
  <w:style w:type="character" w:customStyle="1" w:styleId="35">
    <w:name w:val="列出段落 Char1"/>
    <w:qFormat/>
    <w:uiPriority w:val="34"/>
  </w:style>
  <w:style w:type="character" w:customStyle="1" w:styleId="36">
    <w:name w:val="批注文字 字符"/>
    <w:link w:val="7"/>
    <w:qFormat/>
    <w:uiPriority w:val="0"/>
    <w:rPr>
      <w:kern w:val="2"/>
      <w:sz w:val="21"/>
      <w:szCs w:val="22"/>
    </w:rPr>
  </w:style>
  <w:style w:type="character" w:customStyle="1" w:styleId="37">
    <w:name w:val="批注主题 字符"/>
    <w:link w:val="17"/>
    <w:qFormat/>
    <w:uiPriority w:val="0"/>
    <w:rPr>
      <w:b/>
      <w:bCs/>
      <w:kern w:val="2"/>
      <w:sz w:val="21"/>
      <w:szCs w:val="22"/>
    </w:rPr>
  </w:style>
  <w:style w:type="character" w:customStyle="1" w:styleId="38">
    <w:name w:val="标题 3 字符"/>
    <w:link w:val="4"/>
    <w:qFormat/>
    <w:uiPriority w:val="0"/>
    <w:rPr>
      <w:rFonts w:eastAsia="仿宋_GB2312"/>
      <w:b/>
      <w:bCs/>
      <w:kern w:val="2"/>
      <w:sz w:val="30"/>
      <w:szCs w:val="32"/>
    </w:rPr>
  </w:style>
  <w:style w:type="character" w:customStyle="1" w:styleId="39">
    <w:name w:val="脚注文本 字符"/>
    <w:link w:val="14"/>
    <w:qFormat/>
    <w:uiPriority w:val="0"/>
    <w:rPr>
      <w:kern w:val="2"/>
      <w:sz w:val="18"/>
      <w:szCs w:val="18"/>
    </w:rPr>
  </w:style>
  <w:style w:type="character" w:customStyle="1" w:styleId="40">
    <w:name w:val="尾注文本 字符"/>
    <w:link w:val="9"/>
    <w:qFormat/>
    <w:uiPriority w:val="99"/>
    <w:rPr>
      <w:rFonts w:ascii="Calibri" w:hAnsi="Calibri" w:eastAsia="宋体" w:cs="Times New Roman"/>
      <w:kern w:val="2"/>
      <w:sz w:val="21"/>
      <w:szCs w:val="22"/>
    </w:rPr>
  </w:style>
  <w:style w:type="paragraph" w:customStyle="1" w:styleId="41">
    <w:name w:val="修订1"/>
    <w:hidden/>
    <w:unhideWhenUsed/>
    <w:qFormat/>
    <w:uiPriority w:val="99"/>
    <w:rPr>
      <w:rFonts w:ascii="Calibri" w:hAnsi="Calibri" w:eastAsia="仿宋_GB2312" w:cs="Times New Roman"/>
      <w:kern w:val="2"/>
      <w:sz w:val="30"/>
      <w:szCs w:val="22"/>
      <w:lang w:val="en-US" w:eastAsia="zh-CN" w:bidi="ar-SA"/>
    </w:rPr>
  </w:style>
  <w:style w:type="paragraph" w:customStyle="1" w:styleId="42">
    <w:name w:val="Revision"/>
    <w:hidden/>
    <w:unhideWhenUsed/>
    <w:qFormat/>
    <w:uiPriority w:val="99"/>
    <w:rPr>
      <w:rFonts w:ascii="Calibri" w:hAnsi="Calibri" w:eastAsia="仿宋_GB2312" w:cs="Times New Roman"/>
      <w:kern w:val="2"/>
      <w:sz w:val="30"/>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248"/>
    <customShpInfo spid="_x0000_s1026" textRotate="1"/>
  </customShpExts>
</s:customData>
</file>

<file path=customXml/item2.xml><?xml version="1.0" encoding="utf-8"?>
<b:Sources xmlns:b="http://schemas.openxmlformats.org/officeDocument/2006/bibliography" StyleName="APA Fifth Edition"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F81D76-9D09-4A80-BD52-89CF160BC46F}">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2268</Words>
  <Characters>12928</Characters>
  <Lines>107</Lines>
  <Paragraphs>30</Paragraphs>
  <TotalTime>271</TotalTime>
  <ScaleCrop>false</ScaleCrop>
  <LinksUpToDate>false</LinksUpToDate>
  <CharactersWithSpaces>15166</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2021-06-10T23:53:00Z</dcterms:created>
  <dc:creator>rxli</dc:creator>
  <cp:lastModifiedBy>jchke</cp:lastModifiedBy>
  <cp:lastPrinted>2021-05-28T01:32:00Z</cp:lastPrinted>
  <dcterms:modified xsi:type="dcterms:W3CDTF">2025-12-25T16:14:03Z</dcterms:modified>
  <cp:revision>637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A844C6F4125BDD8C60EF4C69DEC07E43_43</vt:lpwstr>
  </property>
</Properties>
</file>