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A011" w14:textId="77777777" w:rsidR="00273CA8" w:rsidRDefault="00273CA8" w:rsidP="00273CA8">
      <w:pPr>
        <w:spacing w:after="160" w:line="276" w:lineRule="auto"/>
        <w:jc w:val="left"/>
        <w:rPr>
          <w:rFonts w:ascii="仿宋" w:eastAsia="仿宋" w:hAnsi="仿宋"/>
          <w:sz w:val="32"/>
          <w:szCs w:val="32"/>
        </w:rPr>
      </w:pPr>
      <w:r>
        <w:rPr>
          <w:rFonts w:ascii="仿宋" w:eastAsia="仿宋" w:hAnsi="仿宋" w:hint="eastAsia"/>
          <w:sz w:val="32"/>
          <w:szCs w:val="32"/>
        </w:rPr>
        <w:t>附件1：</w:t>
      </w:r>
    </w:p>
    <w:p w14:paraId="228E55EA" w14:textId="77777777" w:rsidR="00273CA8" w:rsidRDefault="00273CA8" w:rsidP="00273CA8">
      <w:pPr>
        <w:spacing w:after="160" w:line="520" w:lineRule="exact"/>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t>2025年重庆市注册会计师行业拓展业务领域</w:t>
      </w:r>
    </w:p>
    <w:p w14:paraId="4982AC27" w14:textId="77777777" w:rsidR="00273CA8" w:rsidRDefault="00273CA8" w:rsidP="00273CA8">
      <w:pPr>
        <w:spacing w:after="160" w:line="520" w:lineRule="exact"/>
        <w:jc w:val="center"/>
        <w:rPr>
          <w:rFonts w:ascii="华文中宋" w:eastAsia="华文中宋" w:hAnsi="华文中宋" w:cs="华文中宋" w:hint="eastAsia"/>
          <w:b/>
          <w:sz w:val="36"/>
          <w:szCs w:val="36"/>
        </w:rPr>
      </w:pPr>
      <w:r>
        <w:rPr>
          <w:rFonts w:ascii="华文中宋" w:eastAsia="华文中宋" w:hAnsi="华文中宋" w:cs="华文中宋" w:hint="eastAsia"/>
          <w:b/>
          <w:sz w:val="36"/>
          <w:szCs w:val="36"/>
        </w:rPr>
        <w:t>鼓励目录</w:t>
      </w:r>
    </w:p>
    <w:p w14:paraId="35132C36" w14:textId="77777777" w:rsidR="00273CA8" w:rsidRDefault="00273CA8" w:rsidP="00273CA8">
      <w:pPr>
        <w:spacing w:after="160" w:line="520" w:lineRule="exact"/>
        <w:jc w:val="left"/>
        <w:rPr>
          <w:rFonts w:ascii="仿宋" w:eastAsia="仿宋" w:hAnsi="仿宋" w:cs="仿宋" w:hint="eastAsia"/>
          <w:sz w:val="30"/>
          <w:szCs w:val="30"/>
        </w:rPr>
      </w:pPr>
    </w:p>
    <w:p w14:paraId="3B93D781" w14:textId="77777777" w:rsidR="00273CA8" w:rsidRDefault="00273CA8" w:rsidP="00273CA8">
      <w:pPr>
        <w:numPr>
          <w:ilvl w:val="0"/>
          <w:numId w:val="1"/>
        </w:numPr>
        <w:spacing w:after="160" w:line="500" w:lineRule="exact"/>
        <w:ind w:firstLineChars="200" w:firstLine="600"/>
        <w:jc w:val="left"/>
        <w:rPr>
          <w:rFonts w:ascii="黑体" w:eastAsia="黑体" w:hAnsi="黑体" w:cs="黑体" w:hint="eastAsia"/>
          <w:bCs/>
          <w:sz w:val="30"/>
          <w:szCs w:val="30"/>
        </w:rPr>
      </w:pPr>
      <w:r>
        <w:rPr>
          <w:rFonts w:ascii="黑体" w:eastAsia="黑体" w:hAnsi="黑体" w:cs="黑体" w:hint="eastAsia"/>
          <w:bCs/>
          <w:sz w:val="30"/>
          <w:szCs w:val="30"/>
        </w:rPr>
        <w:t>业务方向拓展</w:t>
      </w:r>
    </w:p>
    <w:p w14:paraId="31BF3912"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（一）投融资活动涉及的筹划、实施和评价</w:t>
      </w:r>
    </w:p>
    <w:p w14:paraId="0FFD2CC7"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接受委托设计投融资方案，协助实施投融资计划，对投融资活动进行评价。包括整体及各个阶段的投融资目标、环境、周期、收益、风险等，为投融资决策提供参考。</w:t>
      </w:r>
    </w:p>
    <w:p w14:paraId="7EAB7B79"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（二）企业破产重整咨询</w:t>
      </w:r>
    </w:p>
    <w:p w14:paraId="13ACBF1B"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风险处置类业务包含但不限于以下类别：为拟破产企业提供预重整咨询服务，协助企业向法院提交破产、预重整申请；参与企业预重整过程中各类谈判、会议，制定预重整方案，协助企业引入投资人；企业破产重整中涉及的资产清查、涉税清查梳理、重整规划咨询、资产处置方案设计、纳税规划咨询等服务。</w:t>
      </w:r>
    </w:p>
    <w:p w14:paraId="652C22E2" w14:textId="77777777" w:rsidR="00273CA8" w:rsidRDefault="00273CA8" w:rsidP="00273CA8">
      <w:pPr>
        <w:spacing w:after="160" w:line="5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（三）根据《企业国有资产交易操作规则》，为国有企业产权转让、并购、资产重组、产品及业态整合的必要性、可行性和方案设计等提供财务、税收、法律等咨询服务。</w:t>
      </w:r>
    </w:p>
    <w:p w14:paraId="69431B28"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（四）涉及信息系统的鉴证、咨询服务</w:t>
      </w:r>
    </w:p>
    <w:p w14:paraId="4E75AC51"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接受委托提供审计服务相关信息系统的鉴证和咨询服务。包括信息化战略规划、信息系统架构设计与管理、信息系统可靠性鉴证、信息数据库建设和维护等。</w:t>
      </w:r>
    </w:p>
    <w:p w14:paraId="136070A7"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lastRenderedPageBreak/>
        <w:t>（五）战略管理咨询</w:t>
      </w:r>
    </w:p>
    <w:p w14:paraId="75CE663F" w14:textId="77777777" w:rsidR="00273CA8" w:rsidRDefault="00273CA8" w:rsidP="00273CA8">
      <w:pPr>
        <w:spacing w:after="160" w:line="500" w:lineRule="exact"/>
        <w:jc w:val="left"/>
        <w:rPr>
          <w:rFonts w:ascii="仿宋" w:eastAsia="仿宋" w:hAnsi="仿宋" w:cs="仿宋" w:hint="eastAsia"/>
          <w:sz w:val="30"/>
          <w:szCs w:val="30"/>
        </w:rPr>
      </w:pPr>
      <w:r>
        <w:rPr>
          <w:rFonts w:ascii="仿宋" w:eastAsia="仿宋" w:hAnsi="仿宋" w:cs="仿宋" w:hint="eastAsia"/>
          <w:sz w:val="30"/>
          <w:szCs w:val="30"/>
        </w:rPr>
        <w:t xml:space="preserve">   接受委托研究、制定、评价发展战略以保证有效实现其目标，研究、分析、策划委托方作为整体的功能与责任、所面临的机会与风险，以及涉及的营销、技术、组织、财务等职能领域的综合性决策问题。</w:t>
      </w:r>
    </w:p>
    <w:p w14:paraId="0A3565D8"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（六）ESG报告、企业社会责任报告鉴证、咨询服务</w:t>
      </w:r>
    </w:p>
    <w:p w14:paraId="3D90B2C3"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注册会计师利用专业知识，为企业发布环境、社会及管治 (Environmental Social and Governance) 报告（ESG报告），或社会责任报告提供咨询、鉴证服务。自然资源与环境治理、碳排放相关咨询、审计鉴证服务等。</w:t>
      </w:r>
    </w:p>
    <w:p w14:paraId="7326AB84"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（七）风险管理服务</w:t>
      </w:r>
    </w:p>
    <w:p w14:paraId="2D8EEE80" w14:textId="77777777" w:rsidR="00273CA8" w:rsidRDefault="00273CA8" w:rsidP="00273CA8">
      <w:pPr>
        <w:spacing w:after="160" w:line="520" w:lineRule="exact"/>
        <w:ind w:firstLineChars="300" w:firstLine="900"/>
        <w:jc w:val="left"/>
        <w:rPr>
          <w:rFonts w:ascii="仿宋" w:eastAsia="仿宋" w:hAnsi="仿宋" w:cs="仿宋" w:hint="eastAsia"/>
          <w:sz w:val="30"/>
          <w:szCs w:val="30"/>
        </w:rPr>
      </w:pPr>
      <w:r>
        <w:rPr>
          <w:rFonts w:ascii="仿宋" w:eastAsia="仿宋" w:hAnsi="仿宋" w:cs="仿宋" w:hint="eastAsia"/>
          <w:sz w:val="30"/>
          <w:szCs w:val="30"/>
        </w:rPr>
        <w:t>全面风险管理咨询，协助委托方打造“合规、法律、内控及风险”多位一体管控体系；债务风险管理咨询，包括参与地方政府和企业债务风险化解工作，出具咨询报告。协助委托方对违规追责情况进行调查、咨询等”。</w:t>
      </w:r>
    </w:p>
    <w:p w14:paraId="5F606E9A" w14:textId="77777777" w:rsidR="00273CA8" w:rsidRDefault="00273CA8" w:rsidP="00273CA8">
      <w:pPr>
        <w:numPr>
          <w:ilvl w:val="0"/>
          <w:numId w:val="2"/>
        </w:num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企业数据资源相关服务，包括数据资产审计、数据资产相关咨询服务。</w:t>
      </w:r>
    </w:p>
    <w:p w14:paraId="117FFC70" w14:textId="77777777" w:rsidR="00273CA8" w:rsidRDefault="00273CA8" w:rsidP="00273CA8">
      <w:pPr>
        <w:spacing w:after="160" w:line="52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九）人力资源咨询服务，包括人力资源管理诊断、薪酬制度设计、绩效考核体系设计咨询等；外派财务、审计专业人士给客户提供一年期以上的长期服务并取得咨询服务报酬（含人工成本、培训费用、管理费用、合理利润等），如向国有企业、民营企业等外派一年期以上财务总监、内审人员等。</w:t>
      </w:r>
    </w:p>
    <w:p w14:paraId="76041D24"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（十）对社会、行业发展有重大影响且专业技术创新的项目。</w:t>
      </w:r>
    </w:p>
    <w:p w14:paraId="16DEE0B9" w14:textId="77777777" w:rsidR="00273CA8" w:rsidRDefault="00273CA8" w:rsidP="00273CA8">
      <w:pPr>
        <w:numPr>
          <w:ilvl w:val="0"/>
          <w:numId w:val="1"/>
        </w:numPr>
        <w:spacing w:after="160" w:line="500" w:lineRule="exact"/>
        <w:ind w:firstLineChars="200" w:firstLine="600"/>
        <w:jc w:val="left"/>
        <w:rPr>
          <w:rFonts w:ascii="黑体" w:eastAsia="黑体" w:hAnsi="黑体" w:cs="黑体" w:hint="eastAsia"/>
          <w:bCs/>
          <w:sz w:val="30"/>
          <w:szCs w:val="30"/>
        </w:rPr>
      </w:pPr>
      <w:r>
        <w:rPr>
          <w:rFonts w:ascii="黑体" w:eastAsia="黑体" w:hAnsi="黑体" w:cs="黑体" w:hint="eastAsia"/>
          <w:bCs/>
          <w:sz w:val="30"/>
          <w:szCs w:val="30"/>
        </w:rPr>
        <w:lastRenderedPageBreak/>
        <w:t>作业方法拓展</w:t>
      </w:r>
    </w:p>
    <w:p w14:paraId="7F5FC962" w14:textId="77777777" w:rsidR="00273CA8" w:rsidRDefault="00273CA8" w:rsidP="00273CA8">
      <w:pPr>
        <w:numPr>
          <w:ilvl w:val="0"/>
          <w:numId w:val="3"/>
        </w:num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与人工智能技术结合的人机协同作业方法拓展。</w:t>
      </w:r>
    </w:p>
    <w:p w14:paraId="18BDACF0" w14:textId="77777777" w:rsidR="00273CA8" w:rsidRDefault="00273CA8" w:rsidP="00273CA8">
      <w:pPr>
        <w:numPr>
          <w:ilvl w:val="0"/>
          <w:numId w:val="3"/>
        </w:num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与函证规范化、集约化、数字化相关的作业方法拓展。</w:t>
      </w:r>
    </w:p>
    <w:p w14:paraId="3FA0423D" w14:textId="77777777" w:rsidR="00273CA8" w:rsidRDefault="00273CA8" w:rsidP="00273CA8">
      <w:pPr>
        <w:numPr>
          <w:ilvl w:val="0"/>
          <w:numId w:val="3"/>
        </w:num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会计师事务所反洗钱相关的作业方法拓展</w:t>
      </w:r>
    </w:p>
    <w:p w14:paraId="0219E9D8" w14:textId="77777777" w:rsidR="00273CA8" w:rsidRDefault="00273CA8" w:rsidP="00273CA8">
      <w:pPr>
        <w:numPr>
          <w:ilvl w:val="0"/>
          <w:numId w:val="1"/>
        </w:numPr>
        <w:spacing w:after="160" w:line="500" w:lineRule="exact"/>
        <w:ind w:firstLineChars="200" w:firstLine="600"/>
        <w:jc w:val="left"/>
        <w:rPr>
          <w:rFonts w:ascii="黑体" w:eastAsia="黑体" w:hAnsi="黑体" w:cs="黑体" w:hint="eastAsia"/>
          <w:bCs/>
          <w:sz w:val="30"/>
          <w:szCs w:val="30"/>
        </w:rPr>
      </w:pPr>
      <w:r>
        <w:rPr>
          <w:rFonts w:ascii="黑体" w:eastAsia="黑体" w:hAnsi="黑体" w:cs="黑体" w:hint="eastAsia"/>
          <w:bCs/>
          <w:sz w:val="30"/>
          <w:szCs w:val="30"/>
        </w:rPr>
        <w:t>国际业务拓展</w:t>
      </w:r>
    </w:p>
    <w:p w14:paraId="372CA21E" w14:textId="77777777" w:rsidR="00273CA8" w:rsidRDefault="00273CA8" w:rsidP="00273CA8">
      <w:pPr>
        <w:numPr>
          <w:ilvl w:val="0"/>
          <w:numId w:val="4"/>
        </w:num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中企出海相关的：市场进入与战略规划支持、合规经营与风险管控、投融资与并购交易支持等咨询、审计鉴证服务。</w:t>
      </w:r>
    </w:p>
    <w:p w14:paraId="4654178A" w14:textId="77777777" w:rsidR="00273CA8" w:rsidRDefault="00273CA8" w:rsidP="00273CA8">
      <w:pPr>
        <w:numPr>
          <w:ilvl w:val="0"/>
          <w:numId w:val="4"/>
        </w:num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外资企业在境内机构的日常运营与合规、政府监管协同、资本变动与重组相关的咨询、审计鉴证服务</w:t>
      </w:r>
    </w:p>
    <w:p w14:paraId="2317F448"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（三）其他境外经营活动综合服务</w:t>
      </w:r>
    </w:p>
    <w:p w14:paraId="69033E41" w14:textId="77777777" w:rsidR="00273CA8" w:rsidRDefault="00273CA8" w:rsidP="00273CA8">
      <w:pPr>
        <w:spacing w:after="160" w:line="50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为委托方在境外开展的经营、投资、并购、上市等活动提供尽职调查、策划、评价、管理等服务。</w:t>
      </w:r>
    </w:p>
    <w:p w14:paraId="3C78241F" w14:textId="77777777" w:rsidR="00273CA8" w:rsidRDefault="00273CA8" w:rsidP="00273CA8">
      <w:pPr>
        <w:spacing w:after="160" w:line="276" w:lineRule="auto"/>
        <w:jc w:val="left"/>
        <w:rPr>
          <w:rFonts w:ascii="仿宋" w:eastAsia="仿宋" w:hAnsi="仿宋" w:hint="eastAsia"/>
          <w:sz w:val="32"/>
          <w:szCs w:val="32"/>
        </w:rPr>
      </w:pPr>
    </w:p>
    <w:p w14:paraId="60D55B99" w14:textId="77777777" w:rsidR="00BA13F5" w:rsidRDefault="00BA13F5"/>
    <w:sectPr w:rsidR="00BA1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298A52"/>
    <w:multiLevelType w:val="singleLevel"/>
    <w:tmpl w:val="D6298A52"/>
    <w:lvl w:ilvl="0">
      <w:start w:val="8"/>
      <w:numFmt w:val="chineseCounting"/>
      <w:suff w:val="nothing"/>
      <w:lvlText w:val="（%1）"/>
      <w:lvlJc w:val="left"/>
      <w:pPr>
        <w:ind w:left="0" w:firstLine="0"/>
      </w:pPr>
    </w:lvl>
  </w:abstractNum>
  <w:abstractNum w:abstractNumId="1" w15:restartNumberingAfterBreak="0">
    <w:nsid w:val="02B1ADCE"/>
    <w:multiLevelType w:val="singleLevel"/>
    <w:tmpl w:val="02B1ADCE"/>
    <w:lvl w:ilvl="0">
      <w:start w:val="1"/>
      <w:numFmt w:val="chineseCounting"/>
      <w:suff w:val="nothing"/>
      <w:lvlText w:val="（%1）"/>
      <w:lvlJc w:val="left"/>
      <w:pPr>
        <w:ind w:left="0" w:firstLine="0"/>
      </w:pPr>
    </w:lvl>
  </w:abstractNum>
  <w:abstractNum w:abstractNumId="2" w15:restartNumberingAfterBreak="0">
    <w:nsid w:val="240752CB"/>
    <w:multiLevelType w:val="singleLevel"/>
    <w:tmpl w:val="240752CB"/>
    <w:lvl w:ilvl="0">
      <w:start w:val="1"/>
      <w:numFmt w:val="chineseCounting"/>
      <w:suff w:val="nothing"/>
      <w:lvlText w:val="（%1）"/>
      <w:lvlJc w:val="left"/>
      <w:pPr>
        <w:ind w:left="0" w:firstLine="0"/>
      </w:pPr>
    </w:lvl>
  </w:abstractNum>
  <w:abstractNum w:abstractNumId="3" w15:restartNumberingAfterBreak="0">
    <w:nsid w:val="61BB6C54"/>
    <w:multiLevelType w:val="singleLevel"/>
    <w:tmpl w:val="61BB6C54"/>
    <w:lvl w:ilvl="0">
      <w:start w:val="1"/>
      <w:numFmt w:val="chineseCounting"/>
      <w:suff w:val="nothing"/>
      <w:lvlText w:val="%1、"/>
      <w:lvlJc w:val="left"/>
      <w:pPr>
        <w:ind w:left="0" w:firstLine="0"/>
      </w:pPr>
    </w:lvl>
  </w:abstractNum>
  <w:num w:numId="1" w16cid:durableId="806701792">
    <w:abstractNumId w:val="3"/>
    <w:lvlOverride w:ilvl="0">
      <w:startOverride w:val="1"/>
    </w:lvlOverride>
  </w:num>
  <w:num w:numId="2" w16cid:durableId="1381242213">
    <w:abstractNumId w:val="0"/>
    <w:lvlOverride w:ilvl="0">
      <w:startOverride w:val="8"/>
    </w:lvlOverride>
  </w:num>
  <w:num w:numId="3" w16cid:durableId="345443884">
    <w:abstractNumId w:val="2"/>
    <w:lvlOverride w:ilvl="0">
      <w:startOverride w:val="1"/>
    </w:lvlOverride>
  </w:num>
  <w:num w:numId="4" w16cid:durableId="12104139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F5"/>
    <w:rsid w:val="00273CA8"/>
    <w:rsid w:val="00BA13F5"/>
    <w:rsid w:val="00C00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00BA7-A268-4565-80E7-42F353B4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CA8"/>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BA13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3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3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3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3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3F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3F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3F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A13F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3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3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3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3F5"/>
    <w:rPr>
      <w:rFonts w:cstheme="majorBidi"/>
      <w:color w:val="2F5496" w:themeColor="accent1" w:themeShade="BF"/>
      <w:sz w:val="28"/>
      <w:szCs w:val="28"/>
    </w:rPr>
  </w:style>
  <w:style w:type="character" w:customStyle="1" w:styleId="50">
    <w:name w:val="标题 5 字符"/>
    <w:basedOn w:val="a0"/>
    <w:link w:val="5"/>
    <w:uiPriority w:val="9"/>
    <w:semiHidden/>
    <w:rsid w:val="00BA13F5"/>
    <w:rPr>
      <w:rFonts w:cstheme="majorBidi"/>
      <w:color w:val="2F5496" w:themeColor="accent1" w:themeShade="BF"/>
      <w:sz w:val="24"/>
    </w:rPr>
  </w:style>
  <w:style w:type="character" w:customStyle="1" w:styleId="60">
    <w:name w:val="标题 6 字符"/>
    <w:basedOn w:val="a0"/>
    <w:link w:val="6"/>
    <w:uiPriority w:val="9"/>
    <w:semiHidden/>
    <w:rsid w:val="00BA13F5"/>
    <w:rPr>
      <w:rFonts w:cstheme="majorBidi"/>
      <w:b/>
      <w:bCs/>
      <w:color w:val="2F5496" w:themeColor="accent1" w:themeShade="BF"/>
    </w:rPr>
  </w:style>
  <w:style w:type="character" w:customStyle="1" w:styleId="70">
    <w:name w:val="标题 7 字符"/>
    <w:basedOn w:val="a0"/>
    <w:link w:val="7"/>
    <w:uiPriority w:val="9"/>
    <w:semiHidden/>
    <w:rsid w:val="00BA13F5"/>
    <w:rPr>
      <w:rFonts w:cstheme="majorBidi"/>
      <w:b/>
      <w:bCs/>
      <w:color w:val="595959" w:themeColor="text1" w:themeTint="A6"/>
    </w:rPr>
  </w:style>
  <w:style w:type="character" w:customStyle="1" w:styleId="80">
    <w:name w:val="标题 8 字符"/>
    <w:basedOn w:val="a0"/>
    <w:link w:val="8"/>
    <w:uiPriority w:val="9"/>
    <w:semiHidden/>
    <w:rsid w:val="00BA13F5"/>
    <w:rPr>
      <w:rFonts w:cstheme="majorBidi"/>
      <w:color w:val="595959" w:themeColor="text1" w:themeTint="A6"/>
    </w:rPr>
  </w:style>
  <w:style w:type="character" w:customStyle="1" w:styleId="90">
    <w:name w:val="标题 9 字符"/>
    <w:basedOn w:val="a0"/>
    <w:link w:val="9"/>
    <w:uiPriority w:val="9"/>
    <w:semiHidden/>
    <w:rsid w:val="00BA13F5"/>
    <w:rPr>
      <w:rFonts w:eastAsiaTheme="majorEastAsia" w:cstheme="majorBidi"/>
      <w:color w:val="595959" w:themeColor="text1" w:themeTint="A6"/>
    </w:rPr>
  </w:style>
  <w:style w:type="paragraph" w:styleId="a3">
    <w:name w:val="Title"/>
    <w:basedOn w:val="a"/>
    <w:next w:val="a"/>
    <w:link w:val="a4"/>
    <w:uiPriority w:val="10"/>
    <w:qFormat/>
    <w:rsid w:val="00BA13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3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3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3F5"/>
    <w:pPr>
      <w:spacing w:before="160"/>
      <w:jc w:val="center"/>
    </w:pPr>
    <w:rPr>
      <w:i/>
      <w:iCs/>
      <w:color w:val="404040" w:themeColor="text1" w:themeTint="BF"/>
    </w:rPr>
  </w:style>
  <w:style w:type="character" w:customStyle="1" w:styleId="a8">
    <w:name w:val="引用 字符"/>
    <w:basedOn w:val="a0"/>
    <w:link w:val="a7"/>
    <w:uiPriority w:val="29"/>
    <w:rsid w:val="00BA13F5"/>
    <w:rPr>
      <w:i/>
      <w:iCs/>
      <w:color w:val="404040" w:themeColor="text1" w:themeTint="BF"/>
    </w:rPr>
  </w:style>
  <w:style w:type="paragraph" w:styleId="a9">
    <w:name w:val="List Paragraph"/>
    <w:basedOn w:val="a"/>
    <w:uiPriority w:val="34"/>
    <w:qFormat/>
    <w:rsid w:val="00BA13F5"/>
    <w:pPr>
      <w:ind w:left="720"/>
      <w:contextualSpacing/>
    </w:pPr>
  </w:style>
  <w:style w:type="character" w:styleId="aa">
    <w:name w:val="Intense Emphasis"/>
    <w:basedOn w:val="a0"/>
    <w:uiPriority w:val="21"/>
    <w:qFormat/>
    <w:rsid w:val="00BA13F5"/>
    <w:rPr>
      <w:i/>
      <w:iCs/>
      <w:color w:val="2F5496" w:themeColor="accent1" w:themeShade="BF"/>
    </w:rPr>
  </w:style>
  <w:style w:type="paragraph" w:styleId="ab">
    <w:name w:val="Intense Quote"/>
    <w:basedOn w:val="a"/>
    <w:next w:val="a"/>
    <w:link w:val="ac"/>
    <w:uiPriority w:val="30"/>
    <w:qFormat/>
    <w:rsid w:val="00BA1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3F5"/>
    <w:rPr>
      <w:i/>
      <w:iCs/>
      <w:color w:val="2F5496" w:themeColor="accent1" w:themeShade="BF"/>
    </w:rPr>
  </w:style>
  <w:style w:type="character" w:styleId="ad">
    <w:name w:val="Intense Reference"/>
    <w:basedOn w:val="a0"/>
    <w:uiPriority w:val="32"/>
    <w:qFormat/>
    <w:rsid w:val="00BA1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胡鹏</dc:creator>
  <cp:keywords/>
  <dc:description/>
  <cp:lastModifiedBy>胡鹏</cp:lastModifiedBy>
  <cp:revision>3</cp:revision>
  <dcterms:created xsi:type="dcterms:W3CDTF">2025-12-31T00:58:00Z</dcterms:created>
  <dcterms:modified xsi:type="dcterms:W3CDTF">2025-12-31T00:58:00Z</dcterms:modified>
</cp:coreProperties>
</file>