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3847A">
      <w:pPr>
        <w:widowControl/>
        <w:spacing w:line="560" w:lineRule="exact"/>
        <w:jc w:val="left"/>
        <w:rPr>
          <w:rFonts w:hint="eastAsia" w:ascii="黑体" w:hAnsi="黑体" w:eastAsia="黑体"/>
          <w:spacing w:val="-4"/>
          <w:sz w:val="32"/>
          <w:szCs w:val="32"/>
          <w:lang w:val="en-US" w:eastAsia="zh-CN"/>
        </w:rPr>
      </w:pPr>
      <w:bookmarkStart w:id="0" w:name="_GoBack"/>
      <w:bookmarkEnd w:id="0"/>
      <w:r>
        <w:rPr>
          <w:rFonts w:hint="eastAsia" w:ascii="黑体" w:hAnsi="黑体" w:eastAsia="黑体"/>
          <w:spacing w:val="-4"/>
          <w:sz w:val="32"/>
          <w:szCs w:val="32"/>
        </w:rPr>
        <w:t>附件</w:t>
      </w:r>
      <w:r>
        <w:rPr>
          <w:rFonts w:hint="default" w:ascii="Times New Roman" w:hAnsi="Times New Roman" w:eastAsia="黑体" w:cs="Times New Roman"/>
          <w:spacing w:val="-4"/>
          <w:sz w:val="32"/>
          <w:szCs w:val="32"/>
          <w:lang w:val="en-US" w:eastAsia="zh-CN"/>
        </w:rPr>
        <w:t>2</w:t>
      </w:r>
    </w:p>
    <w:p w14:paraId="3AC9B99B">
      <w:pPr>
        <w:adjustRightInd w:val="0"/>
        <w:snapToGrid w:val="0"/>
        <w:spacing w:line="560" w:lineRule="exact"/>
        <w:rPr>
          <w:rFonts w:hint="eastAsia" w:ascii="方正大标宋简体" w:hAnsi="方正大标宋简体" w:eastAsia="方正大标宋简体" w:cs="方正大标宋简体"/>
          <w:bCs/>
          <w:color w:val="000000"/>
          <w:spacing w:val="-4"/>
          <w:sz w:val="44"/>
          <w:szCs w:val="44"/>
        </w:rPr>
      </w:pPr>
    </w:p>
    <w:p w14:paraId="4EAAD008">
      <w:pPr>
        <w:adjustRightInd w:val="0"/>
        <w:snapToGrid w:val="0"/>
        <w:spacing w:line="560" w:lineRule="exact"/>
        <w:jc w:val="center"/>
        <w:rPr>
          <w:rFonts w:hint="eastAsia" w:ascii="方正大标宋简体" w:hAnsi="方正大标宋简体" w:eastAsia="方正大标宋简体" w:cs="方正大标宋简体"/>
          <w:bCs/>
          <w:color w:val="000000"/>
          <w:spacing w:val="-4"/>
          <w:sz w:val="44"/>
          <w:szCs w:val="44"/>
        </w:rPr>
      </w:pPr>
      <w:r>
        <w:rPr>
          <w:rFonts w:hint="eastAsia" w:ascii="方正大标宋简体" w:hAnsi="方正大标宋简体" w:eastAsia="方正大标宋简体" w:cs="方正大标宋简体"/>
          <w:bCs/>
          <w:color w:val="000000"/>
          <w:spacing w:val="-4"/>
          <w:sz w:val="44"/>
          <w:szCs w:val="44"/>
        </w:rPr>
        <w:t>《上海证券交易所纪律处分和监管措施</w:t>
      </w:r>
    </w:p>
    <w:p w14:paraId="64B5F933">
      <w:pPr>
        <w:adjustRightInd w:val="0"/>
        <w:snapToGrid w:val="0"/>
        <w:spacing w:line="560" w:lineRule="exact"/>
        <w:jc w:val="center"/>
        <w:rPr>
          <w:rFonts w:hint="eastAsia" w:ascii="方正大标宋简体" w:hAnsi="方正大标宋简体" w:eastAsia="方正大标宋简体" w:cs="方正大标宋简体"/>
          <w:bCs/>
          <w:color w:val="000000"/>
          <w:spacing w:val="-4"/>
          <w:sz w:val="44"/>
          <w:szCs w:val="44"/>
        </w:rPr>
      </w:pPr>
      <w:r>
        <w:rPr>
          <w:rFonts w:hint="eastAsia" w:ascii="方正大标宋简体" w:hAnsi="方正大标宋简体" w:eastAsia="方正大标宋简体" w:cs="方正大标宋简体"/>
          <w:bCs/>
          <w:color w:val="000000"/>
          <w:spacing w:val="-4"/>
          <w:sz w:val="44"/>
          <w:szCs w:val="44"/>
        </w:rPr>
        <w:t>实施办法</w:t>
      </w:r>
      <w:r>
        <w:rPr>
          <w:rFonts w:hint="eastAsia" w:ascii="方正大标宋简体" w:hAnsi="方正大标宋简体" w:eastAsia="方正大标宋简体" w:cs="方正大标宋简体"/>
          <w:bCs/>
          <w:color w:val="000000"/>
          <w:spacing w:val="-4"/>
          <w:sz w:val="44"/>
          <w:szCs w:val="44"/>
        </w:rPr>
        <w:t>（</w:t>
      </w:r>
      <w:r>
        <w:rPr>
          <w:rFonts w:ascii="Times New Roman" w:hAnsi="Times New Roman" w:eastAsia="方正大标宋简体"/>
          <w:bCs/>
          <w:color w:val="000000"/>
          <w:spacing w:val="-4"/>
          <w:sz w:val="44"/>
          <w:szCs w:val="44"/>
        </w:rPr>
        <w:t>202</w:t>
      </w:r>
      <w:r>
        <w:rPr>
          <w:rFonts w:hint="eastAsia" w:ascii="Times New Roman" w:hAnsi="Times New Roman" w:eastAsia="方正大标宋简体"/>
          <w:bCs/>
          <w:color w:val="000000"/>
          <w:spacing w:val="-4"/>
          <w:sz w:val="44"/>
          <w:szCs w:val="44"/>
          <w:lang w:val="en-US" w:eastAsia="zh-CN"/>
        </w:rPr>
        <w:t>6</w:t>
      </w:r>
      <w:r>
        <w:rPr>
          <w:rFonts w:hint="eastAsia" w:ascii="方正大标宋简体" w:hAnsi="方正大标宋简体" w:eastAsia="方正大标宋简体" w:cs="方正大标宋简体"/>
          <w:bCs/>
          <w:color w:val="000000"/>
          <w:spacing w:val="-4"/>
          <w:sz w:val="44"/>
          <w:szCs w:val="44"/>
        </w:rPr>
        <w:t>年修订）</w:t>
      </w:r>
      <w:r>
        <w:rPr>
          <w:rFonts w:hint="eastAsia" w:ascii="方正大标宋简体" w:hAnsi="方正大标宋简体" w:eastAsia="方正大标宋简体" w:cs="方正大标宋简体"/>
          <w:bCs/>
          <w:color w:val="000000"/>
          <w:spacing w:val="-4"/>
          <w:sz w:val="44"/>
          <w:szCs w:val="44"/>
        </w:rPr>
        <w:t>》</w:t>
      </w:r>
    </w:p>
    <w:p w14:paraId="4393A36C">
      <w:pPr>
        <w:adjustRightInd w:val="0"/>
        <w:snapToGrid w:val="0"/>
        <w:spacing w:line="560" w:lineRule="exact"/>
        <w:jc w:val="center"/>
        <w:rPr>
          <w:rFonts w:hint="eastAsia" w:ascii="方正大标宋简体" w:hAnsi="方正大标宋简体" w:eastAsia="方正大标宋简体" w:cs="方正大标宋简体"/>
          <w:bCs/>
          <w:color w:val="000000"/>
          <w:spacing w:val="-4"/>
          <w:sz w:val="44"/>
          <w:szCs w:val="44"/>
        </w:rPr>
      </w:pPr>
      <w:r>
        <w:rPr>
          <w:rFonts w:hint="eastAsia" w:ascii="方正大标宋简体" w:hAnsi="方正大标宋简体" w:eastAsia="方正大标宋简体" w:cs="方正大标宋简体"/>
          <w:bCs/>
          <w:color w:val="000000"/>
          <w:spacing w:val="-4"/>
          <w:sz w:val="44"/>
          <w:szCs w:val="44"/>
        </w:rPr>
        <w:t>修订说明</w:t>
      </w:r>
    </w:p>
    <w:p w14:paraId="778C8536">
      <w:pPr>
        <w:adjustRightInd w:val="0"/>
        <w:snapToGrid w:val="0"/>
        <w:spacing w:line="560" w:lineRule="exact"/>
        <w:jc w:val="center"/>
        <w:rPr>
          <w:rFonts w:ascii="Times New Roman" w:hAnsi="Times New Roman" w:eastAsia="黑体"/>
          <w:bCs/>
          <w:color w:val="000000"/>
          <w:spacing w:val="-4"/>
          <w:sz w:val="32"/>
          <w:szCs w:val="32"/>
        </w:rPr>
      </w:pPr>
      <w:r>
        <w:rPr>
          <w:rFonts w:hint="eastAsia" w:ascii="Times New Roman" w:hAnsi="Times New Roman" w:eastAsia="黑体"/>
          <w:bCs/>
          <w:color w:val="000000"/>
          <w:spacing w:val="-4"/>
          <w:sz w:val="32"/>
          <w:szCs w:val="32"/>
        </w:rPr>
        <w:t xml:space="preserve"> </w:t>
      </w:r>
    </w:p>
    <w:p w14:paraId="614B49B0">
      <w:pPr>
        <w:adjustRightInd w:val="0"/>
        <w:snapToGrid w:val="0"/>
        <w:spacing w:line="560" w:lineRule="exact"/>
        <w:ind w:firstLine="640" w:firstLineChars="200"/>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为深入贯彻落实《国务院关于加强监管防范风险推动资本市场高质量发展的若干意见》关于全面加强监管、提升监管效能等部署要求，持续提升自律监管的规范性和有效性，进一步规范上海证券交易所（以下简称本所）纪律处分和监管措施实施工作，保护投资者合法权益，本所对《上海证券交易所纪律处分</w:t>
      </w:r>
      <w:r>
        <w:rPr>
          <w:rFonts w:hint="eastAsia" w:ascii="Times New Roman" w:hAnsi="Times New Roman" w:eastAsia="仿宋_GB2312" w:cs="宋体"/>
          <w:color w:val="000000"/>
          <w:kern w:val="0"/>
          <w:sz w:val="32"/>
          <w:szCs w:val="32"/>
          <w:lang w:eastAsia="zh"/>
        </w:rPr>
        <w:t>和</w:t>
      </w:r>
      <w:r>
        <w:rPr>
          <w:rFonts w:hint="eastAsia" w:ascii="Times New Roman" w:hAnsi="Times New Roman" w:eastAsia="仿宋_GB2312" w:cs="宋体"/>
          <w:color w:val="000000"/>
          <w:kern w:val="0"/>
          <w:sz w:val="32"/>
          <w:szCs w:val="32"/>
        </w:rPr>
        <w:t>监管措施实施办法（2023年修订）》（</w:t>
      </w:r>
      <w:r>
        <w:rPr>
          <w:rFonts w:hint="eastAsia" w:ascii="Times New Roman" w:hAnsi="Times New Roman" w:eastAsia="仿宋_GB2312"/>
          <w:color w:val="000000"/>
          <w:sz w:val="32"/>
          <w:szCs w:val="32"/>
        </w:rPr>
        <w:t>以下简称《纪律处分办法》</w:t>
      </w:r>
      <w:r>
        <w:rPr>
          <w:rFonts w:hint="eastAsia" w:ascii="Times New Roman" w:hAnsi="Times New Roman" w:eastAsia="仿宋_GB2312" w:cs="宋体"/>
          <w:color w:val="000000"/>
          <w:kern w:val="0"/>
          <w:sz w:val="32"/>
          <w:szCs w:val="32"/>
        </w:rPr>
        <w:t>）作出修订。现将修订情况说明如下。</w:t>
      </w:r>
    </w:p>
    <w:p w14:paraId="4DAAED6A">
      <w:pPr>
        <w:adjustRightInd w:val="0"/>
        <w:snapToGrid w:val="0"/>
        <w:spacing w:line="560" w:lineRule="exact"/>
        <w:ind w:firstLine="640" w:firstLineChars="200"/>
        <w:rPr>
          <w:rFonts w:ascii="Times New Roman" w:hAnsi="Times New Roman" w:eastAsia="黑体"/>
          <w:color w:val="000000"/>
          <w:sz w:val="32"/>
          <w:szCs w:val="32"/>
        </w:rPr>
      </w:pPr>
      <w:r>
        <w:rPr>
          <w:rFonts w:hint="eastAsia" w:ascii="Times New Roman" w:hAnsi="黑体" w:eastAsia="黑体"/>
          <w:color w:val="000000"/>
          <w:sz w:val="32"/>
          <w:szCs w:val="32"/>
        </w:rPr>
        <w:t>一、修订背景</w:t>
      </w:r>
    </w:p>
    <w:p w14:paraId="76C0D02D">
      <w:pPr>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《纪律处分办法》作为本所纪律处分和监管措施实施工作的主要业务规则，在本所自律监管中发挥了明确违规类型标准、规范实施程序、保障</w:t>
      </w:r>
      <w:r>
        <w:rPr>
          <w:rFonts w:hint="eastAsia" w:ascii="Times New Roman" w:hAnsi="Times New Roman" w:eastAsia="仿宋_GB2312"/>
          <w:sz w:val="32"/>
          <w:szCs w:val="32"/>
          <w:lang w:eastAsia="zh-CN"/>
        </w:rPr>
        <w:t>监管对象</w:t>
      </w:r>
      <w:r>
        <w:rPr>
          <w:rFonts w:hint="eastAsia" w:ascii="Times New Roman" w:hAnsi="Times New Roman" w:eastAsia="仿宋_GB2312"/>
          <w:sz w:val="32"/>
          <w:szCs w:val="32"/>
        </w:rPr>
        <w:t>合法权益的作用。本次修订是为进一步落实监管“长牙带刺”、有棱有角的要求，统筹考虑监管效果和社会影响，切实做到严而有度、严而有方、严而有效。</w:t>
      </w:r>
    </w:p>
    <w:p w14:paraId="42B44A68">
      <w:pPr>
        <w:adjustRightInd w:val="0"/>
        <w:snapToGrid w:val="0"/>
        <w:spacing w:line="560" w:lineRule="exact"/>
        <w:ind w:firstLine="640" w:firstLineChars="200"/>
        <w:rPr>
          <w:rFonts w:ascii="Times New Roman" w:hAnsi="Times New Roman" w:eastAsia="黑体"/>
          <w:color w:val="000000"/>
          <w:sz w:val="32"/>
          <w:szCs w:val="32"/>
        </w:rPr>
      </w:pPr>
      <w:r>
        <w:rPr>
          <w:rFonts w:hint="eastAsia" w:ascii="Times New Roman" w:hAnsi="黑体" w:eastAsia="黑体"/>
          <w:bCs/>
          <w:sz w:val="32"/>
          <w:szCs w:val="32"/>
        </w:rPr>
        <w:t>二、主要修订内容</w:t>
      </w:r>
    </w:p>
    <w:p w14:paraId="7A3DC6D2">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本次修订，围绕“完善机制、保障权利、监管协同”，在保持规则基本体例不变的基础上，进行了针对性</w:t>
      </w:r>
      <w:r>
        <w:rPr>
          <w:rFonts w:hint="eastAsia" w:ascii="Times New Roman" w:hAnsi="Times New Roman" w:eastAsia="仿宋_GB2312"/>
          <w:color w:val="000000"/>
          <w:sz w:val="32"/>
          <w:szCs w:val="32"/>
          <w:lang w:eastAsia="zh-CN"/>
        </w:rPr>
        <w:t>地</w:t>
      </w:r>
      <w:r>
        <w:rPr>
          <w:rFonts w:hint="eastAsia" w:ascii="Times New Roman" w:hAnsi="Times New Roman" w:eastAsia="仿宋_GB2312"/>
          <w:color w:val="000000"/>
          <w:sz w:val="32"/>
          <w:szCs w:val="32"/>
        </w:rPr>
        <w:t>补充和完善。主要修订内容包括：</w:t>
      </w:r>
    </w:p>
    <w:p w14:paraId="34C49CB4">
      <w:pPr>
        <w:adjustRightInd w:val="0"/>
        <w:snapToGrid w:val="0"/>
        <w:spacing w:line="560" w:lineRule="exact"/>
        <w:ind w:firstLine="643" w:firstLineChars="200"/>
        <w:rPr>
          <w:rFonts w:ascii="Times New Roman" w:hAnsi="Times New Roman" w:eastAsia="仿宋_GB2312"/>
          <w:color w:val="000000"/>
          <w:sz w:val="32"/>
          <w:szCs w:val="32"/>
        </w:rPr>
      </w:pPr>
      <w:r>
        <w:rPr>
          <w:rFonts w:hint="eastAsia" w:ascii="Times New Roman" w:hAnsi="Times New Roman" w:eastAsia="仿宋_GB2312"/>
          <w:b/>
          <w:sz w:val="32"/>
          <w:szCs w:val="32"/>
        </w:rPr>
        <w:t>一是调整优化自律监管纪律处分委员会相关机制，明确处分委办公室职能。</w:t>
      </w:r>
      <w:r>
        <w:rPr>
          <w:rFonts w:hint="eastAsia" w:ascii="Times New Roman" w:hAnsi="Times New Roman" w:eastAsia="仿宋_GB2312"/>
          <w:bCs/>
          <w:sz w:val="32"/>
          <w:szCs w:val="32"/>
        </w:rPr>
        <w:t>其一，调整委员会名称，将“纪律处分委员会”名称调整为“自律监管纪律处分委员会”</w:t>
      </w:r>
      <w:r>
        <w:rPr>
          <w:rFonts w:hint="eastAsia" w:ascii="Times New Roman" w:hAnsi="Times New Roman" w:eastAsia="仿宋_GB2312"/>
          <w:bCs/>
          <w:sz w:val="32"/>
          <w:szCs w:val="32"/>
          <w:lang w:eastAsia="zh-CN"/>
        </w:rPr>
        <w:t>（以下简称处分委）</w:t>
      </w:r>
      <w:r>
        <w:rPr>
          <w:rFonts w:hint="eastAsia" w:ascii="Times New Roman" w:hAnsi="Times New Roman" w:eastAsia="仿宋_GB2312"/>
          <w:bCs/>
          <w:sz w:val="32"/>
          <w:szCs w:val="32"/>
        </w:rPr>
        <w:t>，并将审核重大监管措施事项纳入处分委职责范围。其二，强化委员政治意识和履职要求，在原有公正廉洁、熟悉业务规则等任职条件的基础上，强调委员应当政治立场坚定，具有良好的政治素质和职业道德，不得以委员身份开展商业活动、提供咨询。其三，调整工作机构设置，明确自律监管纪律处分委员会办公室作为处分委的日常办事机构，承担案件受理、审核会和听证会准备等相关事务、拟订或者参与拟定纪律处分和监管措施相关制度规则等职责。</w:t>
      </w:r>
    </w:p>
    <w:p w14:paraId="50F392AB">
      <w:pPr>
        <w:adjustRightInd w:val="0"/>
        <w:snapToGrid w:val="0"/>
        <w:spacing w:line="56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二是进一步优化监管实施程序，保障监管对象合法权利。</w:t>
      </w:r>
      <w:r>
        <w:rPr>
          <w:rFonts w:hint="eastAsia" w:ascii="Times New Roman" w:hAnsi="Times New Roman" w:eastAsia="仿宋_GB2312"/>
          <w:sz w:val="32"/>
          <w:szCs w:val="32"/>
        </w:rPr>
        <w:t>其一，</w:t>
      </w:r>
      <w:r>
        <w:rPr>
          <w:rFonts w:hint="eastAsia" w:ascii="Times New Roman" w:hAnsi="Times New Roman" w:eastAsia="仿宋_GB2312"/>
          <w:sz w:val="32"/>
          <w:szCs w:val="32"/>
          <w:lang w:eastAsia="zh-CN"/>
        </w:rPr>
        <w:t>增加从减轻及免予处分情形，将减轻违规行为后果或者有证据证明无过错作为裁量标准。</w:t>
      </w:r>
      <w:r>
        <w:rPr>
          <w:rFonts w:hint="eastAsia" w:ascii="仿宋_GB2312" w:eastAsia="仿宋_GB2312"/>
          <w:b w:val="0"/>
          <w:bCs/>
          <w:sz w:val="32"/>
          <w:szCs w:val="32"/>
          <w:highlight w:val="none"/>
          <w:lang w:val="en-US" w:eastAsia="zh-CN"/>
        </w:rPr>
        <w:t>其二，</w:t>
      </w:r>
      <w:r>
        <w:rPr>
          <w:rFonts w:hint="eastAsia" w:ascii="Times New Roman" w:hAnsi="Times New Roman" w:eastAsia="仿宋_GB2312"/>
          <w:sz w:val="32"/>
          <w:szCs w:val="32"/>
        </w:rPr>
        <w:t>完善对重大案件的审核把关机制，明确违规情节较重、市场关注度高、引发较大舆情的纪律处分案件可以根据需要提请本所总经理办公会审定。其</w:t>
      </w:r>
      <w:r>
        <w:rPr>
          <w:rFonts w:hint="eastAsia" w:ascii="Times New Roman" w:hAnsi="Times New Roman" w:eastAsia="仿宋_GB2312"/>
          <w:sz w:val="32"/>
          <w:szCs w:val="32"/>
          <w:lang w:eastAsia="zh-CN"/>
        </w:rPr>
        <w:t>三</w:t>
      </w:r>
      <w:r>
        <w:rPr>
          <w:rFonts w:hint="eastAsia" w:ascii="Times New Roman" w:hAnsi="Times New Roman" w:eastAsia="仿宋_GB2312"/>
          <w:sz w:val="32"/>
          <w:szCs w:val="32"/>
        </w:rPr>
        <w:t>，进一步明确纪律处分意向书应当包括的内容，并新增作出对</w:t>
      </w:r>
      <w:r>
        <w:rPr>
          <w:rFonts w:hint="eastAsia" w:ascii="Times New Roman" w:hAnsi="Times New Roman" w:eastAsia="仿宋_GB2312"/>
          <w:sz w:val="32"/>
          <w:szCs w:val="32"/>
          <w:lang w:eastAsia="zh-CN"/>
        </w:rPr>
        <w:t>监管对象</w:t>
      </w:r>
      <w:r>
        <w:rPr>
          <w:rFonts w:hint="eastAsia" w:ascii="Times New Roman" w:hAnsi="Times New Roman" w:eastAsia="仿宋_GB2312"/>
          <w:sz w:val="32"/>
          <w:szCs w:val="32"/>
        </w:rPr>
        <w:t>的有利变更可以不重新送达意向书的规定。其</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，补充完善委员可以提议暂缓表决的情形。其</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修改</w:t>
      </w:r>
      <w:r>
        <w:rPr>
          <w:rFonts w:hint="eastAsia" w:ascii="Times New Roman" w:hAnsi="Times New Roman" w:eastAsia="仿宋_GB2312"/>
          <w:sz w:val="32"/>
          <w:szCs w:val="32"/>
        </w:rPr>
        <w:t>委员回避情形，并新增签署履职承诺的要求。其</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，进一步完善撤销或变更纪律处分或监管措施的情形，例如，有关法律文书关于违规事实认定存在重大变化或表明违规事实不存在的，可以撤销或者变更本所监管决定。</w:t>
      </w:r>
    </w:p>
    <w:p w14:paraId="5BE4178D">
      <w:pPr>
        <w:adjustRightInd w:val="0"/>
        <w:snapToGrid w:val="0"/>
        <w:spacing w:line="56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三是落实监管协同要求，调整处分决定</w:t>
      </w:r>
      <w:r>
        <w:rPr>
          <w:rFonts w:hint="eastAsia" w:ascii="Times New Roman" w:hAnsi="Times New Roman" w:eastAsia="仿宋_GB2312"/>
          <w:b/>
          <w:bCs/>
          <w:sz w:val="32"/>
          <w:szCs w:val="32"/>
          <w:lang w:eastAsia="zh-CN"/>
        </w:rPr>
        <w:t>相关</w:t>
      </w:r>
      <w:r>
        <w:rPr>
          <w:rFonts w:hint="eastAsia" w:ascii="Times New Roman" w:hAnsi="Times New Roman" w:eastAsia="仿宋_GB2312"/>
          <w:b/>
          <w:bCs/>
          <w:sz w:val="32"/>
          <w:szCs w:val="32"/>
        </w:rPr>
        <w:t>机制安排。</w:t>
      </w:r>
      <w:r>
        <w:rPr>
          <w:rFonts w:hint="eastAsia" w:ascii="Times New Roman" w:hAnsi="Times New Roman" w:eastAsia="仿宋_GB2312"/>
          <w:sz w:val="32"/>
          <w:szCs w:val="32"/>
        </w:rPr>
        <w:t>其一，扩充监管对象范围并新增纪律处分类型，根据实践需要，同时与本所其他业务规则保持一致，在本所纪律处分业务规则层面新增资产支持专项计划有关主体作为监管对象，同时增加取消交易权限这一纪律处分种类。其二，综合考虑资本市场内外部环境错综复杂等客观情况，调整优化纪律处分决定文书。</w:t>
      </w:r>
    </w:p>
    <w:p w14:paraId="5779CCDD">
      <w:pPr>
        <w:adjustRightInd w:val="0"/>
        <w:snapToGrid w:val="0"/>
        <w:spacing w:line="560" w:lineRule="exact"/>
        <w:ind w:firstLine="640" w:firstLineChars="200"/>
        <w:rPr>
          <w:rFonts w:hint="eastAsia" w:ascii="Times New Roman" w:hAnsi="Times New Roman"/>
          <w:sz w:val="32"/>
          <w:szCs w:val="32"/>
        </w:rPr>
      </w:pPr>
      <w:r>
        <w:rPr>
          <w:rFonts w:hint="eastAsia" w:ascii="Times New Roman" w:hAnsi="Times New Roman" w:eastAsia="仿宋_GB2312"/>
          <w:sz w:val="32"/>
          <w:szCs w:val="32"/>
        </w:rPr>
        <w:t>本办法实施前发生的违规行为，适用</w:t>
      </w:r>
      <w:r>
        <w:rPr>
          <w:rFonts w:hint="eastAsia" w:ascii="Times New Roman" w:hAnsi="Times New Roman" w:eastAsia="仿宋_GB2312"/>
          <w:sz w:val="32"/>
          <w:szCs w:val="32"/>
          <w:lang w:eastAsia="zh-CN"/>
        </w:rPr>
        <w:t>违规</w:t>
      </w:r>
      <w:r>
        <w:rPr>
          <w:rFonts w:hint="eastAsia" w:ascii="Times New Roman" w:hAnsi="Times New Roman" w:eastAsia="仿宋_GB2312"/>
          <w:sz w:val="32"/>
          <w:szCs w:val="32"/>
        </w:rPr>
        <w:t>行为发生时的规则</w:t>
      </w:r>
      <w:r>
        <w:rPr>
          <w:rFonts w:hint="eastAsia" w:ascii="Times New Roman" w:hAnsi="Times New Roman" w:eastAsia="仿宋_GB2312"/>
          <w:sz w:val="32"/>
          <w:szCs w:val="32"/>
          <w:lang w:eastAsia="zh-CN"/>
        </w:rPr>
        <w:t>。但是依据本办法作出的自律监管决定更轻或者不作出自律监管决定的，</w:t>
      </w:r>
      <w:r>
        <w:rPr>
          <w:rFonts w:hint="eastAsia" w:ascii="Times New Roman" w:hAnsi="Times New Roman" w:eastAsia="仿宋_GB2312"/>
          <w:sz w:val="32"/>
          <w:szCs w:val="32"/>
        </w:rPr>
        <w:t>适用本办法。</w:t>
      </w:r>
    </w:p>
    <w:p w14:paraId="62FC7F2D">
      <w:pPr>
        <w:spacing w:line="560" w:lineRule="exact"/>
        <w:rPr>
          <w:rFonts w:ascii="Times New Roman" w:hAnsi="Times New Roman"/>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459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BE786E">
                          <w:pPr>
                            <w:pStyle w:val="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rPr>
                            <w:t>1</w:t>
                          </w:r>
                          <w:r>
                            <w:rPr>
                              <w:rFonts w:ascii="Times New Roman" w:hAnsi="Times New Roman"/>
                              <w:sz w:val="24"/>
                              <w:szCs w:val="24"/>
                            </w:rPr>
                            <w:fldChar w:fldCharType="end"/>
                          </w:r>
                          <w:r>
                            <w:rPr>
                              <w:rFonts w:ascii="Times New Roman" w:hAnsi="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BE786E">
                    <w:pPr>
                      <w:pStyle w:val="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rPr>
                      <w:t>1</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B6DA">
    <w:pPr>
      <w:pStyle w:val="5"/>
      <w:pBdr>
        <w:bottom w:val="none" w:color="auto" w:sz="0" w:space="0"/>
      </w:pBd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12"/>
    <w:rsid w:val="00015529"/>
    <w:rsid w:val="000318EB"/>
    <w:rsid w:val="000A62FA"/>
    <w:rsid w:val="000D1518"/>
    <w:rsid w:val="000E1FB1"/>
    <w:rsid w:val="00127691"/>
    <w:rsid w:val="001669DE"/>
    <w:rsid w:val="001D017E"/>
    <w:rsid w:val="001E0C15"/>
    <w:rsid w:val="002162D2"/>
    <w:rsid w:val="00237F3E"/>
    <w:rsid w:val="002A25D1"/>
    <w:rsid w:val="002D7194"/>
    <w:rsid w:val="002F218C"/>
    <w:rsid w:val="00332A0C"/>
    <w:rsid w:val="003E6DB5"/>
    <w:rsid w:val="00426E02"/>
    <w:rsid w:val="00432851"/>
    <w:rsid w:val="0043500E"/>
    <w:rsid w:val="0044684C"/>
    <w:rsid w:val="00470538"/>
    <w:rsid w:val="00491E50"/>
    <w:rsid w:val="004A7C84"/>
    <w:rsid w:val="004B37D3"/>
    <w:rsid w:val="004D12F2"/>
    <w:rsid w:val="004E4DDE"/>
    <w:rsid w:val="00514A49"/>
    <w:rsid w:val="00514D09"/>
    <w:rsid w:val="00515E81"/>
    <w:rsid w:val="00544ABD"/>
    <w:rsid w:val="005726E1"/>
    <w:rsid w:val="005B7002"/>
    <w:rsid w:val="005C0275"/>
    <w:rsid w:val="00602A05"/>
    <w:rsid w:val="00626012"/>
    <w:rsid w:val="00626A47"/>
    <w:rsid w:val="0066793C"/>
    <w:rsid w:val="006702C5"/>
    <w:rsid w:val="006A730D"/>
    <w:rsid w:val="00720B16"/>
    <w:rsid w:val="007213CD"/>
    <w:rsid w:val="007746E2"/>
    <w:rsid w:val="007D5AE8"/>
    <w:rsid w:val="00833E10"/>
    <w:rsid w:val="0083497E"/>
    <w:rsid w:val="00863017"/>
    <w:rsid w:val="008C12C4"/>
    <w:rsid w:val="008F0171"/>
    <w:rsid w:val="009039FC"/>
    <w:rsid w:val="00920013"/>
    <w:rsid w:val="00932CF7"/>
    <w:rsid w:val="00947580"/>
    <w:rsid w:val="00967D98"/>
    <w:rsid w:val="009A17DB"/>
    <w:rsid w:val="009C34C0"/>
    <w:rsid w:val="00A0500A"/>
    <w:rsid w:val="00A14FDE"/>
    <w:rsid w:val="00A166EE"/>
    <w:rsid w:val="00A326B2"/>
    <w:rsid w:val="00A453E5"/>
    <w:rsid w:val="00A612DC"/>
    <w:rsid w:val="00A7445E"/>
    <w:rsid w:val="00A81D1A"/>
    <w:rsid w:val="00B55737"/>
    <w:rsid w:val="00C004A3"/>
    <w:rsid w:val="00C30ED7"/>
    <w:rsid w:val="00C43D09"/>
    <w:rsid w:val="00C56C10"/>
    <w:rsid w:val="00C90ACD"/>
    <w:rsid w:val="00CC3E7F"/>
    <w:rsid w:val="00D33357"/>
    <w:rsid w:val="00D55BB2"/>
    <w:rsid w:val="00DA7948"/>
    <w:rsid w:val="00E14E13"/>
    <w:rsid w:val="00E263E4"/>
    <w:rsid w:val="00E64215"/>
    <w:rsid w:val="00EA5FB2"/>
    <w:rsid w:val="00F06069"/>
    <w:rsid w:val="00F156A4"/>
    <w:rsid w:val="00FB7B1F"/>
    <w:rsid w:val="00FC0144"/>
    <w:rsid w:val="179A363C"/>
    <w:rsid w:val="1BFFC19D"/>
    <w:rsid w:val="1FBB7A76"/>
    <w:rsid w:val="249B7518"/>
    <w:rsid w:val="33FE7B60"/>
    <w:rsid w:val="36A94EE7"/>
    <w:rsid w:val="36FE51D4"/>
    <w:rsid w:val="3BA5016B"/>
    <w:rsid w:val="3BFFDC76"/>
    <w:rsid w:val="47F36400"/>
    <w:rsid w:val="4AD905D0"/>
    <w:rsid w:val="4F7F61C3"/>
    <w:rsid w:val="51FF0B43"/>
    <w:rsid w:val="521C1213"/>
    <w:rsid w:val="57BA4FA9"/>
    <w:rsid w:val="5CEE9795"/>
    <w:rsid w:val="5F4E95E5"/>
    <w:rsid w:val="5FB8C845"/>
    <w:rsid w:val="5FD794CD"/>
    <w:rsid w:val="6FBB1E3C"/>
    <w:rsid w:val="6FFB4FD2"/>
    <w:rsid w:val="6FFF6026"/>
    <w:rsid w:val="71AB7537"/>
    <w:rsid w:val="75FF8DEC"/>
    <w:rsid w:val="77740039"/>
    <w:rsid w:val="7775796B"/>
    <w:rsid w:val="7B7CFDCE"/>
    <w:rsid w:val="95BC5011"/>
    <w:rsid w:val="9AFF1FF4"/>
    <w:rsid w:val="9DDEBB47"/>
    <w:rsid w:val="ACFF1E17"/>
    <w:rsid w:val="AEFE666F"/>
    <w:rsid w:val="AFE9E4F1"/>
    <w:rsid w:val="AFFF05D6"/>
    <w:rsid w:val="B4975111"/>
    <w:rsid w:val="D7E75AA5"/>
    <w:rsid w:val="DADBF2AF"/>
    <w:rsid w:val="DDD9E0D3"/>
    <w:rsid w:val="E7EF59A7"/>
    <w:rsid w:val="E7FFB7A5"/>
    <w:rsid w:val="EFF3FD9E"/>
    <w:rsid w:val="F6EDFC92"/>
    <w:rsid w:val="FDBD6E20"/>
    <w:rsid w:val="FE7B0236"/>
    <w:rsid w:val="FEFC102C"/>
    <w:rsid w:val="FFD75896"/>
    <w:rsid w:val="FFEFA5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link w:val="10"/>
    <w:unhideWhenUsed/>
    <w:uiPriority w:val="99"/>
    <w:pPr>
      <w:jc w:val="left"/>
    </w:pPr>
  </w:style>
  <w:style w:type="paragraph" w:styleId="3">
    <w:name w:val="Balloon Text"/>
    <w:basedOn w:val="1"/>
    <w:link w:val="11"/>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uiPriority w:val="99"/>
    <w:rPr>
      <w:b/>
      <w:bCs/>
    </w:rPr>
  </w:style>
  <w:style w:type="character" w:styleId="9">
    <w:name w:val="annotation reference"/>
    <w:basedOn w:val="8"/>
    <w:unhideWhenUsed/>
    <w:uiPriority w:val="99"/>
    <w:rPr>
      <w:sz w:val="21"/>
      <w:szCs w:val="21"/>
    </w:rPr>
  </w:style>
  <w:style w:type="character" w:customStyle="1" w:styleId="10">
    <w:name w:val="批注文字 Char"/>
    <w:basedOn w:val="8"/>
    <w:link w:val="2"/>
    <w:semiHidden/>
    <w:uiPriority w:val="99"/>
    <w:rPr>
      <w:kern w:val="2"/>
      <w:sz w:val="21"/>
      <w:szCs w:val="21"/>
    </w:rPr>
  </w:style>
  <w:style w:type="character" w:customStyle="1" w:styleId="11">
    <w:name w:val="批注框文本 Char"/>
    <w:basedOn w:val="8"/>
    <w:link w:val="3"/>
    <w:semiHidden/>
    <w:uiPriority w:val="99"/>
    <w:rPr>
      <w:kern w:val="2"/>
      <w:sz w:val="18"/>
      <w:szCs w:val="18"/>
    </w:rPr>
  </w:style>
  <w:style w:type="character" w:customStyle="1" w:styleId="12">
    <w:name w:val="页脚 Char"/>
    <w:basedOn w:val="8"/>
    <w:link w:val="4"/>
    <w:semiHidden/>
    <w:uiPriority w:val="99"/>
    <w:rPr>
      <w:sz w:val="18"/>
      <w:szCs w:val="18"/>
    </w:rPr>
  </w:style>
  <w:style w:type="character" w:customStyle="1" w:styleId="13">
    <w:name w:val="页眉 Char"/>
    <w:basedOn w:val="8"/>
    <w:link w:val="5"/>
    <w:semiHidden/>
    <w:qFormat/>
    <w:uiPriority w:val="99"/>
    <w:rPr>
      <w:sz w:val="18"/>
      <w:szCs w:val="18"/>
    </w:rPr>
  </w:style>
  <w:style w:type="character" w:customStyle="1" w:styleId="14">
    <w:name w:val="批注主题 Char"/>
    <w:basedOn w:val="10"/>
    <w:link w:val="6"/>
    <w:semiHidden/>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195</Words>
  <Characters>1115</Characters>
  <Lines>9</Lines>
  <Paragraphs>2</Paragraphs>
  <TotalTime>10.3333333333333</TotalTime>
  <ScaleCrop>false</ScaleCrop>
  <LinksUpToDate>false</LinksUpToDate>
  <CharactersWithSpaces>1308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2025-09-02T18:39:00Z</dcterms:created>
  <dc:creator>邹莹</dc:creator>
  <cp:lastModifiedBy>whxu</cp:lastModifiedBy>
  <cp:lastPrinted>2025-10-21T01:00:00Z</cp:lastPrinted>
  <dcterms:modified xsi:type="dcterms:W3CDTF">2026-01-27T17:35:11Z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8100AC1A81EDCF26CF867869E7A1208F_43</vt:lpwstr>
  </property>
</Properties>
</file>