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60" w:lineRule="exact"/>
        <w:rPr>
          <w:rFonts w:hint="eastAsia" w:ascii="黑体" w:hAnsi="黑体" w:eastAsia="黑体" w:cs="黑体"/>
          <w:bCs/>
          <w:szCs w:val="32"/>
        </w:rPr>
      </w:pPr>
      <w:bookmarkStart w:id="0" w:name="_GoBack"/>
      <w:bookmarkEnd w:id="0"/>
      <w:r>
        <w:rPr>
          <w:rFonts w:hint="eastAsia" w:ascii="黑体" w:hAnsi="黑体" w:eastAsia="黑体" w:cs="黑体"/>
          <w:bCs/>
          <w:szCs w:val="32"/>
        </w:rPr>
        <w:t>附件1</w:t>
      </w:r>
    </w:p>
    <w:p>
      <w:pPr>
        <w:adjustRightInd w:val="0"/>
        <w:snapToGrid w:val="0"/>
        <w:spacing w:beforeLines="0" w:afterLines="0" w:line="560" w:lineRule="exact"/>
        <w:jc w:val="center"/>
        <w:rPr>
          <w:rFonts w:eastAsia="方正小标宋简体"/>
          <w:sz w:val="40"/>
          <w:szCs w:val="40"/>
        </w:rPr>
      </w:pPr>
    </w:p>
    <w:p>
      <w:pPr>
        <w:adjustRightInd w:val="0"/>
        <w:snapToGrid w:val="0"/>
        <w:spacing w:beforeLines="0" w:afterLines="0" w:line="560" w:lineRule="exact"/>
        <w:jc w:val="center"/>
        <w:rPr>
          <w:rFonts w:ascii="方正小标宋简体" w:eastAsia="方正小标宋简体"/>
          <w:sz w:val="44"/>
          <w:szCs w:val="40"/>
        </w:rPr>
      </w:pPr>
      <w:r>
        <w:rPr>
          <w:rFonts w:hint="eastAsia" w:ascii="方正小标宋简体" w:eastAsia="方正小标宋简体"/>
          <w:sz w:val="44"/>
          <w:szCs w:val="40"/>
        </w:rPr>
        <w:t>深圳证券交易所证券投资基金业务指引第2号</w:t>
      </w:r>
    </w:p>
    <w:p>
      <w:pPr>
        <w:adjustRightInd w:val="0"/>
        <w:snapToGrid w:val="0"/>
        <w:spacing w:beforeLines="0" w:afterLines="0" w:line="560" w:lineRule="exact"/>
        <w:jc w:val="center"/>
        <w:rPr>
          <w:rFonts w:ascii="方正小标宋简体" w:eastAsia="方正小标宋简体"/>
          <w:sz w:val="44"/>
          <w:szCs w:val="40"/>
        </w:rPr>
      </w:pPr>
      <w:r>
        <w:rPr>
          <w:rFonts w:hint="eastAsia" w:ascii="方正小标宋简体" w:eastAsia="方正小标宋简体"/>
          <w:sz w:val="44"/>
          <w:szCs w:val="40"/>
        </w:rPr>
        <w:t>——流动性服务（</w:t>
      </w:r>
      <w:r>
        <w:rPr>
          <w:rFonts w:hint="eastAsia" w:ascii="方正小标宋简体" w:eastAsia="方正小标宋简体"/>
          <w:sz w:val="44"/>
          <w:szCs w:val="40"/>
          <w:lang w:eastAsia="zh-CN"/>
        </w:rPr>
        <w:t>2026</w:t>
      </w:r>
      <w:r>
        <w:rPr>
          <w:rFonts w:hint="eastAsia" w:ascii="方正小标宋简体" w:eastAsia="方正小标宋简体"/>
          <w:sz w:val="44"/>
          <w:szCs w:val="40"/>
        </w:rPr>
        <w:t>年修订）</w:t>
      </w:r>
    </w:p>
    <w:p>
      <w:pPr>
        <w:adjustRightInd w:val="0"/>
        <w:snapToGrid w:val="0"/>
        <w:spacing w:beforeLines="0" w:afterLines="0" w:line="560" w:lineRule="exact"/>
        <w:jc w:val="center"/>
        <w:rPr>
          <w:b/>
          <w:szCs w:val="32"/>
        </w:rPr>
      </w:pPr>
    </w:p>
    <w:p>
      <w:pPr>
        <w:adjustRightInd w:val="0"/>
        <w:snapToGrid w:val="0"/>
        <w:spacing w:beforeLines="0" w:afterLines="0" w:line="560" w:lineRule="exact"/>
        <w:jc w:val="center"/>
        <w:rPr>
          <w:rFonts w:ascii="黑体" w:hAnsi="黑体" w:eastAsia="黑体"/>
          <w:szCs w:val="32"/>
        </w:rPr>
      </w:pPr>
      <w:r>
        <w:rPr>
          <w:rFonts w:ascii="黑体" w:hAnsi="黑体" w:eastAsia="黑体"/>
          <w:szCs w:val="32"/>
        </w:rPr>
        <w:t>第一章 总则</w:t>
      </w:r>
    </w:p>
    <w:p>
      <w:pPr>
        <w:adjustRightInd w:val="0"/>
        <w:snapToGrid w:val="0"/>
        <w:spacing w:beforeLines="0" w:afterLines="0" w:line="560" w:lineRule="exact"/>
        <w:ind w:firstLine="632" w:firstLineChars="200"/>
        <w:rPr>
          <w:szCs w:val="32"/>
        </w:rPr>
      </w:pPr>
      <w:r>
        <w:rPr>
          <w:rFonts w:eastAsia="黑体"/>
          <w:bCs/>
          <w:kern w:val="44"/>
          <w:szCs w:val="32"/>
        </w:rPr>
        <w:t>第一条</w:t>
      </w:r>
      <w:r>
        <w:rPr>
          <w:szCs w:val="32"/>
        </w:rPr>
        <w:t xml:space="preserve">  为了规范深圳证券交易所（以下简称本所）上市证券投资基金（以下简称基金）的流动性服务业务，根据《深圳证券交易所交易规则》《深圳证券交易所证券投资基金上市规则》《深圳证券交易所证券投资基金交易和申购赎回实施细则》</w:t>
      </w:r>
      <w:r>
        <w:rPr>
          <w:rFonts w:hint="eastAsia"/>
          <w:szCs w:val="32"/>
          <w:lang w:eastAsia="zh-CN"/>
        </w:rPr>
        <w:t>等</w:t>
      </w:r>
      <w:r>
        <w:rPr>
          <w:szCs w:val="32"/>
        </w:rPr>
        <w:t>规定，制定本指引。</w:t>
      </w:r>
    </w:p>
    <w:p>
      <w:pPr>
        <w:adjustRightInd w:val="0"/>
        <w:snapToGrid w:val="0"/>
        <w:spacing w:beforeLines="0" w:afterLines="0" w:line="560" w:lineRule="exact"/>
        <w:ind w:firstLine="632" w:firstLineChars="200"/>
        <w:rPr>
          <w:szCs w:val="32"/>
        </w:rPr>
      </w:pPr>
      <w:r>
        <w:rPr>
          <w:rFonts w:eastAsia="黑体"/>
          <w:bCs/>
          <w:kern w:val="44"/>
          <w:szCs w:val="32"/>
        </w:rPr>
        <w:t>第二条</w:t>
      </w:r>
      <w:r>
        <w:rPr>
          <w:b/>
          <w:bCs/>
          <w:kern w:val="44"/>
          <w:szCs w:val="32"/>
        </w:rPr>
        <w:t xml:space="preserve">  </w:t>
      </w:r>
      <w:r>
        <w:rPr>
          <w:szCs w:val="32"/>
        </w:rPr>
        <w:t>本指引所称流动性服务，是指符合条件的本所会员及本所认可的其他专业机构（以下统称流动性服务商）按照本指引的规定，为本所基金提供持续双边报价</w:t>
      </w:r>
      <w:r>
        <w:rPr>
          <w:rFonts w:hint="eastAsia"/>
          <w:szCs w:val="32"/>
        </w:rPr>
        <w:t>、大宗交易</w:t>
      </w:r>
      <w:r>
        <w:rPr>
          <w:szCs w:val="32"/>
        </w:rPr>
        <w:t>等服务。</w:t>
      </w:r>
    </w:p>
    <w:p>
      <w:pPr>
        <w:adjustRightInd w:val="0"/>
        <w:snapToGrid w:val="0"/>
        <w:spacing w:beforeLines="0" w:afterLines="0" w:line="560" w:lineRule="exact"/>
        <w:ind w:firstLine="592" w:firstLineChars="200"/>
        <w:rPr>
          <w:rFonts w:eastAsia="方正仿宋简体"/>
          <w:b/>
          <w:sz w:val="30"/>
          <w:szCs w:val="30"/>
        </w:rPr>
      </w:pPr>
    </w:p>
    <w:p>
      <w:pPr>
        <w:adjustRightInd w:val="0"/>
        <w:snapToGrid w:val="0"/>
        <w:spacing w:beforeLines="0" w:afterLines="0" w:line="560" w:lineRule="exact"/>
        <w:jc w:val="center"/>
        <w:rPr>
          <w:rFonts w:ascii="黑体" w:hAnsi="黑体" w:eastAsia="黑体"/>
          <w:szCs w:val="32"/>
        </w:rPr>
      </w:pPr>
      <w:r>
        <w:rPr>
          <w:rFonts w:ascii="黑体" w:hAnsi="黑体" w:eastAsia="黑体"/>
          <w:szCs w:val="32"/>
        </w:rPr>
        <w:t>第二章 流动性服务商管理</w:t>
      </w:r>
    </w:p>
    <w:p>
      <w:pPr>
        <w:adjustRightInd w:val="0"/>
        <w:snapToGrid w:val="0"/>
        <w:spacing w:beforeLines="0" w:afterLines="0" w:line="560" w:lineRule="exact"/>
        <w:ind w:firstLine="632" w:firstLineChars="200"/>
        <w:rPr>
          <w:szCs w:val="32"/>
        </w:rPr>
      </w:pPr>
      <w:r>
        <w:rPr>
          <w:rFonts w:eastAsia="黑体"/>
          <w:bCs/>
          <w:kern w:val="44"/>
          <w:szCs w:val="32"/>
        </w:rPr>
        <w:t>第三条</w:t>
      </w:r>
      <w:r>
        <w:rPr>
          <w:b/>
          <w:szCs w:val="32"/>
        </w:rPr>
        <w:t xml:space="preserve">  </w:t>
      </w:r>
      <w:r>
        <w:rPr>
          <w:szCs w:val="32"/>
        </w:rPr>
        <w:t>基金管理人选定或者新增的流动性服务商，应当具备下列条件：</w:t>
      </w:r>
    </w:p>
    <w:p>
      <w:pPr>
        <w:adjustRightInd w:val="0"/>
        <w:snapToGrid w:val="0"/>
        <w:spacing w:beforeLines="0" w:afterLines="0" w:line="560" w:lineRule="exact"/>
        <w:ind w:firstLine="632" w:firstLineChars="200"/>
        <w:rPr>
          <w:szCs w:val="32"/>
        </w:rPr>
      </w:pPr>
      <w:r>
        <w:rPr>
          <w:szCs w:val="32"/>
        </w:rPr>
        <w:t>（一）已制定完备的流动性服务实施方案和风险控制制度；</w:t>
      </w:r>
    </w:p>
    <w:p>
      <w:pPr>
        <w:adjustRightInd w:val="0"/>
        <w:snapToGrid w:val="0"/>
        <w:spacing w:beforeLines="0" w:afterLines="0" w:line="560" w:lineRule="exact"/>
        <w:ind w:firstLine="632" w:firstLineChars="200"/>
        <w:rPr>
          <w:szCs w:val="32"/>
        </w:rPr>
      </w:pPr>
      <w:r>
        <w:rPr>
          <w:szCs w:val="32"/>
        </w:rPr>
        <w:t>（二）具备开展流动性服务业务所需的专业人员、技术系统和资金准备；</w:t>
      </w:r>
    </w:p>
    <w:p>
      <w:pPr>
        <w:adjustRightInd w:val="0"/>
        <w:snapToGrid w:val="0"/>
        <w:spacing w:beforeLines="0" w:afterLines="0" w:line="560" w:lineRule="exact"/>
        <w:ind w:firstLine="632" w:firstLineChars="200"/>
        <w:rPr>
          <w:szCs w:val="32"/>
        </w:rPr>
      </w:pPr>
      <w:r>
        <w:rPr>
          <w:szCs w:val="32"/>
        </w:rPr>
        <w:t>（三）本所规定的其他条件。</w:t>
      </w:r>
    </w:p>
    <w:p>
      <w:pPr>
        <w:adjustRightInd w:val="0"/>
        <w:snapToGrid w:val="0"/>
        <w:spacing w:beforeLines="0" w:afterLines="0" w:line="560" w:lineRule="exact"/>
        <w:ind w:firstLine="632" w:firstLineChars="200"/>
        <w:rPr>
          <w:szCs w:val="32"/>
        </w:rPr>
      </w:pPr>
      <w:r>
        <w:rPr>
          <w:rFonts w:eastAsia="黑体"/>
          <w:bCs/>
          <w:kern w:val="44"/>
          <w:szCs w:val="32"/>
        </w:rPr>
        <w:t>第四条</w:t>
      </w:r>
      <w:r>
        <w:rPr>
          <w:szCs w:val="32"/>
        </w:rPr>
        <w:t xml:space="preserve">  基金管理人选定或者新增流动性服务商，应当向本所提交下列材料：</w:t>
      </w:r>
    </w:p>
    <w:p>
      <w:pPr>
        <w:adjustRightInd w:val="0"/>
        <w:snapToGrid w:val="0"/>
        <w:spacing w:beforeLines="0" w:afterLines="0" w:line="560" w:lineRule="exact"/>
        <w:ind w:firstLine="632" w:firstLineChars="200"/>
        <w:rPr>
          <w:szCs w:val="32"/>
        </w:rPr>
      </w:pPr>
      <w:r>
        <w:rPr>
          <w:szCs w:val="32"/>
        </w:rPr>
        <w:t>（一）申请函；</w:t>
      </w:r>
    </w:p>
    <w:p>
      <w:pPr>
        <w:adjustRightInd w:val="0"/>
        <w:snapToGrid w:val="0"/>
        <w:spacing w:beforeLines="0" w:afterLines="0" w:line="560" w:lineRule="exact"/>
        <w:ind w:firstLine="632" w:firstLineChars="200"/>
        <w:rPr>
          <w:szCs w:val="32"/>
        </w:rPr>
      </w:pPr>
      <w:r>
        <w:rPr>
          <w:szCs w:val="32"/>
        </w:rPr>
        <w:t>（二）基金流动性服务商登记表；</w:t>
      </w:r>
    </w:p>
    <w:p>
      <w:pPr>
        <w:adjustRightInd w:val="0"/>
        <w:snapToGrid w:val="0"/>
        <w:spacing w:beforeLines="0" w:afterLines="0" w:line="560" w:lineRule="exact"/>
        <w:ind w:firstLine="632" w:firstLineChars="200"/>
        <w:rPr>
          <w:szCs w:val="32"/>
        </w:rPr>
      </w:pPr>
      <w:r>
        <w:rPr>
          <w:szCs w:val="32"/>
        </w:rPr>
        <w:t>（三）本所要求的其他材料。</w:t>
      </w:r>
    </w:p>
    <w:p>
      <w:pPr>
        <w:adjustRightInd w:val="0"/>
        <w:snapToGrid w:val="0"/>
        <w:spacing w:beforeLines="0" w:afterLines="0" w:line="560" w:lineRule="exact"/>
        <w:ind w:firstLine="632" w:firstLineChars="200"/>
        <w:rPr>
          <w:rFonts w:hint="eastAsia" w:ascii="仿宋" w:hAnsi="仿宋" w:cs="仿宋"/>
          <w:bCs/>
          <w:kern w:val="44"/>
          <w:szCs w:val="32"/>
          <w:lang w:val="en-US" w:eastAsia="zh-CN"/>
        </w:rPr>
      </w:pPr>
      <w:r>
        <w:rPr>
          <w:rFonts w:hint="eastAsia" w:eastAsia="黑体"/>
          <w:bCs/>
          <w:kern w:val="44"/>
          <w:szCs w:val="32"/>
          <w:lang w:val="en-US" w:eastAsia="zh-CN"/>
        </w:rPr>
        <w:t>第五条</w:t>
      </w:r>
      <w:r>
        <w:rPr>
          <w:rFonts w:hint="eastAsia"/>
          <w:bCs/>
          <w:kern w:val="44"/>
          <w:szCs w:val="32"/>
          <w:lang w:val="en-US" w:eastAsia="zh-CN"/>
        </w:rPr>
        <w:t xml:space="preserve">  </w:t>
      </w:r>
      <w:r>
        <w:rPr>
          <w:rFonts w:hint="eastAsia" w:ascii="仿宋" w:hAnsi="仿宋" w:cs="仿宋"/>
          <w:bCs/>
          <w:kern w:val="44"/>
          <w:szCs w:val="32"/>
          <w:lang w:val="en-US" w:eastAsia="zh-CN"/>
        </w:rPr>
        <w:t>为特定基金提供流动性服务的流动性服务商分为主流动性服务商和一般流动性服务商。</w:t>
      </w:r>
    </w:p>
    <w:p>
      <w:pPr>
        <w:adjustRightInd w:val="0"/>
        <w:snapToGrid w:val="0"/>
        <w:spacing w:beforeLines="0" w:afterLines="0" w:line="560" w:lineRule="exact"/>
        <w:ind w:firstLine="632" w:firstLineChars="200"/>
        <w:rPr>
          <w:rFonts w:hint="eastAsia" w:ascii="仿宋" w:hAnsi="仿宋" w:cs="仿宋"/>
          <w:bCs/>
          <w:kern w:val="44"/>
          <w:szCs w:val="32"/>
          <w:lang w:val="en-US" w:eastAsia="zh-CN"/>
        </w:rPr>
      </w:pPr>
      <w:r>
        <w:rPr>
          <w:rFonts w:hint="eastAsia" w:ascii="仿宋" w:hAnsi="仿宋" w:cs="仿宋"/>
          <w:bCs/>
          <w:kern w:val="44"/>
          <w:szCs w:val="32"/>
          <w:lang w:val="en-US" w:eastAsia="zh-CN"/>
        </w:rPr>
        <w:t>基金管理人可以为特定基金指定主流动性服务商，主流动性服务商应当满足下列条件：</w:t>
      </w:r>
    </w:p>
    <w:p>
      <w:pPr>
        <w:adjustRightInd w:val="0"/>
        <w:snapToGrid w:val="0"/>
        <w:spacing w:beforeLines="0" w:afterLines="0" w:line="560" w:lineRule="exact"/>
        <w:ind w:firstLine="632" w:firstLineChars="200"/>
        <w:rPr>
          <w:rFonts w:hint="eastAsia" w:ascii="仿宋" w:hAnsi="仿宋" w:cs="仿宋"/>
          <w:bCs/>
          <w:kern w:val="44"/>
          <w:szCs w:val="32"/>
          <w:lang w:val="en-US" w:eastAsia="zh-CN"/>
        </w:rPr>
      </w:pPr>
      <w:r>
        <w:rPr>
          <w:rFonts w:hint="eastAsia" w:ascii="仿宋" w:hAnsi="仿宋" w:cs="仿宋"/>
          <w:bCs/>
          <w:kern w:val="44"/>
          <w:szCs w:val="32"/>
          <w:lang w:val="en-US" w:eastAsia="zh-CN"/>
        </w:rPr>
        <w:t>（一）为特定基金提供流动性服务的时间达到连续2个完整的月度评价周期；</w:t>
      </w:r>
    </w:p>
    <w:p>
      <w:pPr>
        <w:adjustRightInd w:val="0"/>
        <w:snapToGrid w:val="0"/>
        <w:spacing w:beforeLines="0" w:afterLines="0" w:line="560" w:lineRule="exact"/>
        <w:ind w:firstLine="632" w:firstLineChars="200"/>
        <w:rPr>
          <w:rFonts w:hint="eastAsia" w:ascii="仿宋" w:hAnsi="仿宋" w:cs="仿宋"/>
          <w:bCs/>
          <w:kern w:val="44"/>
          <w:szCs w:val="32"/>
          <w:lang w:val="en-US" w:eastAsia="zh-CN"/>
        </w:rPr>
      </w:pPr>
      <w:r>
        <w:rPr>
          <w:rFonts w:hint="eastAsia" w:ascii="仿宋" w:hAnsi="仿宋" w:cs="仿宋"/>
          <w:bCs/>
          <w:kern w:val="44"/>
          <w:szCs w:val="32"/>
          <w:lang w:val="en-US" w:eastAsia="zh-CN"/>
        </w:rPr>
        <w:t>（二）最近2个完整的月度评价周期为特定基金提供的成交量均达到该基金流动性服务商平均成交量。</w:t>
      </w:r>
    </w:p>
    <w:p>
      <w:pPr>
        <w:adjustRightInd w:val="0"/>
        <w:snapToGrid w:val="0"/>
        <w:spacing w:beforeLines="0" w:afterLines="0" w:line="560" w:lineRule="exact"/>
        <w:ind w:firstLine="632" w:firstLineChars="200"/>
        <w:rPr>
          <w:rFonts w:hint="eastAsia" w:ascii="仿宋" w:hAnsi="仿宋" w:cs="仿宋"/>
          <w:bCs/>
          <w:kern w:val="44"/>
          <w:szCs w:val="32"/>
        </w:rPr>
      </w:pPr>
      <w:r>
        <w:rPr>
          <w:rFonts w:hint="eastAsia" w:ascii="仿宋" w:hAnsi="仿宋" w:cs="仿宋"/>
          <w:bCs/>
          <w:kern w:val="44"/>
          <w:szCs w:val="32"/>
          <w:lang w:val="en-US" w:eastAsia="zh-CN"/>
        </w:rPr>
        <w:t>主流动性服务商连续2个完整的月度评价周期（评价周期内均为主流动性服务商）为特定基金提供的成交量低于该基金流动性服务商平均成交量的，基金管理人应当将其调整为一般流动性服务商。</w:t>
      </w:r>
      <w:r>
        <w:rPr>
          <w:rFonts w:hint="eastAsia" w:ascii="仿宋" w:hAnsi="仿宋" w:eastAsia="仿宋" w:cs="仿宋"/>
          <w:sz w:val="32"/>
          <w:szCs w:val="32"/>
          <w:lang w:val="en-US" w:eastAsia="zh-CN"/>
        </w:rPr>
        <w:t>主流动性服务商被调整为一般流动性服务商的，基金管理人在6个月内不得重新指定其为特定基金的主流动性服务商。</w:t>
      </w:r>
    </w:p>
    <w:p>
      <w:pPr>
        <w:adjustRightInd w:val="0"/>
        <w:snapToGrid w:val="0"/>
        <w:spacing w:beforeLines="0" w:afterLines="0" w:line="560" w:lineRule="exact"/>
        <w:ind w:firstLine="632" w:firstLineChars="200"/>
        <w:rPr>
          <w:bCs/>
          <w:kern w:val="44"/>
          <w:szCs w:val="32"/>
        </w:rPr>
      </w:pPr>
      <w:r>
        <w:rPr>
          <w:rFonts w:hint="eastAsia" w:eastAsia="黑体"/>
          <w:bCs/>
          <w:kern w:val="44"/>
          <w:szCs w:val="32"/>
          <w:lang w:val="en-US" w:eastAsia="zh-CN"/>
        </w:rPr>
        <w:t>第六条</w:t>
      </w:r>
      <w:r>
        <w:rPr>
          <w:rFonts w:hint="eastAsia"/>
          <w:bCs/>
          <w:kern w:val="44"/>
          <w:szCs w:val="32"/>
          <w:lang w:val="en-US" w:eastAsia="zh-CN"/>
        </w:rPr>
        <w:t xml:space="preserve">  基金管理人为特定基金指定主流动性服务商，应当向本所提交指定主流动性服务商申请函以及本所要求的其他材料。</w:t>
      </w:r>
    </w:p>
    <w:p>
      <w:pPr>
        <w:adjustRightInd w:val="0"/>
        <w:snapToGrid w:val="0"/>
        <w:spacing w:beforeLines="0" w:afterLines="0" w:line="560" w:lineRule="exact"/>
        <w:ind w:firstLine="632" w:firstLineChars="200"/>
        <w:rPr>
          <w:szCs w:val="32"/>
        </w:rPr>
      </w:pPr>
      <w:r>
        <w:rPr>
          <w:rFonts w:eastAsia="黑体"/>
          <w:bCs/>
          <w:kern w:val="44"/>
          <w:szCs w:val="32"/>
        </w:rPr>
        <w:t>第</w:t>
      </w:r>
      <w:r>
        <w:rPr>
          <w:rFonts w:hint="eastAsia" w:eastAsia="黑体"/>
          <w:bCs/>
          <w:kern w:val="44"/>
          <w:szCs w:val="32"/>
          <w:lang w:eastAsia="zh-CN"/>
        </w:rPr>
        <w:t>七</w:t>
      </w:r>
      <w:r>
        <w:rPr>
          <w:rFonts w:eastAsia="黑体"/>
          <w:bCs/>
          <w:kern w:val="44"/>
          <w:szCs w:val="32"/>
        </w:rPr>
        <w:t>条</w:t>
      </w:r>
      <w:r>
        <w:rPr>
          <w:b/>
          <w:bCs/>
          <w:kern w:val="44"/>
          <w:szCs w:val="32"/>
        </w:rPr>
        <w:t xml:space="preserve">  </w:t>
      </w:r>
      <w:r>
        <w:rPr>
          <w:szCs w:val="32"/>
        </w:rPr>
        <w:t>流动性服务商出现下列情形之一的，基金管理人应当向本所申请终止流动性服务商为相关基金提供流动性服务：</w:t>
      </w:r>
    </w:p>
    <w:p>
      <w:pPr>
        <w:adjustRightInd w:val="0"/>
        <w:snapToGrid w:val="0"/>
        <w:spacing w:beforeLines="0" w:afterLines="0" w:line="560" w:lineRule="exact"/>
        <w:ind w:firstLine="632" w:firstLineChars="200"/>
        <w:rPr>
          <w:szCs w:val="32"/>
        </w:rPr>
      </w:pPr>
      <w:r>
        <w:rPr>
          <w:szCs w:val="32"/>
        </w:rPr>
        <w:t>（一）</w:t>
      </w:r>
      <w:r>
        <w:rPr>
          <w:rFonts w:hint="eastAsia" w:ascii="仿宋" w:hAnsi="仿宋" w:cs="仿宋"/>
          <w:szCs w:val="32"/>
        </w:rPr>
        <w:t>不再符合本指引</w:t>
      </w:r>
      <w:r>
        <w:rPr>
          <w:rFonts w:hint="eastAsia" w:ascii="仿宋" w:hAnsi="仿宋" w:eastAsia="仿宋" w:cs="仿宋"/>
          <w:szCs w:val="32"/>
        </w:rPr>
        <w:t>第三条</w:t>
      </w:r>
      <w:r>
        <w:rPr>
          <w:rFonts w:hint="eastAsia" w:ascii="仿宋" w:hAnsi="仿宋" w:cs="仿宋"/>
          <w:szCs w:val="32"/>
        </w:rPr>
        <w:t>规定的条件</w:t>
      </w:r>
      <w:r>
        <w:rPr>
          <w:szCs w:val="32"/>
        </w:rPr>
        <w:t>；</w:t>
      </w:r>
    </w:p>
    <w:p>
      <w:pPr>
        <w:adjustRightInd w:val="0"/>
        <w:snapToGrid w:val="0"/>
        <w:spacing w:beforeLines="0" w:afterLines="0" w:line="560" w:lineRule="exact"/>
        <w:ind w:firstLine="632" w:firstLineChars="200"/>
        <w:rPr>
          <w:szCs w:val="32"/>
        </w:rPr>
      </w:pPr>
      <w:r>
        <w:rPr>
          <w:szCs w:val="32"/>
        </w:rPr>
        <w:t>（二）与基金管理人协议到期、变更或者提前解除；</w:t>
      </w:r>
    </w:p>
    <w:p>
      <w:pPr>
        <w:adjustRightInd w:val="0"/>
        <w:snapToGrid w:val="0"/>
        <w:spacing w:beforeLines="0" w:afterLines="0" w:line="560" w:lineRule="exact"/>
        <w:ind w:firstLine="632" w:firstLineChars="200"/>
        <w:rPr>
          <w:szCs w:val="32"/>
        </w:rPr>
      </w:pPr>
      <w:r>
        <w:rPr>
          <w:szCs w:val="32"/>
        </w:rPr>
        <w:t>（三）流动性服务商因故无法为单只或者多只基金正常提供流动性服务，且与基金管理人协商一致；</w:t>
      </w:r>
    </w:p>
    <w:p>
      <w:pPr>
        <w:adjustRightInd w:val="0"/>
        <w:snapToGrid w:val="0"/>
        <w:spacing w:beforeLines="0" w:afterLines="0" w:line="560" w:lineRule="exact"/>
        <w:ind w:firstLine="632" w:firstLineChars="200"/>
        <w:rPr>
          <w:rFonts w:hint="eastAsia" w:ascii="仿宋" w:hAnsi="仿宋" w:cs="仿宋"/>
          <w:szCs w:val="32"/>
        </w:rPr>
      </w:pPr>
      <w:r>
        <w:rPr>
          <w:szCs w:val="32"/>
        </w:rPr>
        <w:t>（四）</w:t>
      </w:r>
      <w:r>
        <w:rPr>
          <w:rFonts w:hint="eastAsia" w:ascii="仿宋" w:hAnsi="仿宋" w:cs="仿宋"/>
          <w:szCs w:val="32"/>
        </w:rPr>
        <w:t>年度</w:t>
      </w:r>
      <w:r>
        <w:rPr>
          <w:rFonts w:hint="eastAsia" w:ascii="仿宋" w:hAnsi="仿宋" w:cs="仿宋"/>
          <w:szCs w:val="32"/>
          <w:lang w:eastAsia="zh-CN"/>
        </w:rPr>
        <w:t>评价</w:t>
      </w:r>
      <w:r>
        <w:rPr>
          <w:rFonts w:hint="eastAsia" w:ascii="仿宋" w:hAnsi="仿宋" w:cs="仿宋"/>
          <w:szCs w:val="32"/>
        </w:rPr>
        <w:t>周期内，为特定基金提供流动性服务月度</w:t>
      </w:r>
      <w:r>
        <w:rPr>
          <w:rFonts w:hint="eastAsia" w:ascii="仿宋" w:hAnsi="仿宋" w:cs="仿宋"/>
          <w:szCs w:val="32"/>
          <w:lang w:eastAsia="zh-CN"/>
        </w:rPr>
        <w:t>评价</w:t>
      </w:r>
      <w:r>
        <w:rPr>
          <w:rFonts w:hint="eastAsia" w:ascii="仿宋" w:hAnsi="仿宋" w:cs="仿宋"/>
          <w:szCs w:val="32"/>
        </w:rPr>
        <w:t>结果为D的次数占本所全年月度</w:t>
      </w:r>
      <w:r>
        <w:rPr>
          <w:rFonts w:hint="eastAsia" w:ascii="仿宋" w:hAnsi="仿宋" w:cs="仿宋"/>
          <w:szCs w:val="32"/>
          <w:lang w:eastAsia="zh-CN"/>
        </w:rPr>
        <w:t>评价</w:t>
      </w:r>
      <w:r>
        <w:rPr>
          <w:rFonts w:hint="eastAsia" w:ascii="仿宋" w:hAnsi="仿宋" w:cs="仿宋"/>
          <w:szCs w:val="32"/>
        </w:rPr>
        <w:t>次数的1/3或者以上；</w:t>
      </w:r>
    </w:p>
    <w:p>
      <w:pPr>
        <w:adjustRightInd w:val="0"/>
        <w:snapToGrid w:val="0"/>
        <w:spacing w:beforeLines="0" w:afterLines="0" w:line="560" w:lineRule="exact"/>
        <w:ind w:firstLine="632" w:firstLineChars="200"/>
        <w:rPr>
          <w:szCs w:val="32"/>
        </w:rPr>
      </w:pPr>
      <w:r>
        <w:rPr>
          <w:szCs w:val="32"/>
        </w:rPr>
        <w:t>（五）出现违法违规、谋取不正当利益或者其他可能损害投资者合法权益的行为；</w:t>
      </w:r>
    </w:p>
    <w:p>
      <w:pPr>
        <w:adjustRightInd w:val="0"/>
        <w:snapToGrid w:val="0"/>
        <w:spacing w:beforeLines="0" w:afterLines="0" w:line="560" w:lineRule="exact"/>
        <w:ind w:firstLine="632" w:firstLineChars="200"/>
        <w:rPr>
          <w:szCs w:val="32"/>
        </w:rPr>
      </w:pPr>
      <w:r>
        <w:rPr>
          <w:szCs w:val="32"/>
        </w:rPr>
        <w:t>（六）本所认定的其他情形。</w:t>
      </w:r>
    </w:p>
    <w:p>
      <w:pPr>
        <w:adjustRightInd w:val="0"/>
        <w:snapToGrid w:val="0"/>
        <w:spacing w:beforeLines="0" w:afterLines="0" w:line="560" w:lineRule="exact"/>
        <w:ind w:firstLine="632" w:firstLineChars="200"/>
        <w:rPr>
          <w:szCs w:val="32"/>
        </w:rPr>
      </w:pPr>
      <w:r>
        <w:rPr>
          <w:rFonts w:eastAsia="黑体"/>
          <w:bCs/>
          <w:kern w:val="44"/>
          <w:szCs w:val="32"/>
        </w:rPr>
        <w:t>第</w:t>
      </w:r>
      <w:r>
        <w:rPr>
          <w:rFonts w:hint="eastAsia" w:eastAsia="黑体"/>
          <w:bCs/>
          <w:kern w:val="44"/>
          <w:szCs w:val="32"/>
          <w:lang w:eastAsia="zh-CN"/>
        </w:rPr>
        <w:t>八</w:t>
      </w:r>
      <w:r>
        <w:rPr>
          <w:rFonts w:eastAsia="黑体"/>
          <w:bCs/>
          <w:kern w:val="44"/>
          <w:szCs w:val="32"/>
        </w:rPr>
        <w:t>条</w:t>
      </w:r>
      <w:r>
        <w:rPr>
          <w:bCs/>
          <w:kern w:val="44"/>
          <w:szCs w:val="32"/>
        </w:rPr>
        <w:t xml:space="preserve">  </w:t>
      </w:r>
      <w:r>
        <w:rPr>
          <w:szCs w:val="32"/>
        </w:rPr>
        <w:t>基金管理人申请终止流动性服务商为相关基金提供流动性服务，应当向本所提交申请函。</w:t>
      </w:r>
    </w:p>
    <w:p>
      <w:pPr>
        <w:adjustRightInd w:val="0"/>
        <w:snapToGrid w:val="0"/>
        <w:spacing w:beforeLines="0" w:afterLines="0" w:line="560" w:lineRule="exact"/>
        <w:ind w:firstLine="632" w:firstLineChars="200"/>
        <w:rPr>
          <w:szCs w:val="32"/>
        </w:rPr>
      </w:pPr>
      <w:r>
        <w:rPr>
          <w:rFonts w:eastAsia="黑体"/>
          <w:bCs/>
          <w:kern w:val="44"/>
          <w:szCs w:val="32"/>
        </w:rPr>
        <w:t>第</w:t>
      </w:r>
      <w:r>
        <w:rPr>
          <w:rFonts w:hint="eastAsia" w:eastAsia="黑体"/>
          <w:bCs/>
          <w:kern w:val="44"/>
          <w:szCs w:val="32"/>
          <w:lang w:eastAsia="zh-CN"/>
        </w:rPr>
        <w:t>九</w:t>
      </w:r>
      <w:r>
        <w:rPr>
          <w:rFonts w:eastAsia="黑体"/>
          <w:bCs/>
          <w:kern w:val="44"/>
          <w:szCs w:val="32"/>
        </w:rPr>
        <w:t>条</w:t>
      </w:r>
      <w:r>
        <w:rPr>
          <w:szCs w:val="32"/>
        </w:rPr>
        <w:t xml:space="preserve">  基金管理人对流动性服务商的选定、新增和终止，</w:t>
      </w:r>
      <w:r>
        <w:rPr>
          <w:rFonts w:hint="eastAsia"/>
          <w:szCs w:val="32"/>
          <w:lang w:val="en-US" w:eastAsia="zh-CN"/>
        </w:rPr>
        <w:t>以及对主流动性服务商的指定和调整，</w:t>
      </w:r>
      <w:r>
        <w:rPr>
          <w:szCs w:val="32"/>
        </w:rPr>
        <w:t>应当及时向市场公告。</w:t>
      </w:r>
    </w:p>
    <w:p>
      <w:pPr>
        <w:adjustRightInd w:val="0"/>
        <w:snapToGrid w:val="0"/>
        <w:spacing w:beforeLines="0" w:afterLines="0" w:line="560" w:lineRule="exact"/>
        <w:ind w:firstLine="632" w:firstLineChars="200"/>
        <w:rPr>
          <w:szCs w:val="32"/>
        </w:rPr>
      </w:pPr>
    </w:p>
    <w:p>
      <w:pPr>
        <w:adjustRightInd w:val="0"/>
        <w:snapToGrid w:val="0"/>
        <w:spacing w:beforeLines="0" w:afterLines="0" w:line="560" w:lineRule="exact"/>
        <w:jc w:val="center"/>
        <w:rPr>
          <w:rFonts w:ascii="黑体" w:hAnsi="黑体" w:eastAsia="黑体"/>
          <w:szCs w:val="32"/>
        </w:rPr>
      </w:pPr>
      <w:r>
        <w:rPr>
          <w:rFonts w:ascii="黑体" w:hAnsi="黑体" w:eastAsia="黑体"/>
          <w:szCs w:val="32"/>
        </w:rPr>
        <w:t>第三章 流动性服务业务规则</w:t>
      </w:r>
    </w:p>
    <w:p>
      <w:pPr>
        <w:adjustRightInd w:val="0"/>
        <w:snapToGrid w:val="0"/>
        <w:spacing w:beforeLines="0" w:afterLines="0" w:line="560" w:lineRule="exact"/>
        <w:ind w:firstLine="632" w:firstLineChars="200"/>
        <w:rPr>
          <w:bCs/>
          <w:kern w:val="44"/>
          <w:szCs w:val="32"/>
        </w:rPr>
      </w:pPr>
      <w:r>
        <w:rPr>
          <w:rFonts w:eastAsia="黑体"/>
          <w:bCs/>
          <w:kern w:val="44"/>
          <w:szCs w:val="32"/>
        </w:rPr>
        <w:t>第</w:t>
      </w:r>
      <w:r>
        <w:rPr>
          <w:rFonts w:hint="eastAsia" w:eastAsia="黑体"/>
          <w:bCs/>
          <w:kern w:val="44"/>
          <w:szCs w:val="32"/>
          <w:lang w:eastAsia="zh-CN"/>
        </w:rPr>
        <w:t>十</w:t>
      </w:r>
      <w:r>
        <w:rPr>
          <w:rFonts w:eastAsia="黑体"/>
          <w:bCs/>
          <w:kern w:val="44"/>
          <w:szCs w:val="32"/>
        </w:rPr>
        <w:t>条</w:t>
      </w:r>
      <w:r>
        <w:rPr>
          <w:bCs/>
          <w:kern w:val="44"/>
          <w:szCs w:val="32"/>
        </w:rPr>
        <w:t xml:space="preserve">  流动性服务商开展流动性服务业务，应当使用专用证券账户和指定的交易单元。专用证券账户只能用于本所基金流动性服务业务</w:t>
      </w:r>
      <w:r>
        <w:rPr>
          <w:rFonts w:hint="eastAsia"/>
          <w:bCs/>
          <w:kern w:val="44"/>
          <w:szCs w:val="32"/>
        </w:rPr>
        <w:t>以及其他</w:t>
      </w:r>
      <w:r>
        <w:rPr>
          <w:rFonts w:hint="eastAsia"/>
          <w:bCs/>
          <w:kern w:val="44"/>
          <w:szCs w:val="32"/>
          <w:lang w:eastAsia="zh-CN"/>
        </w:rPr>
        <w:t>品种</w:t>
      </w:r>
      <w:r>
        <w:rPr>
          <w:rFonts w:hint="eastAsia"/>
          <w:bCs/>
          <w:kern w:val="44"/>
          <w:szCs w:val="32"/>
        </w:rPr>
        <w:t>做市交易业务</w:t>
      </w:r>
      <w:r>
        <w:rPr>
          <w:bCs/>
          <w:kern w:val="44"/>
          <w:szCs w:val="32"/>
        </w:rPr>
        <w:t>，不得用于其他业务。</w:t>
      </w:r>
    </w:p>
    <w:p>
      <w:pPr>
        <w:adjustRightInd w:val="0"/>
        <w:snapToGrid w:val="0"/>
        <w:spacing w:beforeLines="0" w:afterLines="0" w:line="560" w:lineRule="exact"/>
        <w:ind w:firstLine="632" w:firstLineChars="200"/>
        <w:rPr>
          <w:bCs/>
          <w:kern w:val="44"/>
          <w:szCs w:val="32"/>
        </w:rPr>
      </w:pPr>
      <w:r>
        <w:rPr>
          <w:bCs/>
          <w:kern w:val="44"/>
          <w:szCs w:val="32"/>
        </w:rPr>
        <w:t>流动性服务商为单只基金提供流动性服务，只能使用</w:t>
      </w:r>
      <w:r>
        <w:rPr>
          <w:rFonts w:hint="eastAsia"/>
          <w:bCs/>
          <w:kern w:val="44"/>
          <w:szCs w:val="32"/>
          <w:lang w:eastAsia="zh-CN"/>
        </w:rPr>
        <w:t>唯</w:t>
      </w:r>
      <w:r>
        <w:rPr>
          <w:bCs/>
          <w:kern w:val="44"/>
          <w:szCs w:val="32"/>
        </w:rPr>
        <w:t>一的专用证券账户。</w:t>
      </w:r>
    </w:p>
    <w:p>
      <w:pPr>
        <w:adjustRightInd w:val="0"/>
        <w:snapToGrid w:val="0"/>
        <w:spacing w:beforeLines="0" w:afterLines="0" w:line="560" w:lineRule="exact"/>
        <w:ind w:firstLine="632" w:firstLineChars="200"/>
        <w:rPr>
          <w:szCs w:val="32"/>
        </w:rPr>
      </w:pPr>
      <w:r>
        <w:rPr>
          <w:rFonts w:eastAsia="黑体"/>
          <w:bCs/>
          <w:kern w:val="44"/>
          <w:szCs w:val="32"/>
        </w:rPr>
        <w:t>第</w:t>
      </w:r>
      <w:r>
        <w:rPr>
          <w:rFonts w:hint="eastAsia" w:eastAsia="黑体"/>
          <w:bCs/>
          <w:kern w:val="44"/>
          <w:szCs w:val="32"/>
          <w:lang w:eastAsia="zh-CN"/>
        </w:rPr>
        <w:t>十一</w:t>
      </w:r>
      <w:r>
        <w:rPr>
          <w:rFonts w:eastAsia="黑体"/>
          <w:bCs/>
          <w:kern w:val="44"/>
          <w:szCs w:val="32"/>
        </w:rPr>
        <w:t>条</w:t>
      </w:r>
      <w:r>
        <w:rPr>
          <w:bCs/>
          <w:kern w:val="44"/>
          <w:szCs w:val="32"/>
        </w:rPr>
        <w:t xml:space="preserve">  流动性服务商开展流动性服务的业务指标，包括但不限于下列要素</w:t>
      </w:r>
      <w:r>
        <w:rPr>
          <w:szCs w:val="32"/>
        </w:rPr>
        <w:t>：</w:t>
      </w:r>
    </w:p>
    <w:p>
      <w:pPr>
        <w:adjustRightInd w:val="0"/>
        <w:snapToGrid w:val="0"/>
        <w:spacing w:beforeLines="0" w:afterLines="0" w:line="560" w:lineRule="exact"/>
        <w:ind w:firstLine="632" w:firstLineChars="200"/>
        <w:rPr>
          <w:szCs w:val="32"/>
        </w:rPr>
      </w:pPr>
      <w:r>
        <w:rPr>
          <w:szCs w:val="32"/>
        </w:rPr>
        <w:t>（一）最大买卖价差；</w:t>
      </w:r>
    </w:p>
    <w:p>
      <w:pPr>
        <w:adjustRightInd w:val="0"/>
        <w:snapToGrid w:val="0"/>
        <w:spacing w:beforeLines="0" w:afterLines="0" w:line="560" w:lineRule="exact"/>
        <w:ind w:firstLine="632" w:firstLineChars="200"/>
        <w:rPr>
          <w:szCs w:val="32"/>
        </w:rPr>
      </w:pPr>
      <w:r>
        <w:rPr>
          <w:szCs w:val="32"/>
        </w:rPr>
        <w:t>（二）最小申报金额；</w:t>
      </w:r>
    </w:p>
    <w:p>
      <w:pPr>
        <w:adjustRightInd w:val="0"/>
        <w:snapToGrid w:val="0"/>
        <w:spacing w:beforeLines="0" w:afterLines="0" w:line="560" w:lineRule="exact"/>
        <w:ind w:firstLine="632" w:firstLineChars="200"/>
        <w:rPr>
          <w:szCs w:val="32"/>
        </w:rPr>
      </w:pPr>
      <w:r>
        <w:rPr>
          <w:szCs w:val="32"/>
        </w:rPr>
        <w:t>（三）时间加权报价差率；</w:t>
      </w:r>
    </w:p>
    <w:p>
      <w:pPr>
        <w:adjustRightInd w:val="0"/>
        <w:snapToGrid w:val="0"/>
        <w:spacing w:beforeLines="0" w:afterLines="0" w:line="560" w:lineRule="exact"/>
        <w:ind w:firstLine="632" w:firstLineChars="200"/>
        <w:rPr>
          <w:szCs w:val="32"/>
        </w:rPr>
      </w:pPr>
      <w:r>
        <w:rPr>
          <w:szCs w:val="32"/>
        </w:rPr>
        <w:t>（四）连续竞价参与率；</w:t>
      </w:r>
    </w:p>
    <w:p>
      <w:pPr>
        <w:adjustRightInd w:val="0"/>
        <w:snapToGrid w:val="0"/>
        <w:spacing w:beforeLines="0" w:afterLines="0" w:line="560" w:lineRule="exact"/>
        <w:ind w:firstLine="632" w:firstLineChars="200"/>
        <w:rPr>
          <w:szCs w:val="32"/>
        </w:rPr>
      </w:pPr>
      <w:r>
        <w:rPr>
          <w:szCs w:val="32"/>
        </w:rPr>
        <w:t>（五）集合竞价参与率，包括开盘集合竞价参与率和收盘集合竞价参与率；</w:t>
      </w:r>
    </w:p>
    <w:p>
      <w:pPr>
        <w:adjustRightInd w:val="0"/>
        <w:snapToGrid w:val="0"/>
        <w:spacing w:beforeLines="0" w:afterLines="0" w:line="560" w:lineRule="exact"/>
        <w:ind w:firstLine="632" w:firstLineChars="200"/>
        <w:rPr>
          <w:szCs w:val="32"/>
        </w:rPr>
      </w:pPr>
      <w:r>
        <w:rPr>
          <w:szCs w:val="32"/>
        </w:rPr>
        <w:t>（六）平均单笔申报金额。</w:t>
      </w:r>
    </w:p>
    <w:p>
      <w:pPr>
        <w:adjustRightInd w:val="0"/>
        <w:snapToGrid w:val="0"/>
        <w:spacing w:beforeLines="0" w:afterLines="0" w:line="560" w:lineRule="exact"/>
        <w:ind w:firstLine="632" w:firstLineChars="200"/>
        <w:rPr>
          <w:szCs w:val="32"/>
        </w:rPr>
      </w:pPr>
      <w:r>
        <w:rPr>
          <w:szCs w:val="32"/>
        </w:rPr>
        <w:t>本所可以根据市场情况，对具体基金品种的流动性服务业务指标作出具体安排和调整。</w:t>
      </w:r>
    </w:p>
    <w:p>
      <w:pPr>
        <w:adjustRightInd w:val="0"/>
        <w:snapToGrid w:val="0"/>
        <w:spacing w:beforeLines="0" w:afterLines="0" w:line="560" w:lineRule="exact"/>
        <w:ind w:firstLine="632" w:firstLineChars="200"/>
        <w:rPr>
          <w:szCs w:val="32"/>
        </w:rPr>
      </w:pPr>
      <w:r>
        <w:rPr>
          <w:rFonts w:eastAsia="黑体"/>
          <w:szCs w:val="32"/>
        </w:rPr>
        <w:t>第十</w:t>
      </w:r>
      <w:r>
        <w:rPr>
          <w:rFonts w:hint="eastAsia" w:eastAsia="黑体"/>
          <w:szCs w:val="32"/>
          <w:lang w:eastAsia="zh-CN"/>
        </w:rPr>
        <w:t>二</w:t>
      </w:r>
      <w:r>
        <w:rPr>
          <w:rFonts w:eastAsia="黑体"/>
          <w:szCs w:val="32"/>
        </w:rPr>
        <w:t>条</w:t>
      </w:r>
      <w:r>
        <w:rPr>
          <w:szCs w:val="32"/>
        </w:rPr>
        <w:t xml:space="preserve">  本所建立对流动性服务商的评价制度，根据相关指标，</w:t>
      </w:r>
      <w:r>
        <w:rPr>
          <w:rFonts w:hint="eastAsia"/>
          <w:szCs w:val="32"/>
        </w:rPr>
        <w:t>按月度和年度</w:t>
      </w:r>
      <w:r>
        <w:rPr>
          <w:szCs w:val="32"/>
        </w:rPr>
        <w:t>对流动性服务商的服务情况进行</w:t>
      </w:r>
      <w:r>
        <w:rPr>
          <w:rFonts w:hint="eastAsia"/>
          <w:szCs w:val="32"/>
          <w:lang w:eastAsia="zh-CN"/>
        </w:rPr>
        <w:t>评价</w:t>
      </w:r>
      <w:r>
        <w:rPr>
          <w:szCs w:val="32"/>
        </w:rPr>
        <w:t>，并将</w:t>
      </w:r>
      <w:r>
        <w:rPr>
          <w:rFonts w:hint="eastAsia"/>
          <w:szCs w:val="32"/>
          <w:lang w:eastAsia="zh-CN"/>
        </w:rPr>
        <w:t>评价</w:t>
      </w:r>
      <w:r>
        <w:rPr>
          <w:szCs w:val="32"/>
        </w:rPr>
        <w:t>结果向市场公告。</w:t>
      </w:r>
    </w:p>
    <w:p>
      <w:pPr>
        <w:adjustRightInd w:val="0"/>
        <w:snapToGrid w:val="0"/>
        <w:spacing w:beforeLines="0" w:afterLines="0" w:line="560" w:lineRule="exact"/>
        <w:ind w:firstLine="632" w:firstLineChars="200"/>
        <w:rPr>
          <w:szCs w:val="32"/>
        </w:rPr>
      </w:pPr>
      <w:r>
        <w:rPr>
          <w:rFonts w:eastAsia="黑体"/>
          <w:bCs/>
          <w:kern w:val="44"/>
          <w:szCs w:val="32"/>
        </w:rPr>
        <w:t>第十</w:t>
      </w:r>
      <w:r>
        <w:rPr>
          <w:rFonts w:hint="eastAsia" w:eastAsia="黑体"/>
          <w:bCs/>
          <w:kern w:val="44"/>
          <w:szCs w:val="32"/>
          <w:lang w:eastAsia="zh-CN"/>
        </w:rPr>
        <w:t>三</w:t>
      </w:r>
      <w:r>
        <w:rPr>
          <w:rFonts w:eastAsia="黑体"/>
          <w:bCs/>
          <w:kern w:val="44"/>
          <w:szCs w:val="32"/>
        </w:rPr>
        <w:t>条</w:t>
      </w:r>
      <w:r>
        <w:rPr>
          <w:szCs w:val="32"/>
        </w:rPr>
        <w:t xml:space="preserve">  本所根据</w:t>
      </w:r>
      <w:r>
        <w:rPr>
          <w:rFonts w:hint="eastAsia"/>
          <w:szCs w:val="32"/>
        </w:rPr>
        <w:t>流动性服务商开展流动性服务以及其他品种做市交易业务的</w:t>
      </w:r>
      <w:r>
        <w:rPr>
          <w:rFonts w:hint="eastAsia"/>
          <w:szCs w:val="32"/>
          <w:lang w:eastAsia="zh-CN"/>
        </w:rPr>
        <w:t>评价情况</w:t>
      </w:r>
      <w:r>
        <w:rPr>
          <w:szCs w:val="32"/>
        </w:rPr>
        <w:t>，可以支付流动性服务商适当的服务费用。</w:t>
      </w:r>
    </w:p>
    <w:p>
      <w:pPr>
        <w:adjustRightInd w:val="0"/>
        <w:snapToGrid w:val="0"/>
        <w:spacing w:beforeLines="0" w:afterLines="0" w:line="560" w:lineRule="exact"/>
        <w:ind w:firstLine="632" w:firstLineChars="200"/>
        <w:rPr>
          <w:szCs w:val="32"/>
        </w:rPr>
      </w:pPr>
      <w:r>
        <w:rPr>
          <w:rFonts w:hint="eastAsia" w:eastAsia="黑体"/>
          <w:szCs w:val="32"/>
        </w:rPr>
        <w:t>第十四条</w:t>
      </w:r>
      <w:r>
        <w:rPr>
          <w:rFonts w:hint="eastAsia"/>
          <w:szCs w:val="32"/>
        </w:rPr>
        <w:t xml:space="preserve">  本所对主流动性服务商和一般流动性服务商实施差异化的评价和服务费用支付标准。</w:t>
      </w:r>
    </w:p>
    <w:p>
      <w:pPr>
        <w:adjustRightInd w:val="0"/>
        <w:snapToGrid w:val="0"/>
        <w:spacing w:beforeLines="0" w:afterLines="0" w:line="560" w:lineRule="exact"/>
        <w:ind w:firstLine="632" w:firstLineChars="200"/>
        <w:rPr>
          <w:szCs w:val="32"/>
        </w:rPr>
      </w:pPr>
      <w:r>
        <w:rPr>
          <w:rFonts w:eastAsia="黑体"/>
          <w:szCs w:val="32"/>
        </w:rPr>
        <w:t>第十</w:t>
      </w:r>
      <w:r>
        <w:rPr>
          <w:rFonts w:hint="eastAsia" w:eastAsia="黑体"/>
          <w:szCs w:val="32"/>
          <w:lang w:val="en-US" w:eastAsia="zh-CN"/>
        </w:rPr>
        <w:t>五</w:t>
      </w:r>
      <w:r>
        <w:rPr>
          <w:rFonts w:eastAsia="黑体"/>
          <w:szCs w:val="32"/>
        </w:rPr>
        <w:t>条</w:t>
      </w:r>
      <w:r>
        <w:rPr>
          <w:szCs w:val="32"/>
        </w:rPr>
        <w:t xml:space="preserve">  出现下列情形之一，导致流动性服务商无法正常提供流动性服务的，本所可以根据</w:t>
      </w:r>
      <w:r>
        <w:rPr>
          <w:rFonts w:hint="eastAsia"/>
          <w:szCs w:val="32"/>
        </w:rPr>
        <w:t>市场情况或者</w:t>
      </w:r>
      <w:r>
        <w:rPr>
          <w:szCs w:val="32"/>
        </w:rPr>
        <w:t>流动性服务商的申请，对流动性服务商的流动性服务</w:t>
      </w:r>
      <w:r>
        <w:rPr>
          <w:rFonts w:hint="eastAsia"/>
          <w:szCs w:val="32"/>
          <w:lang w:eastAsia="zh-CN"/>
        </w:rPr>
        <w:t>评价</w:t>
      </w:r>
      <w:r>
        <w:rPr>
          <w:szCs w:val="32"/>
        </w:rPr>
        <w:t>进行适度豁免：</w:t>
      </w:r>
    </w:p>
    <w:p>
      <w:pPr>
        <w:adjustRightInd w:val="0"/>
        <w:snapToGrid w:val="0"/>
        <w:spacing w:beforeLines="0" w:afterLines="0" w:line="560" w:lineRule="exact"/>
        <w:ind w:firstLine="600"/>
        <w:rPr>
          <w:szCs w:val="32"/>
        </w:rPr>
      </w:pPr>
      <w:r>
        <w:rPr>
          <w:szCs w:val="32"/>
        </w:rPr>
        <w:t>（一）基金交易价格达到涨停或者跌停价格；</w:t>
      </w:r>
    </w:p>
    <w:p>
      <w:pPr>
        <w:adjustRightInd w:val="0"/>
        <w:snapToGrid w:val="0"/>
        <w:spacing w:beforeLines="0" w:afterLines="0" w:line="560" w:lineRule="exact"/>
        <w:ind w:firstLine="632" w:firstLineChars="200"/>
        <w:rPr>
          <w:rFonts w:hint="eastAsia" w:ascii="仿宋" w:hAnsi="仿宋" w:cs="仿宋"/>
          <w:szCs w:val="32"/>
        </w:rPr>
      </w:pPr>
      <w:r>
        <w:rPr>
          <w:szCs w:val="32"/>
        </w:rPr>
        <w:t>（二）</w:t>
      </w:r>
      <w:r>
        <w:rPr>
          <w:rFonts w:hint="eastAsia" w:ascii="仿宋" w:hAnsi="仿宋" w:cs="仿宋"/>
          <w:szCs w:val="32"/>
        </w:rPr>
        <w:t>QDII交易型开放式基金的最新成交价格较基金份额参考净值溢价幅度达到10%或者QDII上市开放式基金的最新成交价格较基金份额净值溢价幅度达到10%；</w:t>
      </w:r>
    </w:p>
    <w:p>
      <w:pPr>
        <w:adjustRightInd w:val="0"/>
        <w:snapToGrid w:val="0"/>
        <w:spacing w:beforeLines="0" w:afterLines="0" w:line="560" w:lineRule="exact"/>
        <w:ind w:firstLine="632" w:firstLineChars="200"/>
        <w:rPr>
          <w:szCs w:val="32"/>
        </w:rPr>
      </w:pPr>
      <w:r>
        <w:rPr>
          <w:szCs w:val="32"/>
        </w:rPr>
        <w:t>（三）公开募集</w:t>
      </w:r>
      <w:r>
        <w:rPr>
          <w:rFonts w:hint="eastAsia"/>
          <w:szCs w:val="32"/>
        </w:rPr>
        <w:t>不动产投资信托</w:t>
      </w:r>
      <w:r>
        <w:rPr>
          <w:szCs w:val="32"/>
        </w:rPr>
        <w:t>基金（以下简称</w:t>
      </w:r>
      <w:r>
        <w:rPr>
          <w:rFonts w:hint="eastAsia"/>
          <w:szCs w:val="32"/>
        </w:rPr>
        <w:t>不动产</w:t>
      </w:r>
      <w:r>
        <w:rPr>
          <w:szCs w:val="32"/>
        </w:rPr>
        <w:t>基金）交易价格出现大幅波动；</w:t>
      </w:r>
    </w:p>
    <w:p>
      <w:pPr>
        <w:adjustRightInd w:val="0"/>
        <w:snapToGrid w:val="0"/>
        <w:spacing w:beforeLines="0" w:afterLines="0" w:line="560" w:lineRule="exact"/>
        <w:ind w:firstLine="632" w:firstLineChars="200"/>
        <w:rPr>
          <w:szCs w:val="32"/>
        </w:rPr>
      </w:pPr>
      <w:r>
        <w:rPr>
          <w:szCs w:val="32"/>
        </w:rPr>
        <w:t>（四）根据《深圳证券交易所公开募集</w:t>
      </w:r>
      <w:r>
        <w:rPr>
          <w:rFonts w:hint="eastAsia"/>
          <w:szCs w:val="32"/>
        </w:rPr>
        <w:t>不动产投资信托</w:t>
      </w:r>
      <w:r>
        <w:rPr>
          <w:szCs w:val="32"/>
        </w:rPr>
        <w:t>基金业务办法（试行）》有关规定，流动性服务商因持有的</w:t>
      </w:r>
      <w:r>
        <w:rPr>
          <w:rFonts w:hint="eastAsia"/>
          <w:szCs w:val="32"/>
        </w:rPr>
        <w:t>不动产</w:t>
      </w:r>
      <w:r>
        <w:rPr>
          <w:szCs w:val="32"/>
        </w:rPr>
        <w:t>基金份额权益变动在一定期间不得买卖</w:t>
      </w:r>
      <w:r>
        <w:rPr>
          <w:rFonts w:hint="eastAsia"/>
          <w:szCs w:val="32"/>
        </w:rPr>
        <w:t>不动产</w:t>
      </w:r>
      <w:r>
        <w:rPr>
          <w:szCs w:val="32"/>
        </w:rPr>
        <w:t>基金份额；</w:t>
      </w:r>
    </w:p>
    <w:p>
      <w:pPr>
        <w:adjustRightInd w:val="0"/>
        <w:snapToGrid w:val="0"/>
        <w:spacing w:beforeLines="0" w:afterLines="0" w:line="560" w:lineRule="exact"/>
        <w:ind w:firstLine="632" w:firstLineChars="200"/>
        <w:rPr>
          <w:szCs w:val="32"/>
        </w:rPr>
      </w:pPr>
      <w:r>
        <w:rPr>
          <w:szCs w:val="32"/>
        </w:rPr>
        <w:t>（五）因不可抗力、意外事件或者技术故障等导致无法继续提供流动性服务；</w:t>
      </w:r>
    </w:p>
    <w:p>
      <w:pPr>
        <w:adjustRightInd w:val="0"/>
        <w:snapToGrid w:val="0"/>
        <w:spacing w:beforeLines="0" w:afterLines="0" w:line="560" w:lineRule="exact"/>
        <w:ind w:firstLine="632" w:firstLineChars="200"/>
        <w:rPr>
          <w:szCs w:val="32"/>
        </w:rPr>
      </w:pPr>
      <w:r>
        <w:rPr>
          <w:rFonts w:hint="eastAsia"/>
          <w:szCs w:val="32"/>
          <w:lang w:eastAsia="zh-CN"/>
        </w:rPr>
        <w:t>（六）</w:t>
      </w:r>
      <w:r>
        <w:rPr>
          <w:szCs w:val="32"/>
        </w:rPr>
        <w:t>本所</w:t>
      </w:r>
      <w:r>
        <w:rPr>
          <w:rFonts w:hint="eastAsia"/>
          <w:szCs w:val="32"/>
          <w:lang w:eastAsia="zh-CN"/>
        </w:rPr>
        <w:t>认可</w:t>
      </w:r>
      <w:r>
        <w:rPr>
          <w:szCs w:val="32"/>
        </w:rPr>
        <w:t>的其他情形。</w:t>
      </w:r>
    </w:p>
    <w:p>
      <w:pPr>
        <w:adjustRightInd w:val="0"/>
        <w:snapToGrid w:val="0"/>
        <w:spacing w:beforeLines="0" w:afterLines="0" w:line="560" w:lineRule="exact"/>
        <w:rPr>
          <w:b/>
          <w:szCs w:val="32"/>
        </w:rPr>
      </w:pPr>
    </w:p>
    <w:p>
      <w:pPr>
        <w:adjustRightInd w:val="0"/>
        <w:snapToGrid w:val="0"/>
        <w:spacing w:beforeLines="0" w:afterLines="0" w:line="560" w:lineRule="exact"/>
        <w:jc w:val="center"/>
        <w:rPr>
          <w:rFonts w:ascii="黑体" w:hAnsi="黑体" w:eastAsia="黑体"/>
          <w:szCs w:val="32"/>
        </w:rPr>
      </w:pPr>
      <w:r>
        <w:rPr>
          <w:rFonts w:ascii="黑体" w:hAnsi="黑体" w:eastAsia="黑体"/>
          <w:szCs w:val="32"/>
        </w:rPr>
        <w:t>第四章 监督管理</w:t>
      </w:r>
    </w:p>
    <w:p>
      <w:pPr>
        <w:adjustRightInd w:val="0"/>
        <w:snapToGrid w:val="0"/>
        <w:spacing w:beforeLines="0" w:afterLines="0" w:line="560" w:lineRule="exact"/>
        <w:ind w:firstLine="632" w:firstLineChars="200"/>
        <w:rPr>
          <w:bCs/>
          <w:kern w:val="44"/>
          <w:szCs w:val="32"/>
        </w:rPr>
      </w:pPr>
      <w:r>
        <w:rPr>
          <w:rFonts w:eastAsia="黑体"/>
          <w:bCs/>
          <w:kern w:val="44"/>
          <w:szCs w:val="32"/>
        </w:rPr>
        <w:t>第十</w:t>
      </w:r>
      <w:r>
        <w:rPr>
          <w:rFonts w:hint="eastAsia" w:eastAsia="黑体"/>
          <w:bCs/>
          <w:kern w:val="44"/>
          <w:szCs w:val="32"/>
          <w:lang w:eastAsia="zh-CN"/>
        </w:rPr>
        <w:t>六</w:t>
      </w:r>
      <w:r>
        <w:rPr>
          <w:rFonts w:eastAsia="黑体"/>
          <w:bCs/>
          <w:kern w:val="44"/>
          <w:szCs w:val="32"/>
        </w:rPr>
        <w:t>条</w:t>
      </w:r>
      <w:r>
        <w:rPr>
          <w:bCs/>
          <w:kern w:val="44"/>
          <w:szCs w:val="32"/>
        </w:rPr>
        <w:t xml:space="preserve">  流动性服务商开展流动性服务业务，应当遵守法律、行政法规、部门规章、规范性文件及本所业务规则等有关规定，建立有效的风险防范与业务隔离制度，不得进行内幕交易、市场操纵等违法违规行为，谋取不正当利益的行为，或者其他可能损害投资者合法权益的行为。</w:t>
      </w:r>
    </w:p>
    <w:p>
      <w:pPr>
        <w:adjustRightInd w:val="0"/>
        <w:snapToGrid w:val="0"/>
        <w:spacing w:beforeLines="0" w:afterLines="0" w:line="560" w:lineRule="exact"/>
        <w:ind w:firstLine="632" w:firstLineChars="200"/>
        <w:rPr>
          <w:szCs w:val="32"/>
        </w:rPr>
      </w:pPr>
      <w:r>
        <w:rPr>
          <w:rFonts w:eastAsia="黑体"/>
          <w:bCs/>
          <w:kern w:val="44"/>
          <w:szCs w:val="32"/>
        </w:rPr>
        <w:t>第十</w:t>
      </w:r>
      <w:r>
        <w:rPr>
          <w:rFonts w:hint="eastAsia" w:eastAsia="黑体"/>
          <w:bCs/>
          <w:kern w:val="44"/>
          <w:szCs w:val="32"/>
          <w:lang w:eastAsia="zh-CN"/>
        </w:rPr>
        <w:t>七</w:t>
      </w:r>
      <w:r>
        <w:rPr>
          <w:rFonts w:eastAsia="黑体"/>
          <w:bCs/>
          <w:kern w:val="44"/>
          <w:szCs w:val="32"/>
        </w:rPr>
        <w:t>条</w:t>
      </w:r>
      <w:r>
        <w:rPr>
          <w:bCs/>
          <w:kern w:val="44"/>
          <w:szCs w:val="32"/>
        </w:rPr>
        <w:t xml:space="preserve"> </w:t>
      </w:r>
      <w:r>
        <w:rPr>
          <w:szCs w:val="32"/>
        </w:rPr>
        <w:t xml:space="preserve"> 流动性服务商应当维护基金市场秩序，积极开展基金市场推广和投资者教育活动。</w:t>
      </w:r>
    </w:p>
    <w:p>
      <w:pPr>
        <w:adjustRightInd w:val="0"/>
        <w:snapToGrid w:val="0"/>
        <w:spacing w:beforeLines="0" w:afterLines="0" w:line="560" w:lineRule="exact"/>
        <w:ind w:firstLine="632" w:firstLineChars="200"/>
        <w:rPr>
          <w:szCs w:val="32"/>
        </w:rPr>
      </w:pPr>
      <w:r>
        <w:rPr>
          <w:rFonts w:eastAsia="黑体"/>
          <w:szCs w:val="32"/>
        </w:rPr>
        <w:t>第十</w:t>
      </w:r>
      <w:r>
        <w:rPr>
          <w:rFonts w:hint="eastAsia" w:eastAsia="黑体"/>
          <w:szCs w:val="32"/>
          <w:lang w:eastAsia="zh-CN"/>
        </w:rPr>
        <w:t>八</w:t>
      </w:r>
      <w:r>
        <w:rPr>
          <w:rFonts w:eastAsia="黑体"/>
          <w:szCs w:val="32"/>
        </w:rPr>
        <w:t>条</w:t>
      </w:r>
      <w:r>
        <w:rPr>
          <w:szCs w:val="32"/>
        </w:rPr>
        <w:t xml:space="preserve">  基金管理人违反本指引的，本所</w:t>
      </w:r>
      <w:r>
        <w:rPr>
          <w:rFonts w:hint="eastAsia"/>
          <w:szCs w:val="32"/>
        </w:rPr>
        <w:t>按照相关业务规则的规定</w:t>
      </w:r>
      <w:r>
        <w:rPr>
          <w:szCs w:val="32"/>
        </w:rPr>
        <w:t>视情况采取自律监管措施或者纪律处分。</w:t>
      </w:r>
    </w:p>
    <w:p>
      <w:pPr>
        <w:adjustRightInd w:val="0"/>
        <w:snapToGrid w:val="0"/>
        <w:spacing w:beforeLines="0" w:afterLines="0" w:line="560" w:lineRule="exact"/>
        <w:ind w:firstLine="632" w:firstLineChars="200"/>
        <w:rPr>
          <w:b/>
          <w:szCs w:val="32"/>
        </w:rPr>
      </w:pPr>
    </w:p>
    <w:p>
      <w:pPr>
        <w:adjustRightInd w:val="0"/>
        <w:snapToGrid w:val="0"/>
        <w:spacing w:beforeLines="0" w:afterLines="0" w:line="560" w:lineRule="exact"/>
        <w:jc w:val="center"/>
        <w:rPr>
          <w:rFonts w:ascii="黑体" w:hAnsi="黑体" w:eastAsia="黑体"/>
          <w:szCs w:val="32"/>
        </w:rPr>
      </w:pPr>
      <w:r>
        <w:rPr>
          <w:rFonts w:ascii="黑体" w:hAnsi="黑体" w:eastAsia="黑体"/>
          <w:szCs w:val="32"/>
        </w:rPr>
        <w:t>第五章 附则</w:t>
      </w:r>
    </w:p>
    <w:p>
      <w:pPr>
        <w:adjustRightInd w:val="0"/>
        <w:snapToGrid w:val="0"/>
        <w:spacing w:beforeLines="0" w:afterLines="0" w:line="560" w:lineRule="exact"/>
        <w:ind w:firstLine="632" w:firstLineChars="200"/>
        <w:rPr>
          <w:szCs w:val="32"/>
        </w:rPr>
      </w:pPr>
      <w:r>
        <w:rPr>
          <w:rFonts w:eastAsia="黑体"/>
          <w:bCs/>
          <w:kern w:val="44"/>
          <w:szCs w:val="32"/>
        </w:rPr>
        <w:t>第十</w:t>
      </w:r>
      <w:r>
        <w:rPr>
          <w:rFonts w:hint="eastAsia" w:eastAsia="黑体"/>
          <w:bCs/>
          <w:kern w:val="44"/>
          <w:szCs w:val="32"/>
          <w:lang w:eastAsia="zh-CN"/>
        </w:rPr>
        <w:t>九</w:t>
      </w:r>
      <w:r>
        <w:rPr>
          <w:rFonts w:eastAsia="黑体"/>
          <w:bCs/>
          <w:kern w:val="44"/>
          <w:szCs w:val="32"/>
        </w:rPr>
        <w:t>条</w:t>
      </w:r>
      <w:r>
        <w:rPr>
          <w:bCs/>
          <w:kern w:val="44"/>
          <w:szCs w:val="32"/>
        </w:rPr>
        <w:t xml:space="preserve"> </w:t>
      </w:r>
      <w:r>
        <w:rPr>
          <w:szCs w:val="32"/>
        </w:rPr>
        <w:t xml:space="preserve"> 本指引由本所负责解释。</w:t>
      </w:r>
    </w:p>
    <w:p>
      <w:pPr>
        <w:adjustRightInd w:val="0"/>
        <w:snapToGrid w:val="0"/>
        <w:spacing w:beforeLines="0" w:afterLines="0" w:line="560" w:lineRule="exact"/>
        <w:ind w:firstLine="632" w:firstLineChars="200"/>
        <w:rPr>
          <w:rFonts w:hint="eastAsia" w:ascii="仿宋" w:hAnsi="仿宋" w:cs="仿宋"/>
          <w:szCs w:val="32"/>
        </w:rPr>
      </w:pPr>
      <w:r>
        <w:rPr>
          <w:rFonts w:eastAsia="黑体"/>
          <w:bCs/>
          <w:kern w:val="44"/>
          <w:szCs w:val="32"/>
        </w:rPr>
        <w:t>第</w:t>
      </w:r>
      <w:r>
        <w:rPr>
          <w:rFonts w:hint="eastAsia" w:eastAsia="黑体"/>
          <w:bCs/>
          <w:kern w:val="44"/>
          <w:szCs w:val="32"/>
          <w:lang w:eastAsia="zh-CN"/>
        </w:rPr>
        <w:t>二十</w:t>
      </w:r>
      <w:r>
        <w:rPr>
          <w:rFonts w:eastAsia="黑体"/>
          <w:bCs/>
          <w:kern w:val="44"/>
          <w:szCs w:val="32"/>
        </w:rPr>
        <w:t>条</w:t>
      </w:r>
      <w:r>
        <w:rPr>
          <w:szCs w:val="32"/>
        </w:rPr>
        <w:t xml:space="preserve">  </w:t>
      </w:r>
      <w:r>
        <w:rPr>
          <w:rFonts w:hint="eastAsia" w:ascii="仿宋" w:hAnsi="仿宋" w:cs="仿宋"/>
          <w:szCs w:val="32"/>
        </w:rPr>
        <w:t>本指引自</w:t>
      </w:r>
      <w:r>
        <w:rPr>
          <w:rFonts w:hint="eastAsia" w:ascii="仿宋" w:hAnsi="仿宋" w:cs="仿宋"/>
          <w:szCs w:val="32"/>
          <w:lang w:eastAsia="zh-CN"/>
        </w:rPr>
        <w:t>发布之日</w:t>
      </w:r>
      <w:r>
        <w:rPr>
          <w:rFonts w:hint="eastAsia" w:ascii="仿宋" w:hAnsi="仿宋" w:cs="仿宋"/>
          <w:szCs w:val="32"/>
        </w:rPr>
        <w:t>起施行。本所于202</w:t>
      </w:r>
      <w:r>
        <w:rPr>
          <w:rFonts w:hint="eastAsia" w:ascii="仿宋" w:hAnsi="仿宋" w:cs="仿宋"/>
          <w:szCs w:val="32"/>
          <w:lang w:val="en-US" w:eastAsia="zh-CN"/>
        </w:rPr>
        <w:t>3</w:t>
      </w:r>
      <w:r>
        <w:rPr>
          <w:rFonts w:hint="eastAsia" w:ascii="仿宋" w:hAnsi="仿宋" w:cs="仿宋"/>
          <w:szCs w:val="32"/>
        </w:rPr>
        <w:t>年</w:t>
      </w:r>
      <w:r>
        <w:rPr>
          <w:rFonts w:hint="eastAsia" w:ascii="仿宋" w:hAnsi="仿宋" w:cs="仿宋"/>
          <w:szCs w:val="32"/>
          <w:lang w:val="en-US" w:eastAsia="zh-CN"/>
        </w:rPr>
        <w:t>12</w:t>
      </w:r>
      <w:r>
        <w:rPr>
          <w:rFonts w:hint="eastAsia" w:ascii="仿宋" w:hAnsi="仿宋" w:cs="仿宋"/>
          <w:szCs w:val="32"/>
        </w:rPr>
        <w:t>月</w:t>
      </w:r>
      <w:r>
        <w:rPr>
          <w:rFonts w:hint="eastAsia" w:ascii="仿宋" w:hAnsi="仿宋" w:cs="仿宋"/>
          <w:szCs w:val="32"/>
          <w:lang w:val="en-US" w:eastAsia="zh-CN"/>
        </w:rPr>
        <w:t>8</w:t>
      </w:r>
      <w:r>
        <w:rPr>
          <w:rFonts w:hint="eastAsia" w:ascii="仿宋" w:hAnsi="仿宋" w:cs="仿宋"/>
          <w:szCs w:val="32"/>
        </w:rPr>
        <w:t>日发布的《深圳证券交易所证券投资基金业务指引第2号——流动性服务</w:t>
      </w:r>
      <w:r>
        <w:rPr>
          <w:rFonts w:hint="eastAsia" w:ascii="仿宋" w:hAnsi="仿宋" w:cs="仿宋"/>
          <w:szCs w:val="32"/>
          <w:lang w:eastAsia="zh-CN"/>
        </w:rPr>
        <w:t>（</w:t>
      </w:r>
      <w:r>
        <w:rPr>
          <w:rFonts w:hint="eastAsia" w:ascii="仿宋" w:hAnsi="仿宋" w:cs="仿宋"/>
          <w:szCs w:val="32"/>
          <w:lang w:val="en-US" w:eastAsia="zh-CN"/>
        </w:rPr>
        <w:t>2023年修订</w:t>
      </w:r>
      <w:r>
        <w:rPr>
          <w:rFonts w:hint="eastAsia" w:ascii="仿宋" w:hAnsi="仿宋" w:cs="仿宋"/>
          <w:szCs w:val="32"/>
          <w:lang w:eastAsia="zh-CN"/>
        </w:rPr>
        <w:t>）</w:t>
      </w:r>
      <w:r>
        <w:rPr>
          <w:rFonts w:hint="eastAsia" w:ascii="仿宋" w:hAnsi="仿宋" w:cs="仿宋"/>
          <w:szCs w:val="32"/>
        </w:rPr>
        <w:t>》（深证上〔202</w:t>
      </w:r>
      <w:r>
        <w:rPr>
          <w:rFonts w:hint="eastAsia" w:ascii="仿宋" w:hAnsi="仿宋" w:cs="仿宋"/>
          <w:szCs w:val="32"/>
          <w:lang w:val="en-US" w:eastAsia="zh-CN"/>
        </w:rPr>
        <w:t>3</w:t>
      </w:r>
      <w:r>
        <w:rPr>
          <w:rFonts w:hint="eastAsia" w:ascii="仿宋" w:hAnsi="仿宋" w:cs="仿宋"/>
          <w:szCs w:val="32"/>
        </w:rPr>
        <w:t>〕</w:t>
      </w:r>
      <w:r>
        <w:rPr>
          <w:rFonts w:hint="eastAsia" w:ascii="仿宋" w:hAnsi="仿宋" w:cs="仿宋"/>
          <w:szCs w:val="32"/>
          <w:lang w:val="en-US" w:eastAsia="zh-CN"/>
        </w:rPr>
        <w:t>1121</w:t>
      </w:r>
      <w:r>
        <w:rPr>
          <w:rFonts w:hint="eastAsia" w:ascii="仿宋" w:hAnsi="仿宋" w:cs="仿宋"/>
          <w:szCs w:val="32"/>
        </w:rPr>
        <w:t>号）同时废止。</w:t>
      </w:r>
    </w:p>
    <w:p>
      <w:pPr>
        <w:adjustRightInd w:val="0"/>
        <w:snapToGrid w:val="0"/>
        <w:spacing w:beforeLines="0" w:afterLines="0" w:line="560" w:lineRule="exact"/>
        <w:ind w:firstLine="632" w:firstLineChars="200"/>
        <w:rPr>
          <w:rFonts w:hint="eastAsia" w:ascii="仿宋" w:hAnsi="仿宋" w:cs="仿宋"/>
          <w:szCs w:val="32"/>
        </w:rPr>
      </w:pPr>
      <w:r>
        <w:rPr>
          <w:rFonts w:hint="eastAsia" w:ascii="仿宋" w:hAnsi="仿宋" w:cs="仿宋"/>
          <w:szCs w:val="32"/>
        </w:rPr>
        <w:t>附表：基金流动性服务商登记表</w:t>
      </w:r>
    </w:p>
    <w:p>
      <w:pPr>
        <w:adjustRightInd w:val="0"/>
        <w:snapToGrid w:val="0"/>
        <w:spacing w:line="560" w:lineRule="exact"/>
        <w:rPr>
          <w:rFonts w:eastAsia="黑体"/>
          <w:szCs w:val="32"/>
        </w:rPr>
      </w:pPr>
      <w:r>
        <w:rPr>
          <w:szCs w:val="32"/>
        </w:rPr>
        <w:br w:type="page"/>
      </w:r>
      <w:r>
        <w:rPr>
          <w:rFonts w:eastAsia="黑体"/>
          <w:szCs w:val="32"/>
        </w:rPr>
        <w:t>附表</w:t>
      </w:r>
    </w:p>
    <w:p>
      <w:pPr>
        <w:adjustRightInd w:val="0"/>
        <w:snapToGrid w:val="0"/>
        <w:spacing w:line="560" w:lineRule="exact"/>
        <w:rPr>
          <w:rFonts w:eastAsia="黑体"/>
          <w:szCs w:val="32"/>
        </w:rPr>
      </w:pPr>
    </w:p>
    <w:p>
      <w:pPr>
        <w:adjustRightInd w:val="0"/>
        <w:snapToGrid w:val="0"/>
        <w:spacing w:line="560" w:lineRule="exact"/>
        <w:jc w:val="center"/>
        <w:rPr>
          <w:rFonts w:eastAsia="方正小标宋简体"/>
          <w:sz w:val="44"/>
          <w:szCs w:val="40"/>
        </w:rPr>
      </w:pPr>
      <w:r>
        <w:rPr>
          <w:rFonts w:eastAsia="方正小标宋简体"/>
          <w:sz w:val="44"/>
          <w:szCs w:val="40"/>
        </w:rPr>
        <w:t>基金流动性服务商登记表</w:t>
      </w:r>
    </w:p>
    <w:p>
      <w:pPr>
        <w:spacing w:line="240" w:lineRule="exact"/>
        <w:jc w:val="center"/>
        <w:rPr>
          <w:rFonts w:eastAsia="方正小标宋简体"/>
          <w:sz w:val="44"/>
          <w:szCs w:val="40"/>
        </w:rPr>
      </w:pPr>
    </w:p>
    <w:tbl>
      <w:tblPr>
        <w:tblStyle w:val="13"/>
        <w:tblW w:w="98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1539"/>
        <w:gridCol w:w="848"/>
        <w:gridCol w:w="1555"/>
        <w:gridCol w:w="1838"/>
        <w:gridCol w:w="206"/>
        <w:gridCol w:w="20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1881" w:type="dxa"/>
            <w:vAlign w:val="center"/>
          </w:tcPr>
          <w:p>
            <w:pPr>
              <w:spacing w:line="240" w:lineRule="exact"/>
              <w:ind w:right="-477" w:rightChars="-151"/>
              <w:rPr>
                <w:rFonts w:hint="eastAsia" w:ascii="仿宋" w:hAnsi="仿宋" w:eastAsia="仿宋" w:cs="仿宋"/>
                <w:spacing w:val="4"/>
                <w:sz w:val="24"/>
              </w:rPr>
            </w:pPr>
            <w:r>
              <w:rPr>
                <w:rFonts w:hint="eastAsia" w:ascii="仿宋" w:hAnsi="仿宋" w:eastAsia="仿宋" w:cs="仿宋"/>
                <w:spacing w:val="4"/>
                <w:sz w:val="20"/>
              </w:rPr>
              <w:t>流动性服务商全称</w:t>
            </w:r>
          </w:p>
        </w:tc>
        <w:tc>
          <w:tcPr>
            <w:tcW w:w="8009" w:type="dxa"/>
            <w:gridSpan w:val="6"/>
            <w:vAlign w:val="center"/>
          </w:tcPr>
          <w:p>
            <w:pPr>
              <w:spacing w:line="240" w:lineRule="exact"/>
              <w:rPr>
                <w:rFonts w:hint="eastAsia" w:ascii="仿宋" w:hAnsi="仿宋" w:eastAsia="仿宋" w:cs="仿宋"/>
                <w:spacing w:val="4"/>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8" w:hRule="exact"/>
          <w:jc w:val="center"/>
        </w:trPr>
        <w:tc>
          <w:tcPr>
            <w:tcW w:w="1881" w:type="dxa"/>
            <w:vAlign w:val="center"/>
          </w:tcPr>
          <w:p>
            <w:pPr>
              <w:spacing w:line="240" w:lineRule="exact"/>
              <w:rPr>
                <w:rFonts w:hint="eastAsia" w:ascii="仿宋" w:hAnsi="仿宋" w:eastAsia="仿宋" w:cs="仿宋"/>
                <w:spacing w:val="4"/>
                <w:sz w:val="24"/>
              </w:rPr>
            </w:pPr>
            <w:r>
              <w:rPr>
                <w:rFonts w:hint="eastAsia" w:ascii="仿宋" w:hAnsi="仿宋" w:eastAsia="仿宋" w:cs="仿宋"/>
                <w:spacing w:val="4"/>
                <w:sz w:val="20"/>
              </w:rPr>
              <w:t>基金简称</w:t>
            </w:r>
          </w:p>
        </w:tc>
        <w:tc>
          <w:tcPr>
            <w:tcW w:w="8009" w:type="dxa"/>
            <w:gridSpan w:val="6"/>
            <w:vAlign w:val="center"/>
          </w:tcPr>
          <w:p>
            <w:pPr>
              <w:spacing w:line="240" w:lineRule="exact"/>
              <w:rPr>
                <w:rFonts w:hint="eastAsia" w:ascii="仿宋" w:hAnsi="仿宋" w:eastAsia="仿宋" w:cs="仿宋"/>
                <w:spacing w:val="4"/>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0" w:hRule="exact"/>
          <w:jc w:val="center"/>
        </w:trPr>
        <w:tc>
          <w:tcPr>
            <w:tcW w:w="1881" w:type="dxa"/>
            <w:vAlign w:val="center"/>
          </w:tcPr>
          <w:p>
            <w:pPr>
              <w:spacing w:line="240" w:lineRule="exact"/>
              <w:rPr>
                <w:rFonts w:hint="eastAsia" w:ascii="仿宋" w:hAnsi="仿宋" w:eastAsia="仿宋" w:cs="仿宋"/>
                <w:spacing w:val="4"/>
                <w:sz w:val="20"/>
              </w:rPr>
            </w:pPr>
            <w:r>
              <w:rPr>
                <w:rFonts w:hint="eastAsia" w:ascii="仿宋" w:hAnsi="仿宋" w:eastAsia="仿宋" w:cs="仿宋"/>
                <w:spacing w:val="4"/>
                <w:sz w:val="20"/>
              </w:rPr>
              <w:t>基金代码</w:t>
            </w:r>
          </w:p>
        </w:tc>
        <w:tc>
          <w:tcPr>
            <w:tcW w:w="8009" w:type="dxa"/>
            <w:gridSpan w:val="6"/>
            <w:vAlign w:val="center"/>
          </w:tcPr>
          <w:p>
            <w:pPr>
              <w:spacing w:line="240" w:lineRule="exact"/>
              <w:jc w:val="center"/>
              <w:rPr>
                <w:rFonts w:hint="eastAsia" w:ascii="仿宋" w:hAnsi="仿宋" w:eastAsia="仿宋" w:cs="仿宋"/>
                <w:spacing w:val="4"/>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4" w:hRule="exact"/>
          <w:jc w:val="center"/>
        </w:trPr>
        <w:tc>
          <w:tcPr>
            <w:tcW w:w="1881" w:type="dxa"/>
            <w:vAlign w:val="center"/>
          </w:tcPr>
          <w:p>
            <w:pPr>
              <w:spacing w:line="240" w:lineRule="exact"/>
              <w:rPr>
                <w:rFonts w:hint="eastAsia" w:ascii="仿宋" w:hAnsi="仿宋" w:eastAsia="仿宋" w:cs="仿宋"/>
                <w:spacing w:val="4"/>
                <w:sz w:val="20"/>
              </w:rPr>
            </w:pPr>
            <w:r>
              <w:rPr>
                <w:rFonts w:hint="eastAsia" w:ascii="仿宋" w:hAnsi="仿宋" w:eastAsia="仿宋" w:cs="仿宋"/>
                <w:spacing w:val="4"/>
                <w:sz w:val="20"/>
              </w:rPr>
              <w:t>交易单元编码</w:t>
            </w:r>
          </w:p>
        </w:tc>
        <w:tc>
          <w:tcPr>
            <w:tcW w:w="2387" w:type="dxa"/>
            <w:gridSpan w:val="2"/>
            <w:vAlign w:val="center"/>
          </w:tcPr>
          <w:p>
            <w:pPr>
              <w:spacing w:line="240" w:lineRule="exact"/>
              <w:rPr>
                <w:rFonts w:hint="eastAsia" w:ascii="仿宋" w:hAnsi="仿宋" w:eastAsia="仿宋" w:cs="仿宋"/>
                <w:spacing w:val="4"/>
                <w:sz w:val="20"/>
              </w:rPr>
            </w:pPr>
          </w:p>
        </w:tc>
        <w:tc>
          <w:tcPr>
            <w:tcW w:w="1555" w:type="dxa"/>
            <w:vAlign w:val="center"/>
          </w:tcPr>
          <w:p>
            <w:pPr>
              <w:spacing w:line="240" w:lineRule="exact"/>
              <w:rPr>
                <w:rFonts w:hint="eastAsia" w:ascii="仿宋" w:hAnsi="仿宋" w:eastAsia="仿宋" w:cs="仿宋"/>
                <w:spacing w:val="4"/>
                <w:sz w:val="20"/>
              </w:rPr>
            </w:pPr>
            <w:r>
              <w:rPr>
                <w:rFonts w:hint="eastAsia" w:ascii="仿宋" w:hAnsi="仿宋" w:eastAsia="仿宋" w:cs="仿宋"/>
                <w:spacing w:val="4"/>
                <w:sz w:val="20"/>
              </w:rPr>
              <w:t>交易单元名称</w:t>
            </w:r>
          </w:p>
        </w:tc>
        <w:tc>
          <w:tcPr>
            <w:tcW w:w="4067" w:type="dxa"/>
            <w:gridSpan w:val="3"/>
            <w:vAlign w:val="center"/>
          </w:tcPr>
          <w:p>
            <w:pPr>
              <w:spacing w:line="240" w:lineRule="exact"/>
              <w:jc w:val="center"/>
              <w:rPr>
                <w:rFonts w:hint="eastAsia" w:ascii="仿宋" w:hAnsi="仿宋" w:eastAsia="仿宋" w:cs="仿宋"/>
                <w:spacing w:val="4"/>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2" w:hRule="exact"/>
          <w:jc w:val="center"/>
        </w:trPr>
        <w:tc>
          <w:tcPr>
            <w:tcW w:w="1881" w:type="dxa"/>
            <w:vAlign w:val="center"/>
          </w:tcPr>
          <w:p>
            <w:pPr>
              <w:spacing w:line="240" w:lineRule="exact"/>
              <w:rPr>
                <w:rFonts w:hint="eastAsia" w:ascii="仿宋" w:hAnsi="仿宋" w:eastAsia="仿宋" w:cs="仿宋"/>
                <w:spacing w:val="4"/>
                <w:sz w:val="20"/>
              </w:rPr>
            </w:pPr>
            <w:r>
              <w:rPr>
                <w:rFonts w:hint="eastAsia" w:ascii="仿宋" w:hAnsi="仿宋" w:eastAsia="仿宋" w:cs="仿宋"/>
                <w:spacing w:val="4"/>
                <w:sz w:val="20"/>
              </w:rPr>
              <w:t>流动性服务账户</w:t>
            </w:r>
          </w:p>
        </w:tc>
        <w:tc>
          <w:tcPr>
            <w:tcW w:w="1539" w:type="dxa"/>
            <w:vAlign w:val="center"/>
          </w:tcPr>
          <w:p>
            <w:pPr>
              <w:spacing w:line="240" w:lineRule="exact"/>
              <w:jc w:val="center"/>
              <w:rPr>
                <w:rFonts w:hint="eastAsia" w:ascii="仿宋" w:hAnsi="仿宋" w:eastAsia="仿宋" w:cs="仿宋"/>
                <w:spacing w:val="4"/>
                <w:sz w:val="20"/>
              </w:rPr>
            </w:pPr>
            <w:r>
              <w:rPr>
                <w:rFonts w:hint="eastAsia" w:ascii="仿宋" w:hAnsi="仿宋" w:eastAsia="仿宋" w:cs="仿宋"/>
                <w:spacing w:val="4"/>
                <w:sz w:val="20"/>
              </w:rPr>
              <w:t>账户</w:t>
            </w:r>
          </w:p>
        </w:tc>
        <w:tc>
          <w:tcPr>
            <w:tcW w:w="2403" w:type="dxa"/>
            <w:gridSpan w:val="2"/>
            <w:vAlign w:val="center"/>
          </w:tcPr>
          <w:p>
            <w:pPr>
              <w:spacing w:line="240" w:lineRule="exact"/>
              <w:rPr>
                <w:rFonts w:hint="eastAsia" w:ascii="仿宋" w:hAnsi="仿宋" w:eastAsia="仿宋" w:cs="仿宋"/>
                <w:spacing w:val="4"/>
                <w:sz w:val="20"/>
              </w:rPr>
            </w:pPr>
          </w:p>
        </w:tc>
        <w:tc>
          <w:tcPr>
            <w:tcW w:w="1838" w:type="dxa"/>
            <w:vAlign w:val="center"/>
          </w:tcPr>
          <w:p>
            <w:pPr>
              <w:spacing w:line="240" w:lineRule="exact"/>
              <w:jc w:val="center"/>
              <w:rPr>
                <w:rFonts w:hint="eastAsia" w:ascii="仿宋" w:hAnsi="仿宋" w:eastAsia="仿宋" w:cs="仿宋"/>
                <w:spacing w:val="4"/>
                <w:sz w:val="20"/>
              </w:rPr>
            </w:pPr>
            <w:r>
              <w:rPr>
                <w:rFonts w:hint="eastAsia" w:ascii="仿宋" w:hAnsi="仿宋" w:eastAsia="仿宋" w:cs="仿宋"/>
                <w:spacing w:val="4"/>
                <w:sz w:val="20"/>
              </w:rPr>
              <w:t>使用部门（自营、经纪或者其他）</w:t>
            </w:r>
          </w:p>
        </w:tc>
        <w:tc>
          <w:tcPr>
            <w:tcW w:w="2229" w:type="dxa"/>
            <w:gridSpan w:val="2"/>
            <w:vAlign w:val="center"/>
          </w:tcPr>
          <w:p>
            <w:pPr>
              <w:spacing w:line="240" w:lineRule="exact"/>
              <w:jc w:val="center"/>
              <w:rPr>
                <w:rFonts w:hint="eastAsia" w:ascii="仿宋" w:hAnsi="仿宋" w:eastAsia="仿宋" w:cs="仿宋"/>
                <w:spacing w:val="4"/>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1881" w:type="dxa"/>
            <w:vAlign w:val="center"/>
          </w:tcPr>
          <w:p>
            <w:pPr>
              <w:spacing w:line="240" w:lineRule="exact"/>
              <w:rPr>
                <w:rFonts w:hint="eastAsia" w:ascii="仿宋" w:hAnsi="仿宋" w:eastAsia="仿宋" w:cs="仿宋"/>
                <w:spacing w:val="4"/>
                <w:sz w:val="20"/>
              </w:rPr>
            </w:pPr>
            <w:r>
              <w:rPr>
                <w:rFonts w:hint="eastAsia" w:ascii="仿宋" w:hAnsi="仿宋" w:eastAsia="仿宋" w:cs="仿宋"/>
                <w:spacing w:val="4"/>
                <w:sz w:val="20"/>
              </w:rPr>
              <w:t>业务负责人姓名</w:t>
            </w:r>
          </w:p>
        </w:tc>
        <w:tc>
          <w:tcPr>
            <w:tcW w:w="1539" w:type="dxa"/>
            <w:vAlign w:val="center"/>
          </w:tcPr>
          <w:p>
            <w:pPr>
              <w:spacing w:line="240" w:lineRule="exact"/>
              <w:jc w:val="center"/>
              <w:rPr>
                <w:rFonts w:hint="eastAsia" w:ascii="仿宋" w:hAnsi="仿宋" w:eastAsia="仿宋" w:cs="仿宋"/>
                <w:spacing w:val="4"/>
                <w:sz w:val="20"/>
              </w:rPr>
            </w:pPr>
          </w:p>
        </w:tc>
        <w:tc>
          <w:tcPr>
            <w:tcW w:w="2403" w:type="dxa"/>
            <w:gridSpan w:val="2"/>
            <w:vAlign w:val="center"/>
          </w:tcPr>
          <w:p>
            <w:pPr>
              <w:spacing w:line="240" w:lineRule="exact"/>
              <w:rPr>
                <w:rFonts w:hint="eastAsia" w:ascii="仿宋" w:hAnsi="仿宋" w:eastAsia="仿宋" w:cs="仿宋"/>
                <w:spacing w:val="4"/>
                <w:sz w:val="20"/>
              </w:rPr>
            </w:pPr>
            <w:r>
              <w:rPr>
                <w:rFonts w:hint="eastAsia" w:ascii="仿宋" w:hAnsi="仿宋" w:eastAsia="仿宋" w:cs="仿宋"/>
                <w:spacing w:val="4"/>
                <w:sz w:val="20"/>
              </w:rPr>
              <w:t>联系电话</w:t>
            </w:r>
          </w:p>
        </w:tc>
        <w:tc>
          <w:tcPr>
            <w:tcW w:w="4067" w:type="dxa"/>
            <w:gridSpan w:val="3"/>
            <w:vAlign w:val="center"/>
          </w:tcPr>
          <w:p>
            <w:pPr>
              <w:spacing w:line="240" w:lineRule="exact"/>
              <w:jc w:val="center"/>
              <w:rPr>
                <w:rFonts w:hint="eastAsia" w:ascii="仿宋" w:hAnsi="仿宋" w:eastAsia="仿宋" w:cs="仿宋"/>
                <w:spacing w:val="4"/>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1881" w:type="dxa"/>
            <w:vAlign w:val="center"/>
          </w:tcPr>
          <w:p>
            <w:pPr>
              <w:spacing w:line="240" w:lineRule="exact"/>
              <w:rPr>
                <w:rFonts w:hint="eastAsia" w:ascii="仿宋" w:hAnsi="仿宋" w:eastAsia="仿宋" w:cs="仿宋"/>
                <w:spacing w:val="4"/>
                <w:sz w:val="20"/>
              </w:rPr>
            </w:pPr>
            <w:r>
              <w:rPr>
                <w:rFonts w:hint="eastAsia" w:ascii="仿宋" w:hAnsi="仿宋" w:eastAsia="仿宋" w:cs="仿宋"/>
                <w:spacing w:val="4"/>
                <w:sz w:val="20"/>
              </w:rPr>
              <w:t>手机电话</w:t>
            </w:r>
          </w:p>
        </w:tc>
        <w:tc>
          <w:tcPr>
            <w:tcW w:w="1539" w:type="dxa"/>
            <w:vAlign w:val="center"/>
          </w:tcPr>
          <w:p>
            <w:pPr>
              <w:spacing w:line="240" w:lineRule="exact"/>
              <w:jc w:val="center"/>
              <w:rPr>
                <w:rFonts w:hint="eastAsia" w:ascii="仿宋" w:hAnsi="仿宋" w:eastAsia="仿宋" w:cs="仿宋"/>
                <w:spacing w:val="4"/>
                <w:sz w:val="20"/>
              </w:rPr>
            </w:pPr>
          </w:p>
        </w:tc>
        <w:tc>
          <w:tcPr>
            <w:tcW w:w="2403" w:type="dxa"/>
            <w:gridSpan w:val="2"/>
            <w:vAlign w:val="center"/>
          </w:tcPr>
          <w:p>
            <w:pPr>
              <w:spacing w:line="240" w:lineRule="exact"/>
              <w:rPr>
                <w:rFonts w:hint="eastAsia" w:ascii="仿宋" w:hAnsi="仿宋" w:eastAsia="仿宋" w:cs="仿宋"/>
                <w:spacing w:val="4"/>
                <w:sz w:val="20"/>
              </w:rPr>
            </w:pPr>
            <w:r>
              <w:rPr>
                <w:rFonts w:hint="eastAsia" w:ascii="仿宋" w:hAnsi="仿宋" w:eastAsia="仿宋" w:cs="仿宋"/>
                <w:spacing w:val="4"/>
                <w:sz w:val="20"/>
              </w:rPr>
              <w:t>邮箱</w:t>
            </w:r>
          </w:p>
        </w:tc>
        <w:tc>
          <w:tcPr>
            <w:tcW w:w="4067" w:type="dxa"/>
            <w:gridSpan w:val="3"/>
            <w:vAlign w:val="center"/>
          </w:tcPr>
          <w:p>
            <w:pPr>
              <w:spacing w:line="240" w:lineRule="exact"/>
              <w:jc w:val="center"/>
              <w:rPr>
                <w:rFonts w:hint="eastAsia" w:ascii="仿宋" w:hAnsi="仿宋" w:eastAsia="仿宋" w:cs="仿宋"/>
                <w:spacing w:val="4"/>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1881" w:type="dxa"/>
            <w:vAlign w:val="center"/>
          </w:tcPr>
          <w:p>
            <w:pPr>
              <w:spacing w:line="240" w:lineRule="exact"/>
              <w:rPr>
                <w:rFonts w:hint="eastAsia" w:ascii="仿宋" w:hAnsi="仿宋" w:eastAsia="仿宋" w:cs="仿宋"/>
                <w:spacing w:val="4"/>
                <w:sz w:val="20"/>
              </w:rPr>
            </w:pPr>
            <w:r>
              <w:rPr>
                <w:rFonts w:hint="eastAsia" w:ascii="仿宋" w:hAnsi="仿宋" w:eastAsia="仿宋" w:cs="仿宋"/>
                <w:spacing w:val="4"/>
                <w:sz w:val="20"/>
              </w:rPr>
              <w:t>交易员（1）姓名</w:t>
            </w:r>
          </w:p>
        </w:tc>
        <w:tc>
          <w:tcPr>
            <w:tcW w:w="1539" w:type="dxa"/>
            <w:vAlign w:val="center"/>
          </w:tcPr>
          <w:p>
            <w:pPr>
              <w:spacing w:line="240" w:lineRule="exact"/>
              <w:jc w:val="center"/>
              <w:rPr>
                <w:rFonts w:hint="eastAsia" w:ascii="仿宋" w:hAnsi="仿宋" w:eastAsia="仿宋" w:cs="仿宋"/>
                <w:spacing w:val="4"/>
                <w:sz w:val="20"/>
              </w:rPr>
            </w:pPr>
          </w:p>
        </w:tc>
        <w:tc>
          <w:tcPr>
            <w:tcW w:w="2403" w:type="dxa"/>
            <w:gridSpan w:val="2"/>
            <w:vAlign w:val="center"/>
          </w:tcPr>
          <w:p>
            <w:pPr>
              <w:spacing w:line="240" w:lineRule="exact"/>
              <w:rPr>
                <w:rFonts w:hint="eastAsia" w:ascii="仿宋" w:hAnsi="仿宋" w:eastAsia="仿宋" w:cs="仿宋"/>
                <w:spacing w:val="4"/>
                <w:sz w:val="20"/>
              </w:rPr>
            </w:pPr>
            <w:r>
              <w:rPr>
                <w:rFonts w:hint="eastAsia" w:ascii="仿宋" w:hAnsi="仿宋" w:eastAsia="仿宋" w:cs="仿宋"/>
                <w:spacing w:val="4"/>
                <w:sz w:val="20"/>
              </w:rPr>
              <w:t>联系电话</w:t>
            </w:r>
          </w:p>
        </w:tc>
        <w:tc>
          <w:tcPr>
            <w:tcW w:w="4067" w:type="dxa"/>
            <w:gridSpan w:val="3"/>
            <w:vAlign w:val="center"/>
          </w:tcPr>
          <w:p>
            <w:pPr>
              <w:spacing w:line="240" w:lineRule="exact"/>
              <w:jc w:val="center"/>
              <w:rPr>
                <w:rFonts w:hint="eastAsia" w:ascii="仿宋" w:hAnsi="仿宋" w:eastAsia="仿宋" w:cs="仿宋"/>
                <w:spacing w:val="4"/>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1881" w:type="dxa"/>
            <w:vAlign w:val="center"/>
          </w:tcPr>
          <w:p>
            <w:pPr>
              <w:spacing w:line="240" w:lineRule="exact"/>
              <w:rPr>
                <w:rFonts w:hint="eastAsia" w:ascii="仿宋" w:hAnsi="仿宋" w:eastAsia="仿宋" w:cs="仿宋"/>
                <w:spacing w:val="4"/>
                <w:sz w:val="20"/>
              </w:rPr>
            </w:pPr>
            <w:r>
              <w:rPr>
                <w:rFonts w:hint="eastAsia" w:ascii="仿宋" w:hAnsi="仿宋" w:eastAsia="仿宋" w:cs="仿宋"/>
                <w:spacing w:val="4"/>
                <w:sz w:val="20"/>
              </w:rPr>
              <w:t>手机电话</w:t>
            </w:r>
          </w:p>
        </w:tc>
        <w:tc>
          <w:tcPr>
            <w:tcW w:w="1539" w:type="dxa"/>
            <w:vAlign w:val="center"/>
          </w:tcPr>
          <w:p>
            <w:pPr>
              <w:spacing w:line="240" w:lineRule="exact"/>
              <w:jc w:val="center"/>
              <w:rPr>
                <w:rFonts w:hint="eastAsia" w:ascii="仿宋" w:hAnsi="仿宋" w:eastAsia="仿宋" w:cs="仿宋"/>
                <w:spacing w:val="4"/>
                <w:sz w:val="20"/>
              </w:rPr>
            </w:pPr>
          </w:p>
        </w:tc>
        <w:tc>
          <w:tcPr>
            <w:tcW w:w="2403" w:type="dxa"/>
            <w:gridSpan w:val="2"/>
            <w:vAlign w:val="center"/>
          </w:tcPr>
          <w:p>
            <w:pPr>
              <w:spacing w:line="240" w:lineRule="exact"/>
              <w:rPr>
                <w:rFonts w:hint="eastAsia" w:ascii="仿宋" w:hAnsi="仿宋" w:eastAsia="仿宋" w:cs="仿宋"/>
                <w:spacing w:val="4"/>
                <w:sz w:val="20"/>
              </w:rPr>
            </w:pPr>
            <w:r>
              <w:rPr>
                <w:rFonts w:hint="eastAsia" w:ascii="仿宋" w:hAnsi="仿宋" w:eastAsia="仿宋" w:cs="仿宋"/>
                <w:spacing w:val="4"/>
                <w:sz w:val="20"/>
              </w:rPr>
              <w:t>邮箱</w:t>
            </w:r>
          </w:p>
        </w:tc>
        <w:tc>
          <w:tcPr>
            <w:tcW w:w="4067" w:type="dxa"/>
            <w:gridSpan w:val="3"/>
            <w:vAlign w:val="center"/>
          </w:tcPr>
          <w:p>
            <w:pPr>
              <w:spacing w:line="240" w:lineRule="exact"/>
              <w:jc w:val="center"/>
              <w:rPr>
                <w:rFonts w:hint="eastAsia" w:ascii="仿宋" w:hAnsi="仿宋" w:eastAsia="仿宋" w:cs="仿宋"/>
                <w:spacing w:val="4"/>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1881" w:type="dxa"/>
            <w:vAlign w:val="center"/>
          </w:tcPr>
          <w:p>
            <w:pPr>
              <w:spacing w:line="240" w:lineRule="exact"/>
              <w:rPr>
                <w:rFonts w:hint="eastAsia" w:ascii="仿宋" w:hAnsi="仿宋" w:eastAsia="仿宋" w:cs="仿宋"/>
                <w:spacing w:val="4"/>
                <w:sz w:val="20"/>
              </w:rPr>
            </w:pPr>
            <w:r>
              <w:rPr>
                <w:rFonts w:hint="eastAsia" w:ascii="仿宋" w:hAnsi="仿宋" w:eastAsia="仿宋" w:cs="仿宋"/>
                <w:spacing w:val="4"/>
                <w:sz w:val="20"/>
              </w:rPr>
              <w:t>交易员（2）姓名</w:t>
            </w:r>
          </w:p>
        </w:tc>
        <w:tc>
          <w:tcPr>
            <w:tcW w:w="1539" w:type="dxa"/>
            <w:vAlign w:val="center"/>
          </w:tcPr>
          <w:p>
            <w:pPr>
              <w:spacing w:line="240" w:lineRule="exact"/>
              <w:jc w:val="center"/>
              <w:rPr>
                <w:rFonts w:hint="eastAsia" w:ascii="仿宋" w:hAnsi="仿宋" w:eastAsia="仿宋" w:cs="仿宋"/>
                <w:spacing w:val="4"/>
                <w:sz w:val="20"/>
              </w:rPr>
            </w:pPr>
          </w:p>
        </w:tc>
        <w:tc>
          <w:tcPr>
            <w:tcW w:w="2403" w:type="dxa"/>
            <w:gridSpan w:val="2"/>
            <w:vAlign w:val="center"/>
          </w:tcPr>
          <w:p>
            <w:pPr>
              <w:spacing w:line="240" w:lineRule="exact"/>
              <w:rPr>
                <w:rFonts w:hint="eastAsia" w:ascii="仿宋" w:hAnsi="仿宋" w:eastAsia="仿宋" w:cs="仿宋"/>
                <w:spacing w:val="4"/>
                <w:sz w:val="20"/>
              </w:rPr>
            </w:pPr>
            <w:r>
              <w:rPr>
                <w:rFonts w:hint="eastAsia" w:ascii="仿宋" w:hAnsi="仿宋" w:eastAsia="仿宋" w:cs="仿宋"/>
                <w:spacing w:val="4"/>
                <w:sz w:val="20"/>
              </w:rPr>
              <w:t>联系电话</w:t>
            </w:r>
          </w:p>
        </w:tc>
        <w:tc>
          <w:tcPr>
            <w:tcW w:w="4067" w:type="dxa"/>
            <w:gridSpan w:val="3"/>
            <w:vAlign w:val="center"/>
          </w:tcPr>
          <w:p>
            <w:pPr>
              <w:spacing w:line="240" w:lineRule="exact"/>
              <w:jc w:val="center"/>
              <w:rPr>
                <w:rFonts w:hint="eastAsia" w:ascii="仿宋" w:hAnsi="仿宋" w:eastAsia="仿宋" w:cs="仿宋"/>
                <w:spacing w:val="4"/>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9" w:hRule="exact"/>
          <w:jc w:val="center"/>
        </w:trPr>
        <w:tc>
          <w:tcPr>
            <w:tcW w:w="1881" w:type="dxa"/>
            <w:vAlign w:val="center"/>
          </w:tcPr>
          <w:p>
            <w:pPr>
              <w:spacing w:line="240" w:lineRule="exact"/>
              <w:rPr>
                <w:rFonts w:hint="eastAsia" w:ascii="仿宋" w:hAnsi="仿宋" w:eastAsia="仿宋" w:cs="仿宋"/>
                <w:spacing w:val="4"/>
                <w:sz w:val="20"/>
              </w:rPr>
            </w:pPr>
            <w:r>
              <w:rPr>
                <w:rFonts w:hint="eastAsia" w:ascii="仿宋" w:hAnsi="仿宋" w:eastAsia="仿宋" w:cs="仿宋"/>
                <w:spacing w:val="4"/>
                <w:sz w:val="20"/>
              </w:rPr>
              <w:t>手机电话</w:t>
            </w:r>
          </w:p>
        </w:tc>
        <w:tc>
          <w:tcPr>
            <w:tcW w:w="1539" w:type="dxa"/>
            <w:vAlign w:val="center"/>
          </w:tcPr>
          <w:p>
            <w:pPr>
              <w:spacing w:line="240" w:lineRule="exact"/>
              <w:jc w:val="center"/>
              <w:rPr>
                <w:rFonts w:hint="eastAsia" w:ascii="仿宋" w:hAnsi="仿宋" w:eastAsia="仿宋" w:cs="仿宋"/>
                <w:spacing w:val="4"/>
                <w:sz w:val="20"/>
              </w:rPr>
            </w:pPr>
          </w:p>
        </w:tc>
        <w:tc>
          <w:tcPr>
            <w:tcW w:w="2403" w:type="dxa"/>
            <w:gridSpan w:val="2"/>
            <w:vAlign w:val="center"/>
          </w:tcPr>
          <w:p>
            <w:pPr>
              <w:spacing w:line="240" w:lineRule="exact"/>
              <w:rPr>
                <w:rFonts w:hint="eastAsia" w:ascii="仿宋" w:hAnsi="仿宋" w:eastAsia="仿宋" w:cs="仿宋"/>
                <w:spacing w:val="4"/>
                <w:sz w:val="20"/>
              </w:rPr>
            </w:pPr>
            <w:r>
              <w:rPr>
                <w:rFonts w:hint="eastAsia" w:ascii="仿宋" w:hAnsi="仿宋" w:eastAsia="仿宋" w:cs="仿宋"/>
                <w:spacing w:val="4"/>
                <w:sz w:val="20"/>
              </w:rPr>
              <w:t>邮箱</w:t>
            </w:r>
          </w:p>
        </w:tc>
        <w:tc>
          <w:tcPr>
            <w:tcW w:w="4067" w:type="dxa"/>
            <w:gridSpan w:val="3"/>
            <w:vAlign w:val="center"/>
          </w:tcPr>
          <w:p>
            <w:pPr>
              <w:spacing w:line="240" w:lineRule="exact"/>
              <w:jc w:val="center"/>
              <w:rPr>
                <w:rFonts w:hint="eastAsia" w:ascii="仿宋" w:hAnsi="仿宋" w:eastAsia="仿宋" w:cs="仿宋"/>
                <w:spacing w:val="4"/>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7867" w:type="dxa"/>
            <w:gridSpan w:val="6"/>
            <w:vAlign w:val="center"/>
          </w:tcPr>
          <w:p>
            <w:pPr>
              <w:spacing w:line="240" w:lineRule="exact"/>
              <w:jc w:val="left"/>
              <w:rPr>
                <w:rFonts w:hint="eastAsia" w:ascii="仿宋" w:hAnsi="仿宋" w:eastAsia="仿宋" w:cs="仿宋"/>
                <w:spacing w:val="4"/>
                <w:sz w:val="20"/>
              </w:rPr>
            </w:pPr>
            <w:r>
              <w:rPr>
                <w:rFonts w:hint="eastAsia" w:ascii="仿宋" w:hAnsi="仿宋" w:eastAsia="仿宋" w:cs="仿宋"/>
                <w:spacing w:val="4"/>
                <w:sz w:val="20"/>
              </w:rPr>
              <w:t>是否具有相关基金申购赎回业务权限</w:t>
            </w:r>
          </w:p>
        </w:tc>
        <w:tc>
          <w:tcPr>
            <w:tcW w:w="2023" w:type="dxa"/>
            <w:vAlign w:val="center"/>
          </w:tcPr>
          <w:p>
            <w:pPr>
              <w:spacing w:line="240" w:lineRule="exact"/>
              <w:jc w:val="center"/>
              <w:rPr>
                <w:rFonts w:hint="eastAsia" w:ascii="仿宋" w:hAnsi="仿宋" w:eastAsia="仿宋" w:cs="仿宋"/>
                <w:spacing w:val="4"/>
                <w:sz w:val="20"/>
              </w:rPr>
            </w:pPr>
            <w:r>
              <w:rPr>
                <w:rFonts w:hint="eastAsia" w:ascii="仿宋" w:hAnsi="仿宋" w:eastAsia="仿宋" w:cs="仿宋"/>
                <w:spacing w:val="4"/>
                <w:sz w:val="20"/>
              </w:rPr>
              <w:t>是（ ）否（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7867" w:type="dxa"/>
            <w:gridSpan w:val="6"/>
            <w:vAlign w:val="center"/>
          </w:tcPr>
          <w:p>
            <w:pPr>
              <w:spacing w:line="240" w:lineRule="exact"/>
              <w:jc w:val="left"/>
              <w:rPr>
                <w:rFonts w:hint="eastAsia" w:ascii="仿宋" w:hAnsi="仿宋" w:eastAsia="仿宋" w:cs="仿宋"/>
                <w:spacing w:val="4"/>
                <w:sz w:val="20"/>
              </w:rPr>
            </w:pPr>
            <w:r>
              <w:rPr>
                <w:rFonts w:hint="eastAsia" w:ascii="仿宋" w:hAnsi="仿宋" w:eastAsia="仿宋" w:cs="仿宋"/>
                <w:spacing w:val="4"/>
                <w:sz w:val="20"/>
              </w:rPr>
              <w:t>是否已制定完备的流动性服务实施方案、内部控制制度、风险防范机制和业务隔离制度</w:t>
            </w:r>
          </w:p>
        </w:tc>
        <w:tc>
          <w:tcPr>
            <w:tcW w:w="2023" w:type="dxa"/>
            <w:vAlign w:val="center"/>
          </w:tcPr>
          <w:p>
            <w:pPr>
              <w:spacing w:line="240" w:lineRule="exact"/>
              <w:jc w:val="center"/>
              <w:rPr>
                <w:rFonts w:hint="eastAsia" w:ascii="仿宋" w:hAnsi="仿宋" w:eastAsia="仿宋" w:cs="仿宋"/>
                <w:spacing w:val="4"/>
                <w:sz w:val="20"/>
              </w:rPr>
            </w:pPr>
            <w:r>
              <w:rPr>
                <w:rFonts w:hint="eastAsia" w:ascii="仿宋" w:hAnsi="仿宋" w:eastAsia="仿宋" w:cs="仿宋"/>
                <w:spacing w:val="4"/>
                <w:sz w:val="20"/>
              </w:rPr>
              <w:t>是（ ）否（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7867" w:type="dxa"/>
            <w:gridSpan w:val="6"/>
            <w:vAlign w:val="center"/>
          </w:tcPr>
          <w:p>
            <w:pPr>
              <w:spacing w:line="240" w:lineRule="exact"/>
              <w:jc w:val="left"/>
              <w:rPr>
                <w:rFonts w:hint="eastAsia" w:ascii="仿宋" w:hAnsi="仿宋" w:eastAsia="仿宋" w:cs="仿宋"/>
                <w:spacing w:val="4"/>
                <w:sz w:val="20"/>
              </w:rPr>
            </w:pPr>
            <w:r>
              <w:rPr>
                <w:rFonts w:hint="eastAsia" w:ascii="仿宋" w:hAnsi="仿宋" w:eastAsia="仿宋" w:cs="仿宋"/>
                <w:spacing w:val="4"/>
                <w:sz w:val="20"/>
              </w:rPr>
              <w:t>是否具备开展流动性服务所需的专业人员、技术系统和资金准备</w:t>
            </w:r>
          </w:p>
        </w:tc>
        <w:tc>
          <w:tcPr>
            <w:tcW w:w="2023" w:type="dxa"/>
            <w:vAlign w:val="center"/>
          </w:tcPr>
          <w:p>
            <w:pPr>
              <w:spacing w:line="240" w:lineRule="exact"/>
              <w:jc w:val="center"/>
              <w:rPr>
                <w:rFonts w:hint="eastAsia" w:ascii="仿宋" w:hAnsi="仿宋" w:eastAsia="仿宋" w:cs="仿宋"/>
                <w:spacing w:val="4"/>
                <w:sz w:val="20"/>
              </w:rPr>
            </w:pPr>
            <w:r>
              <w:rPr>
                <w:rFonts w:hint="eastAsia" w:ascii="仿宋" w:hAnsi="仿宋" w:eastAsia="仿宋" w:cs="仿宋"/>
                <w:spacing w:val="4"/>
                <w:sz w:val="20"/>
              </w:rPr>
              <w:t>是（ ）否（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47" w:hRule="atLeast"/>
          <w:jc w:val="center"/>
        </w:trPr>
        <w:tc>
          <w:tcPr>
            <w:tcW w:w="9890" w:type="dxa"/>
            <w:gridSpan w:val="7"/>
            <w:vAlign w:val="center"/>
          </w:tcPr>
          <w:p>
            <w:pPr>
              <w:spacing w:line="280" w:lineRule="exact"/>
              <w:rPr>
                <w:rFonts w:hint="eastAsia" w:ascii="仿宋" w:hAnsi="仿宋" w:eastAsia="仿宋" w:cs="仿宋"/>
                <w:spacing w:val="4"/>
                <w:sz w:val="20"/>
              </w:rPr>
            </w:pPr>
            <w:r>
              <w:rPr>
                <w:rFonts w:hint="eastAsia" w:ascii="仿宋" w:hAnsi="仿宋" w:eastAsia="仿宋" w:cs="仿宋"/>
                <w:spacing w:val="4"/>
                <w:sz w:val="20"/>
              </w:rPr>
              <w:t>流动性服务商承诺：</w:t>
            </w:r>
          </w:p>
          <w:p>
            <w:pPr>
              <w:numPr>
                <w:ilvl w:val="0"/>
                <w:numId w:val="1"/>
              </w:numPr>
              <w:spacing w:line="280" w:lineRule="exact"/>
              <w:ind w:left="0"/>
              <w:rPr>
                <w:rFonts w:hint="eastAsia" w:ascii="仿宋" w:hAnsi="仿宋" w:eastAsia="仿宋" w:cs="仿宋"/>
                <w:spacing w:val="4"/>
                <w:sz w:val="20"/>
              </w:rPr>
            </w:pPr>
            <w:r>
              <w:rPr>
                <w:rFonts w:hint="eastAsia" w:ascii="仿宋" w:hAnsi="仿宋" w:eastAsia="仿宋" w:cs="仿宋"/>
                <w:spacing w:val="4"/>
                <w:sz w:val="20"/>
              </w:rPr>
              <w:t>保证本表中所填内容真实、准确、完整，不存在任何虚假记载、误导性陈述或者重大遗漏。</w:t>
            </w:r>
          </w:p>
          <w:p>
            <w:pPr>
              <w:numPr>
                <w:ilvl w:val="0"/>
                <w:numId w:val="1"/>
              </w:numPr>
              <w:spacing w:line="280" w:lineRule="exact"/>
              <w:ind w:left="0"/>
              <w:rPr>
                <w:rFonts w:hint="eastAsia" w:ascii="仿宋" w:hAnsi="仿宋" w:eastAsia="仿宋" w:cs="仿宋"/>
                <w:spacing w:val="4"/>
                <w:sz w:val="20"/>
              </w:rPr>
            </w:pPr>
            <w:r>
              <w:rPr>
                <w:rFonts w:hint="eastAsia" w:ascii="仿宋" w:hAnsi="仿宋" w:eastAsia="仿宋" w:cs="仿宋"/>
                <w:spacing w:val="4"/>
                <w:sz w:val="20"/>
              </w:rPr>
              <w:t>保证遵守国家有关法律、行政法规、部门规章、规范性文件及深圳证券交易所业务规则等相关规定，并接受深圳证券交易所的自律监管。</w:t>
            </w:r>
          </w:p>
          <w:p>
            <w:pPr>
              <w:numPr>
                <w:ilvl w:val="0"/>
                <w:numId w:val="1"/>
              </w:numPr>
              <w:spacing w:line="280" w:lineRule="exact"/>
              <w:ind w:left="0"/>
              <w:rPr>
                <w:rFonts w:hint="eastAsia" w:ascii="仿宋" w:hAnsi="仿宋" w:eastAsia="仿宋" w:cs="仿宋"/>
                <w:spacing w:val="4"/>
                <w:sz w:val="20"/>
              </w:rPr>
            </w:pPr>
            <w:r>
              <w:rPr>
                <w:rFonts w:hint="eastAsia" w:ascii="仿宋" w:hAnsi="仿宋" w:eastAsia="仿宋" w:cs="仿宋"/>
                <w:spacing w:val="4"/>
                <w:sz w:val="20"/>
              </w:rPr>
              <w:t>将按照《深圳证券交易所证券投资基金业务指引第2号——流动性服务》等相关规定，提供流动性服务。</w:t>
            </w:r>
          </w:p>
          <w:p>
            <w:pPr>
              <w:numPr>
                <w:ilvl w:val="0"/>
                <w:numId w:val="1"/>
              </w:numPr>
              <w:spacing w:line="280" w:lineRule="exact"/>
              <w:ind w:left="0"/>
              <w:rPr>
                <w:rFonts w:hint="eastAsia" w:ascii="仿宋" w:hAnsi="仿宋" w:eastAsia="仿宋" w:cs="仿宋"/>
                <w:spacing w:val="4"/>
                <w:sz w:val="20"/>
              </w:rPr>
            </w:pPr>
            <w:r>
              <w:rPr>
                <w:rFonts w:hint="eastAsia" w:ascii="仿宋" w:hAnsi="仿宋" w:eastAsia="仿宋" w:cs="仿宋"/>
                <w:spacing w:val="4"/>
                <w:sz w:val="20"/>
              </w:rPr>
              <w:t>如违反上述承诺，愿意承担由此引起的一切法律责任。</w:t>
            </w:r>
          </w:p>
          <w:p>
            <w:pPr>
              <w:spacing w:line="280" w:lineRule="exact"/>
              <w:rPr>
                <w:rFonts w:hint="eastAsia" w:ascii="仿宋" w:hAnsi="仿宋" w:eastAsia="仿宋" w:cs="仿宋"/>
                <w:spacing w:val="4"/>
                <w:sz w:val="20"/>
              </w:rPr>
            </w:pPr>
            <w:r>
              <w:rPr>
                <w:rFonts w:hint="eastAsia" w:ascii="仿宋" w:hAnsi="仿宋" w:eastAsia="仿宋" w:cs="仿宋"/>
                <w:spacing w:val="4"/>
                <w:sz w:val="20"/>
              </w:rPr>
              <w:t xml:space="preserve">流动性服务商（盖章）：     </w:t>
            </w:r>
          </w:p>
          <w:p>
            <w:pPr>
              <w:spacing w:line="280" w:lineRule="exact"/>
              <w:rPr>
                <w:rFonts w:hint="eastAsia" w:ascii="仿宋" w:hAnsi="仿宋" w:eastAsia="仿宋" w:cs="仿宋"/>
                <w:spacing w:val="4"/>
                <w:sz w:val="20"/>
              </w:rPr>
            </w:pPr>
            <w:r>
              <w:rPr>
                <w:rFonts w:hint="eastAsia" w:ascii="仿宋" w:hAnsi="仿宋" w:eastAsia="仿宋" w:cs="仿宋"/>
                <w:spacing w:val="4"/>
                <w:sz w:val="20"/>
              </w:rPr>
              <w:t xml:space="preserve">                                  年   月   日</w:t>
            </w:r>
          </w:p>
        </w:tc>
      </w:tr>
    </w:tbl>
    <w:p>
      <w:pPr>
        <w:adjustRightInd w:val="0"/>
        <w:snapToGrid w:val="0"/>
        <w:spacing w:line="20" w:lineRule="exact"/>
        <w:ind w:left="828" w:leftChars="0" w:hanging="828" w:hangingChars="300"/>
        <w:rPr>
          <w:rFonts w:ascii="仿宋" w:hAnsi="仿宋"/>
          <w:sz w:val="28"/>
          <w:szCs w:val="28"/>
        </w:rPr>
      </w:pPr>
    </w:p>
    <w:sectPr>
      <w:footerReference r:id="rId3" w:type="default"/>
      <w:footerReference r:id="rId4" w:type="even"/>
      <w:pgSz w:w="11906" w:h="16838"/>
      <w:pgMar w:top="2098" w:right="1474" w:bottom="1984" w:left="1587" w:header="0" w:footer="1134" w:gutter="0"/>
      <w:pgNumType w:fmt="decimal"/>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B75BC"/>
    <w:multiLevelType w:val="multilevel"/>
    <w:tmpl w:val="5C9B75B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F5D"/>
    <w:rsid w:val="00004E09"/>
    <w:rsid w:val="000138F8"/>
    <w:rsid w:val="000159F9"/>
    <w:rsid w:val="00021FDA"/>
    <w:rsid w:val="00023D8B"/>
    <w:rsid w:val="00047184"/>
    <w:rsid w:val="000511FE"/>
    <w:rsid w:val="00062461"/>
    <w:rsid w:val="000656EF"/>
    <w:rsid w:val="00066278"/>
    <w:rsid w:val="00066DD2"/>
    <w:rsid w:val="00070DEB"/>
    <w:rsid w:val="00071516"/>
    <w:rsid w:val="00073D9B"/>
    <w:rsid w:val="00074DFC"/>
    <w:rsid w:val="000850DE"/>
    <w:rsid w:val="000916C1"/>
    <w:rsid w:val="000A60C5"/>
    <w:rsid w:val="000C2D99"/>
    <w:rsid w:val="000C7B3C"/>
    <w:rsid w:val="000E0D8D"/>
    <w:rsid w:val="000E2E8C"/>
    <w:rsid w:val="000E38F7"/>
    <w:rsid w:val="000E49D8"/>
    <w:rsid w:val="000F20F7"/>
    <w:rsid w:val="0012488A"/>
    <w:rsid w:val="00126C6B"/>
    <w:rsid w:val="00131C88"/>
    <w:rsid w:val="0013360F"/>
    <w:rsid w:val="001368E8"/>
    <w:rsid w:val="001468C0"/>
    <w:rsid w:val="00156B5B"/>
    <w:rsid w:val="00165F3A"/>
    <w:rsid w:val="00172EE2"/>
    <w:rsid w:val="00173F2A"/>
    <w:rsid w:val="0017418D"/>
    <w:rsid w:val="0017486B"/>
    <w:rsid w:val="0018785A"/>
    <w:rsid w:val="00195521"/>
    <w:rsid w:val="001A0F5B"/>
    <w:rsid w:val="001B02BC"/>
    <w:rsid w:val="001B5CF9"/>
    <w:rsid w:val="001B7497"/>
    <w:rsid w:val="001B7BAC"/>
    <w:rsid w:val="001C0168"/>
    <w:rsid w:val="001C55B2"/>
    <w:rsid w:val="001C787F"/>
    <w:rsid w:val="001D4BDF"/>
    <w:rsid w:val="001E422B"/>
    <w:rsid w:val="001E4DD6"/>
    <w:rsid w:val="001F4A8A"/>
    <w:rsid w:val="0020009E"/>
    <w:rsid w:val="0020018A"/>
    <w:rsid w:val="0020090E"/>
    <w:rsid w:val="00200EF6"/>
    <w:rsid w:val="0020392E"/>
    <w:rsid w:val="0020746F"/>
    <w:rsid w:val="00215FBF"/>
    <w:rsid w:val="00216935"/>
    <w:rsid w:val="00222F53"/>
    <w:rsid w:val="002271CE"/>
    <w:rsid w:val="00232C63"/>
    <w:rsid w:val="00235797"/>
    <w:rsid w:val="00237E01"/>
    <w:rsid w:val="00241E21"/>
    <w:rsid w:val="00244EDC"/>
    <w:rsid w:val="0025174C"/>
    <w:rsid w:val="00261BEB"/>
    <w:rsid w:val="00264462"/>
    <w:rsid w:val="00267B07"/>
    <w:rsid w:val="002737F4"/>
    <w:rsid w:val="00277924"/>
    <w:rsid w:val="00282CC5"/>
    <w:rsid w:val="002920C9"/>
    <w:rsid w:val="002961BD"/>
    <w:rsid w:val="002A2A48"/>
    <w:rsid w:val="002A492F"/>
    <w:rsid w:val="002B0086"/>
    <w:rsid w:val="002B08D3"/>
    <w:rsid w:val="002B3A9B"/>
    <w:rsid w:val="002E3B9C"/>
    <w:rsid w:val="002F0031"/>
    <w:rsid w:val="002F4BBF"/>
    <w:rsid w:val="002F7C10"/>
    <w:rsid w:val="00301221"/>
    <w:rsid w:val="003114D2"/>
    <w:rsid w:val="003147F8"/>
    <w:rsid w:val="003156F5"/>
    <w:rsid w:val="00332398"/>
    <w:rsid w:val="003354D8"/>
    <w:rsid w:val="00341DA8"/>
    <w:rsid w:val="00343A53"/>
    <w:rsid w:val="00346EBE"/>
    <w:rsid w:val="00357A1E"/>
    <w:rsid w:val="003611F5"/>
    <w:rsid w:val="0037197B"/>
    <w:rsid w:val="00372476"/>
    <w:rsid w:val="003747D6"/>
    <w:rsid w:val="00380355"/>
    <w:rsid w:val="00384DA5"/>
    <w:rsid w:val="00386773"/>
    <w:rsid w:val="003877F4"/>
    <w:rsid w:val="00391B2B"/>
    <w:rsid w:val="00394FA7"/>
    <w:rsid w:val="003972E1"/>
    <w:rsid w:val="003A449C"/>
    <w:rsid w:val="003A6613"/>
    <w:rsid w:val="003A7C01"/>
    <w:rsid w:val="003D0183"/>
    <w:rsid w:val="003E1701"/>
    <w:rsid w:val="003E45E8"/>
    <w:rsid w:val="003F70FD"/>
    <w:rsid w:val="00424BE6"/>
    <w:rsid w:val="00432C10"/>
    <w:rsid w:val="004341B7"/>
    <w:rsid w:val="00435AE0"/>
    <w:rsid w:val="00445F6F"/>
    <w:rsid w:val="0045298E"/>
    <w:rsid w:val="00454311"/>
    <w:rsid w:val="00454FDA"/>
    <w:rsid w:val="004640A3"/>
    <w:rsid w:val="00470BD0"/>
    <w:rsid w:val="00470E7A"/>
    <w:rsid w:val="004900E8"/>
    <w:rsid w:val="0049213C"/>
    <w:rsid w:val="004935E9"/>
    <w:rsid w:val="00497876"/>
    <w:rsid w:val="004A1D76"/>
    <w:rsid w:val="004B5100"/>
    <w:rsid w:val="004F093D"/>
    <w:rsid w:val="004F0D95"/>
    <w:rsid w:val="005015C7"/>
    <w:rsid w:val="0051311C"/>
    <w:rsid w:val="00513A85"/>
    <w:rsid w:val="0051468F"/>
    <w:rsid w:val="00515FB3"/>
    <w:rsid w:val="00516FCD"/>
    <w:rsid w:val="00525784"/>
    <w:rsid w:val="0054066B"/>
    <w:rsid w:val="00543426"/>
    <w:rsid w:val="00547091"/>
    <w:rsid w:val="00567383"/>
    <w:rsid w:val="005837AC"/>
    <w:rsid w:val="00587828"/>
    <w:rsid w:val="005B1735"/>
    <w:rsid w:val="005B57A8"/>
    <w:rsid w:val="005B59D9"/>
    <w:rsid w:val="005C40D1"/>
    <w:rsid w:val="005C432E"/>
    <w:rsid w:val="005C7F5B"/>
    <w:rsid w:val="005D38BF"/>
    <w:rsid w:val="005E0ECD"/>
    <w:rsid w:val="005F206C"/>
    <w:rsid w:val="005F2D82"/>
    <w:rsid w:val="0060086E"/>
    <w:rsid w:val="00600A56"/>
    <w:rsid w:val="00610BF2"/>
    <w:rsid w:val="00613A1A"/>
    <w:rsid w:val="00615813"/>
    <w:rsid w:val="00626247"/>
    <w:rsid w:val="006318E1"/>
    <w:rsid w:val="0063499B"/>
    <w:rsid w:val="00655B3A"/>
    <w:rsid w:val="00662EF0"/>
    <w:rsid w:val="00665C82"/>
    <w:rsid w:val="006672C5"/>
    <w:rsid w:val="0067422B"/>
    <w:rsid w:val="00676B35"/>
    <w:rsid w:val="00677DF2"/>
    <w:rsid w:val="00680909"/>
    <w:rsid w:val="00687326"/>
    <w:rsid w:val="00694B38"/>
    <w:rsid w:val="006A4577"/>
    <w:rsid w:val="006A516C"/>
    <w:rsid w:val="006B57DB"/>
    <w:rsid w:val="006B7F5D"/>
    <w:rsid w:val="006D3CB1"/>
    <w:rsid w:val="006D5F6F"/>
    <w:rsid w:val="006E400B"/>
    <w:rsid w:val="00700E95"/>
    <w:rsid w:val="007226DA"/>
    <w:rsid w:val="00726407"/>
    <w:rsid w:val="007341EB"/>
    <w:rsid w:val="007346CF"/>
    <w:rsid w:val="00743119"/>
    <w:rsid w:val="00762ADB"/>
    <w:rsid w:val="00764853"/>
    <w:rsid w:val="007748F4"/>
    <w:rsid w:val="00780183"/>
    <w:rsid w:val="00786059"/>
    <w:rsid w:val="00787CFF"/>
    <w:rsid w:val="00793E1E"/>
    <w:rsid w:val="007B1DF4"/>
    <w:rsid w:val="007D48CD"/>
    <w:rsid w:val="007E3B55"/>
    <w:rsid w:val="007F14FA"/>
    <w:rsid w:val="007F6336"/>
    <w:rsid w:val="008019B2"/>
    <w:rsid w:val="0081118C"/>
    <w:rsid w:val="0081318C"/>
    <w:rsid w:val="00835A47"/>
    <w:rsid w:val="0083754A"/>
    <w:rsid w:val="0084599E"/>
    <w:rsid w:val="00846ECE"/>
    <w:rsid w:val="00847E73"/>
    <w:rsid w:val="0086702E"/>
    <w:rsid w:val="008773FA"/>
    <w:rsid w:val="008778BC"/>
    <w:rsid w:val="00894E81"/>
    <w:rsid w:val="008A2212"/>
    <w:rsid w:val="008A69C0"/>
    <w:rsid w:val="008B0A90"/>
    <w:rsid w:val="008C615A"/>
    <w:rsid w:val="008C6F38"/>
    <w:rsid w:val="008D2AE9"/>
    <w:rsid w:val="008D7BC5"/>
    <w:rsid w:val="008D7F11"/>
    <w:rsid w:val="008E0ED5"/>
    <w:rsid w:val="008F46A8"/>
    <w:rsid w:val="00904719"/>
    <w:rsid w:val="00914E40"/>
    <w:rsid w:val="009202ED"/>
    <w:rsid w:val="0092224F"/>
    <w:rsid w:val="00922EA2"/>
    <w:rsid w:val="009269B9"/>
    <w:rsid w:val="00926D2F"/>
    <w:rsid w:val="00927D18"/>
    <w:rsid w:val="0093045F"/>
    <w:rsid w:val="009375D0"/>
    <w:rsid w:val="009437C3"/>
    <w:rsid w:val="009564D2"/>
    <w:rsid w:val="009623FA"/>
    <w:rsid w:val="00963601"/>
    <w:rsid w:val="00967AC1"/>
    <w:rsid w:val="00972DDD"/>
    <w:rsid w:val="0097348B"/>
    <w:rsid w:val="009755B0"/>
    <w:rsid w:val="00976B22"/>
    <w:rsid w:val="00983F1A"/>
    <w:rsid w:val="00986812"/>
    <w:rsid w:val="00987A81"/>
    <w:rsid w:val="00990A08"/>
    <w:rsid w:val="00993764"/>
    <w:rsid w:val="009959CC"/>
    <w:rsid w:val="009A0F83"/>
    <w:rsid w:val="009A1296"/>
    <w:rsid w:val="009A325B"/>
    <w:rsid w:val="009B4FE6"/>
    <w:rsid w:val="009B62EB"/>
    <w:rsid w:val="009C47FE"/>
    <w:rsid w:val="009D7300"/>
    <w:rsid w:val="009F121C"/>
    <w:rsid w:val="00A029AD"/>
    <w:rsid w:val="00A04BBF"/>
    <w:rsid w:val="00A119B3"/>
    <w:rsid w:val="00A14A06"/>
    <w:rsid w:val="00A2305C"/>
    <w:rsid w:val="00A23FB7"/>
    <w:rsid w:val="00A24345"/>
    <w:rsid w:val="00A3667B"/>
    <w:rsid w:val="00A532DA"/>
    <w:rsid w:val="00A626B5"/>
    <w:rsid w:val="00A646CA"/>
    <w:rsid w:val="00A70514"/>
    <w:rsid w:val="00A74FEC"/>
    <w:rsid w:val="00A87A11"/>
    <w:rsid w:val="00AA1392"/>
    <w:rsid w:val="00AA19DB"/>
    <w:rsid w:val="00AC3D60"/>
    <w:rsid w:val="00AD6821"/>
    <w:rsid w:val="00AD6E67"/>
    <w:rsid w:val="00AE3304"/>
    <w:rsid w:val="00AE40B0"/>
    <w:rsid w:val="00AF2D66"/>
    <w:rsid w:val="00AF3832"/>
    <w:rsid w:val="00AF4379"/>
    <w:rsid w:val="00AF6B4C"/>
    <w:rsid w:val="00B0468B"/>
    <w:rsid w:val="00B15FE5"/>
    <w:rsid w:val="00B24BC0"/>
    <w:rsid w:val="00B25E0A"/>
    <w:rsid w:val="00B26691"/>
    <w:rsid w:val="00B31065"/>
    <w:rsid w:val="00B330E0"/>
    <w:rsid w:val="00B42D67"/>
    <w:rsid w:val="00B52BD0"/>
    <w:rsid w:val="00B5561C"/>
    <w:rsid w:val="00B57268"/>
    <w:rsid w:val="00B6258C"/>
    <w:rsid w:val="00B625D9"/>
    <w:rsid w:val="00B632F8"/>
    <w:rsid w:val="00B63AEE"/>
    <w:rsid w:val="00B67228"/>
    <w:rsid w:val="00B723AA"/>
    <w:rsid w:val="00B74B29"/>
    <w:rsid w:val="00B7737E"/>
    <w:rsid w:val="00B8271A"/>
    <w:rsid w:val="00B97D2C"/>
    <w:rsid w:val="00BA0044"/>
    <w:rsid w:val="00BB1B9A"/>
    <w:rsid w:val="00BC6814"/>
    <w:rsid w:val="00BD3516"/>
    <w:rsid w:val="00BD38A3"/>
    <w:rsid w:val="00BD4F97"/>
    <w:rsid w:val="00BE1DBA"/>
    <w:rsid w:val="00BE5460"/>
    <w:rsid w:val="00BF2F0C"/>
    <w:rsid w:val="00BF3043"/>
    <w:rsid w:val="00BF4A2B"/>
    <w:rsid w:val="00C009E7"/>
    <w:rsid w:val="00C05D69"/>
    <w:rsid w:val="00C065B2"/>
    <w:rsid w:val="00C06D40"/>
    <w:rsid w:val="00C10EA5"/>
    <w:rsid w:val="00C16785"/>
    <w:rsid w:val="00C20CDE"/>
    <w:rsid w:val="00C30B64"/>
    <w:rsid w:val="00C3628D"/>
    <w:rsid w:val="00C4217E"/>
    <w:rsid w:val="00C42522"/>
    <w:rsid w:val="00C5014A"/>
    <w:rsid w:val="00C51957"/>
    <w:rsid w:val="00C62A2D"/>
    <w:rsid w:val="00C6678D"/>
    <w:rsid w:val="00C669B1"/>
    <w:rsid w:val="00C67001"/>
    <w:rsid w:val="00C671A3"/>
    <w:rsid w:val="00C716EE"/>
    <w:rsid w:val="00C73ACF"/>
    <w:rsid w:val="00C82813"/>
    <w:rsid w:val="00C83AF9"/>
    <w:rsid w:val="00C92DCD"/>
    <w:rsid w:val="00C946A5"/>
    <w:rsid w:val="00C9731F"/>
    <w:rsid w:val="00CA275C"/>
    <w:rsid w:val="00CB10D9"/>
    <w:rsid w:val="00CB1F06"/>
    <w:rsid w:val="00CB7386"/>
    <w:rsid w:val="00CC524F"/>
    <w:rsid w:val="00CC5D0F"/>
    <w:rsid w:val="00CD1CCD"/>
    <w:rsid w:val="00CE26C9"/>
    <w:rsid w:val="00CF24AA"/>
    <w:rsid w:val="00D02DD1"/>
    <w:rsid w:val="00D07836"/>
    <w:rsid w:val="00D1108A"/>
    <w:rsid w:val="00D14ED8"/>
    <w:rsid w:val="00D21E88"/>
    <w:rsid w:val="00D32207"/>
    <w:rsid w:val="00D340A7"/>
    <w:rsid w:val="00D36DD9"/>
    <w:rsid w:val="00D41191"/>
    <w:rsid w:val="00D45F36"/>
    <w:rsid w:val="00D53E3E"/>
    <w:rsid w:val="00D55968"/>
    <w:rsid w:val="00D57303"/>
    <w:rsid w:val="00D57747"/>
    <w:rsid w:val="00D624DA"/>
    <w:rsid w:val="00D647D5"/>
    <w:rsid w:val="00D659E2"/>
    <w:rsid w:val="00D75E82"/>
    <w:rsid w:val="00D81A23"/>
    <w:rsid w:val="00D8517D"/>
    <w:rsid w:val="00D87A9B"/>
    <w:rsid w:val="00D900FD"/>
    <w:rsid w:val="00D90808"/>
    <w:rsid w:val="00DA0E45"/>
    <w:rsid w:val="00DA4A57"/>
    <w:rsid w:val="00DB0FEA"/>
    <w:rsid w:val="00DB2F35"/>
    <w:rsid w:val="00DB5285"/>
    <w:rsid w:val="00DC0489"/>
    <w:rsid w:val="00DC6D0D"/>
    <w:rsid w:val="00DD0800"/>
    <w:rsid w:val="00DD3B8C"/>
    <w:rsid w:val="00DD6264"/>
    <w:rsid w:val="00DD790F"/>
    <w:rsid w:val="00DF67C2"/>
    <w:rsid w:val="00DF7BA6"/>
    <w:rsid w:val="00E006D0"/>
    <w:rsid w:val="00E051DA"/>
    <w:rsid w:val="00E27190"/>
    <w:rsid w:val="00E30152"/>
    <w:rsid w:val="00E3066E"/>
    <w:rsid w:val="00E40D10"/>
    <w:rsid w:val="00E421C8"/>
    <w:rsid w:val="00E61A1C"/>
    <w:rsid w:val="00E62A07"/>
    <w:rsid w:val="00E645A4"/>
    <w:rsid w:val="00E646F7"/>
    <w:rsid w:val="00E71A2A"/>
    <w:rsid w:val="00E75215"/>
    <w:rsid w:val="00E90B87"/>
    <w:rsid w:val="00E93C4C"/>
    <w:rsid w:val="00EB7DA8"/>
    <w:rsid w:val="00EE2DCB"/>
    <w:rsid w:val="00EE4F1E"/>
    <w:rsid w:val="00F0653A"/>
    <w:rsid w:val="00F0724D"/>
    <w:rsid w:val="00F12489"/>
    <w:rsid w:val="00F23A66"/>
    <w:rsid w:val="00F274C9"/>
    <w:rsid w:val="00F35DCA"/>
    <w:rsid w:val="00F42645"/>
    <w:rsid w:val="00F53D93"/>
    <w:rsid w:val="00F541B2"/>
    <w:rsid w:val="00F561C7"/>
    <w:rsid w:val="00F711FC"/>
    <w:rsid w:val="00F80147"/>
    <w:rsid w:val="00F80B69"/>
    <w:rsid w:val="00F854C1"/>
    <w:rsid w:val="00F90E01"/>
    <w:rsid w:val="00F9240F"/>
    <w:rsid w:val="00FA19B7"/>
    <w:rsid w:val="00FA4467"/>
    <w:rsid w:val="00FB3719"/>
    <w:rsid w:val="00FB6A8D"/>
    <w:rsid w:val="00FC1EBA"/>
    <w:rsid w:val="00FC46DD"/>
    <w:rsid w:val="00FC6F47"/>
    <w:rsid w:val="00FD2DF8"/>
    <w:rsid w:val="00FD4BCF"/>
    <w:rsid w:val="00FF39CF"/>
    <w:rsid w:val="023E2BCA"/>
    <w:rsid w:val="02D35E25"/>
    <w:rsid w:val="04AB5538"/>
    <w:rsid w:val="04D21F8E"/>
    <w:rsid w:val="05D25F9F"/>
    <w:rsid w:val="09760F69"/>
    <w:rsid w:val="0F6259CB"/>
    <w:rsid w:val="10AF59C3"/>
    <w:rsid w:val="121F4EAF"/>
    <w:rsid w:val="132D58CD"/>
    <w:rsid w:val="13363593"/>
    <w:rsid w:val="13754E54"/>
    <w:rsid w:val="178422E1"/>
    <w:rsid w:val="19E243D0"/>
    <w:rsid w:val="1A15472F"/>
    <w:rsid w:val="1B495551"/>
    <w:rsid w:val="1C632B49"/>
    <w:rsid w:val="1CBF3E1D"/>
    <w:rsid w:val="1D7962C6"/>
    <w:rsid w:val="1E0E51F1"/>
    <w:rsid w:val="1F720AD2"/>
    <w:rsid w:val="1FA045B5"/>
    <w:rsid w:val="1FBD590F"/>
    <w:rsid w:val="1FD63919"/>
    <w:rsid w:val="215213A6"/>
    <w:rsid w:val="2188160C"/>
    <w:rsid w:val="220E767E"/>
    <w:rsid w:val="231E4E37"/>
    <w:rsid w:val="248A5BF5"/>
    <w:rsid w:val="251600BC"/>
    <w:rsid w:val="269F5746"/>
    <w:rsid w:val="285A7F35"/>
    <w:rsid w:val="28E721C0"/>
    <w:rsid w:val="2B05253D"/>
    <w:rsid w:val="2CB54F75"/>
    <w:rsid w:val="2E51438B"/>
    <w:rsid w:val="2F345375"/>
    <w:rsid w:val="2FFB5A89"/>
    <w:rsid w:val="313C24CB"/>
    <w:rsid w:val="313D1031"/>
    <w:rsid w:val="31C854D0"/>
    <w:rsid w:val="325602C2"/>
    <w:rsid w:val="342C582E"/>
    <w:rsid w:val="344D438D"/>
    <w:rsid w:val="36803F08"/>
    <w:rsid w:val="382C440E"/>
    <w:rsid w:val="39090D3B"/>
    <w:rsid w:val="3AFD5FFA"/>
    <w:rsid w:val="3C585A10"/>
    <w:rsid w:val="3CC33D8C"/>
    <w:rsid w:val="3CE112F8"/>
    <w:rsid w:val="3D0F3EBA"/>
    <w:rsid w:val="3D8512EA"/>
    <w:rsid w:val="3E435CB3"/>
    <w:rsid w:val="3E521DA7"/>
    <w:rsid w:val="3EC81855"/>
    <w:rsid w:val="3ED1483F"/>
    <w:rsid w:val="3F8C7AD1"/>
    <w:rsid w:val="404E158C"/>
    <w:rsid w:val="408B12F0"/>
    <w:rsid w:val="41046E0E"/>
    <w:rsid w:val="41703864"/>
    <w:rsid w:val="42F201FF"/>
    <w:rsid w:val="44B64559"/>
    <w:rsid w:val="484C3562"/>
    <w:rsid w:val="4870768E"/>
    <w:rsid w:val="489200D5"/>
    <w:rsid w:val="48DB7F83"/>
    <w:rsid w:val="49FD1F28"/>
    <w:rsid w:val="4AF44527"/>
    <w:rsid w:val="502205CF"/>
    <w:rsid w:val="50E94335"/>
    <w:rsid w:val="526273B5"/>
    <w:rsid w:val="55C800CE"/>
    <w:rsid w:val="56BF37D9"/>
    <w:rsid w:val="5786613F"/>
    <w:rsid w:val="58800458"/>
    <w:rsid w:val="594137FB"/>
    <w:rsid w:val="59457D31"/>
    <w:rsid w:val="5AC333DD"/>
    <w:rsid w:val="5BCE2A95"/>
    <w:rsid w:val="5C2A4E3F"/>
    <w:rsid w:val="5DF61454"/>
    <w:rsid w:val="5E5646F4"/>
    <w:rsid w:val="5F6E7EBB"/>
    <w:rsid w:val="60363DC9"/>
    <w:rsid w:val="60521D40"/>
    <w:rsid w:val="61841160"/>
    <w:rsid w:val="61F45CEA"/>
    <w:rsid w:val="620F7263"/>
    <w:rsid w:val="62E27EB2"/>
    <w:rsid w:val="631E69AA"/>
    <w:rsid w:val="644E325B"/>
    <w:rsid w:val="645F2839"/>
    <w:rsid w:val="64BD5904"/>
    <w:rsid w:val="651F11B7"/>
    <w:rsid w:val="66D01339"/>
    <w:rsid w:val="674D2C03"/>
    <w:rsid w:val="68166103"/>
    <w:rsid w:val="682F3E6C"/>
    <w:rsid w:val="68730DF3"/>
    <w:rsid w:val="68D94FA4"/>
    <w:rsid w:val="69493D8F"/>
    <w:rsid w:val="69B14AD5"/>
    <w:rsid w:val="6A7371FC"/>
    <w:rsid w:val="6ABF60C0"/>
    <w:rsid w:val="6CF6452C"/>
    <w:rsid w:val="6DAE5E0C"/>
    <w:rsid w:val="70404991"/>
    <w:rsid w:val="70FA59E9"/>
    <w:rsid w:val="710A7485"/>
    <w:rsid w:val="71E41366"/>
    <w:rsid w:val="721A74EB"/>
    <w:rsid w:val="72E24C56"/>
    <w:rsid w:val="73AB6DBE"/>
    <w:rsid w:val="73F57E4D"/>
    <w:rsid w:val="748C518B"/>
    <w:rsid w:val="750B4F95"/>
    <w:rsid w:val="753927A7"/>
    <w:rsid w:val="7650507B"/>
    <w:rsid w:val="7782001E"/>
    <w:rsid w:val="7BAF746F"/>
    <w:rsid w:val="7BD652FA"/>
    <w:rsid w:val="7CF80AA9"/>
    <w:rsid w:val="7D6E1F62"/>
    <w:rsid w:val="7DE75808"/>
    <w:rsid w:val="7F136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Calibri" w:hAnsi="Calibri" w:eastAsia="宋体"/>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Cambria" w:hAnsi="Cambria" w:eastAsia="宋体"/>
      <w:b/>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Plain Text"/>
    <w:basedOn w:val="1"/>
    <w:link w:val="24"/>
    <w:qFormat/>
    <w:uiPriority w:val="0"/>
    <w:rPr>
      <w:rFonts w:ascii="宋体" w:hAnsi="Courier New" w:eastAsia="宋体"/>
      <w:sz w:val="21"/>
      <w:szCs w:val="20"/>
    </w:rPr>
  </w:style>
  <w:style w:type="paragraph" w:styleId="6">
    <w:name w:val="Balloon Text"/>
    <w:basedOn w:val="1"/>
    <w:link w:val="21"/>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line="360" w:lineRule="auto"/>
      <w:ind w:firstLine="200" w:firstLineChars="200"/>
    </w:pPr>
    <w:rPr>
      <w:rFonts w:eastAsia="宋体"/>
      <w:sz w:val="24"/>
      <w:szCs w:val="22"/>
    </w:rPr>
  </w:style>
  <w:style w:type="paragraph" w:styleId="10">
    <w:name w:val="toc 2"/>
    <w:basedOn w:val="1"/>
    <w:next w:val="1"/>
    <w:unhideWhenUsed/>
    <w:qFormat/>
    <w:uiPriority w:val="39"/>
    <w:pPr>
      <w:ind w:left="420" w:leftChars="200"/>
    </w:pPr>
    <w:rPr>
      <w:rFonts w:ascii="Calibri" w:hAnsi="Calibri" w:eastAsia="宋体"/>
      <w:sz w:val="21"/>
      <w:szCs w:val="22"/>
    </w:rPr>
  </w:style>
  <w:style w:type="paragraph" w:styleId="11">
    <w:name w:val="Title"/>
    <w:basedOn w:val="1"/>
    <w:next w:val="1"/>
    <w:link w:val="27"/>
    <w:qFormat/>
    <w:uiPriority w:val="10"/>
    <w:pPr>
      <w:spacing w:before="240" w:after="60" w:line="360" w:lineRule="auto"/>
      <w:ind w:firstLine="200" w:firstLineChars="200"/>
      <w:jc w:val="center"/>
      <w:outlineLvl w:val="0"/>
    </w:pPr>
    <w:rPr>
      <w:rFonts w:ascii="Cambria" w:hAnsi="Cambria" w:eastAsia="楷体"/>
      <w:b/>
      <w:sz w:val="36"/>
      <w:szCs w:val="20"/>
    </w:rPr>
  </w:style>
  <w:style w:type="paragraph" w:styleId="12">
    <w:name w:val="annotation subject"/>
    <w:basedOn w:val="4"/>
    <w:next w:val="4"/>
    <w:link w:val="23"/>
    <w:semiHidden/>
    <w:unhideWhenUsed/>
    <w:qFormat/>
    <w:uiPriority w:val="99"/>
    <w:rPr>
      <w:b/>
      <w:bCs/>
    </w:rPr>
  </w:style>
  <w:style w:type="table" w:styleId="14">
    <w:name w:val="Table Grid"/>
    <w:basedOn w:val="1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unhideWhenUsed/>
    <w:qFormat/>
    <w:uiPriority w:val="99"/>
    <w:rPr>
      <w:color w:val="0000FF"/>
      <w:u w:val="single"/>
    </w:rPr>
  </w:style>
  <w:style w:type="character" w:styleId="17">
    <w:name w:val="annotation reference"/>
    <w:semiHidden/>
    <w:unhideWhenUsed/>
    <w:qFormat/>
    <w:uiPriority w:val="99"/>
    <w:rPr>
      <w:sz w:val="21"/>
      <w:szCs w:val="21"/>
    </w:rPr>
  </w:style>
  <w:style w:type="character" w:customStyle="1" w:styleId="18">
    <w:name w:val="页眉 Char"/>
    <w:link w:val="8"/>
    <w:qFormat/>
    <w:uiPriority w:val="99"/>
    <w:rPr>
      <w:sz w:val="18"/>
      <w:szCs w:val="18"/>
    </w:rPr>
  </w:style>
  <w:style w:type="character" w:customStyle="1" w:styleId="19">
    <w:name w:val="页脚 Char"/>
    <w:link w:val="7"/>
    <w:qFormat/>
    <w:uiPriority w:val="99"/>
    <w:rPr>
      <w:sz w:val="18"/>
      <w:szCs w:val="18"/>
    </w:rPr>
  </w:style>
  <w:style w:type="paragraph" w:customStyle="1" w:styleId="20">
    <w:name w:val="Revision"/>
    <w:hidden/>
    <w:semiHidden/>
    <w:qFormat/>
    <w:uiPriority w:val="99"/>
    <w:rPr>
      <w:rFonts w:ascii="Times New Roman" w:hAnsi="Times New Roman" w:eastAsia="仿宋" w:cs="Times New Roman"/>
      <w:kern w:val="2"/>
      <w:sz w:val="32"/>
      <w:szCs w:val="24"/>
      <w:lang w:val="en-US" w:eastAsia="zh-CN" w:bidi="ar-SA"/>
    </w:rPr>
  </w:style>
  <w:style w:type="character" w:customStyle="1" w:styleId="21">
    <w:name w:val="批注框文本 Char"/>
    <w:link w:val="6"/>
    <w:semiHidden/>
    <w:qFormat/>
    <w:uiPriority w:val="99"/>
    <w:rPr>
      <w:rFonts w:ascii="Times New Roman" w:hAnsi="Times New Roman" w:eastAsia="仿宋"/>
      <w:kern w:val="2"/>
      <w:sz w:val="18"/>
      <w:szCs w:val="18"/>
    </w:rPr>
  </w:style>
  <w:style w:type="character" w:customStyle="1" w:styleId="22">
    <w:name w:val="批注文字 Char"/>
    <w:link w:val="4"/>
    <w:semiHidden/>
    <w:qFormat/>
    <w:uiPriority w:val="99"/>
    <w:rPr>
      <w:rFonts w:ascii="Times New Roman" w:hAnsi="Times New Roman" w:eastAsia="仿宋"/>
      <w:kern w:val="2"/>
      <w:sz w:val="32"/>
      <w:szCs w:val="24"/>
    </w:rPr>
  </w:style>
  <w:style w:type="character" w:customStyle="1" w:styleId="23">
    <w:name w:val="批注主题 Char"/>
    <w:link w:val="12"/>
    <w:semiHidden/>
    <w:qFormat/>
    <w:uiPriority w:val="99"/>
    <w:rPr>
      <w:rFonts w:ascii="Times New Roman" w:hAnsi="Times New Roman" w:eastAsia="仿宋"/>
      <w:b/>
      <w:bCs/>
      <w:kern w:val="2"/>
      <w:sz w:val="32"/>
      <w:szCs w:val="24"/>
    </w:rPr>
  </w:style>
  <w:style w:type="character" w:customStyle="1" w:styleId="24">
    <w:name w:val="纯文本 Char"/>
    <w:link w:val="5"/>
    <w:qFormat/>
    <w:uiPriority w:val="0"/>
    <w:rPr>
      <w:rFonts w:ascii="宋体" w:hAnsi="Courier New"/>
      <w:kern w:val="2"/>
      <w:sz w:val="21"/>
    </w:rPr>
  </w:style>
  <w:style w:type="character" w:customStyle="1" w:styleId="25">
    <w:name w:val="标题 1 Char"/>
    <w:link w:val="2"/>
    <w:qFormat/>
    <w:uiPriority w:val="9"/>
    <w:rPr>
      <w:b/>
      <w:bCs/>
      <w:kern w:val="44"/>
      <w:sz w:val="44"/>
      <w:szCs w:val="44"/>
    </w:rPr>
  </w:style>
  <w:style w:type="character" w:customStyle="1" w:styleId="26">
    <w:name w:val="标题 2 Char"/>
    <w:link w:val="3"/>
    <w:qFormat/>
    <w:uiPriority w:val="9"/>
    <w:rPr>
      <w:rFonts w:ascii="Cambria" w:hAnsi="Cambria"/>
      <w:b/>
      <w:bCs/>
      <w:kern w:val="2"/>
      <w:sz w:val="32"/>
      <w:szCs w:val="32"/>
    </w:rPr>
  </w:style>
  <w:style w:type="character" w:customStyle="1" w:styleId="27">
    <w:name w:val="标题 Char"/>
    <w:link w:val="11"/>
    <w:qFormat/>
    <w:uiPriority w:val="10"/>
    <w:rPr>
      <w:rFonts w:ascii="Cambria" w:hAnsi="Cambria" w:eastAsia="楷体"/>
      <w:b/>
      <w:kern w:val="2"/>
      <w:sz w:val="36"/>
    </w:rPr>
  </w:style>
  <w:style w:type="paragraph" w:styleId="28">
    <w:name w:val="List Paragraph"/>
    <w:basedOn w:val="1"/>
    <w:link w:val="29"/>
    <w:qFormat/>
    <w:uiPriority w:val="34"/>
    <w:pPr>
      <w:ind w:firstLine="420" w:firstLineChars="200"/>
    </w:pPr>
    <w:rPr>
      <w:rFonts w:ascii="Calibri" w:hAnsi="Calibri" w:eastAsia="宋体"/>
      <w:sz w:val="21"/>
      <w:szCs w:val="22"/>
    </w:rPr>
  </w:style>
  <w:style w:type="character" w:customStyle="1" w:styleId="29">
    <w:name w:val="列出段落 Char"/>
    <w:link w:val="28"/>
    <w:qFormat/>
    <w:uiPriority w:val="34"/>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5321F-6333-4FF3-A8F6-6D5208E41D2E}">
  <ds:schemaRefs/>
</ds:datastoreItem>
</file>

<file path=customXml/itemProps3.xml><?xml version="1.0" encoding="utf-8"?>
<ds:datastoreItem xmlns:ds="http://schemas.openxmlformats.org/officeDocument/2006/customXml" ds:itemID="{971B4AB4-2472-4C89-ABE6-0429C336F3F7}">
  <ds:schemaRefs/>
</ds:datastoreItem>
</file>

<file path=customXml/itemProps4.xml><?xml version="1.0" encoding="utf-8"?>
<ds:datastoreItem xmlns:ds="http://schemas.openxmlformats.org/officeDocument/2006/customXml" ds:itemID="{6ED25538-E682-49FC-ABEB-ADA4E0A7C35D}">
  <ds:schemaRefs/>
</ds:datastoreItem>
</file>

<file path=customXml/itemProps5.xml><?xml version="1.0" encoding="utf-8"?>
<ds:datastoreItem xmlns:ds="http://schemas.openxmlformats.org/officeDocument/2006/customXml" ds:itemID="{6B2B5F24-AEDB-468C-BC9A-1AEB6BA3FE8F}">
  <ds:schemaRefs/>
</ds:datastoreItem>
</file>

<file path=docProps/app.xml><?xml version="1.0" encoding="utf-8"?>
<Properties xmlns="http://schemas.openxmlformats.org/officeDocument/2006/extended-properties" xmlns:vt="http://schemas.openxmlformats.org/officeDocument/2006/docPropsVTypes">
  <Template>Normal</Template>
  <Pages>7</Pages>
  <Words>480</Words>
  <Characters>2738</Characters>
  <Lines>22</Lines>
  <Paragraphs>6</Paragraphs>
  <TotalTime>62</TotalTime>
  <ScaleCrop>false</ScaleCrop>
  <LinksUpToDate>false</LinksUpToDate>
  <CharactersWithSpaces>3212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2022-12-07T05:08:00Z</dcterms:created>
  <dc:creator>曾蓓蓓[bbzeng]</dc:creator>
  <cp:lastModifiedBy>xxfb01</cp:lastModifiedBy>
  <cp:lastPrinted>2025-12-02T01:02:00Z</cp:lastPrinted>
  <dcterms:modified xsi:type="dcterms:W3CDTF">2026-01-30T08:19:51Z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0x010100277BE70400348A4D8EEC7D959D14FCE9</vt:lpwstr>
  </property>
  <property fmtid="{D5CDD505-2E9C-101B-9397-08002B2CF9AE}" pid="3" name="Title">
    <vt:lpwstr/>
  </property>
  <property fmtid="{D5CDD505-2E9C-101B-9397-08002B2CF9AE}" pid="4" name="KSOProductBuildVer">
    <vt:lpwstr>2052-11.8.2.12094</vt:lpwstr>
  </property>
  <property fmtid="{D5CDD505-2E9C-101B-9397-08002B2CF9AE}" pid="5" name="ICV">
    <vt:lpwstr>11741E08541C4DDCB9BF6ABCDFA8F21F</vt:lpwstr>
  </property>
</Properties>
</file>