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006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3F91903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40D117A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56A8BB1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2B4F6FC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3DD3BEE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ascii="Times New Roman" w:hAnsi="Times New Roman" w:eastAsia="方正大标宋简体" w:cs="Times New Roman"/>
          <w:bCs/>
          <w:kern w:val="0"/>
          <w:sz w:val="44"/>
          <w:szCs w:val="44"/>
          <w:highlight w:val="none"/>
        </w:rPr>
      </w:pPr>
    </w:p>
    <w:p w14:paraId="39F8E3FA">
      <w:pPr>
        <w:spacing w:line="560" w:lineRule="exact"/>
        <w:ind w:firstLine="0" w:firstLineChars="0"/>
        <w:jc w:val="center"/>
        <w:rPr>
          <w:rFonts w:hint="default" w:ascii="Times New Roman" w:hAnsi="Times New Roman" w:eastAsia="方正大标宋简体" w:cs="Times New Roman"/>
          <w:bCs/>
          <w:kern w:val="0"/>
          <w:sz w:val="44"/>
          <w:szCs w:val="44"/>
          <w:highlight w:val="none"/>
        </w:rPr>
      </w:pPr>
      <w:r>
        <w:rPr>
          <w:rFonts w:hint="default" w:ascii="Times New Roman" w:hAnsi="Times New Roman" w:eastAsia="方正大标宋简体" w:cs="Times New Roman"/>
          <w:bCs/>
          <w:kern w:val="0"/>
          <w:sz w:val="44"/>
          <w:szCs w:val="44"/>
          <w:highlight w:val="none"/>
        </w:rPr>
        <w:t>上海证券交易所</w:t>
      </w:r>
      <w:r>
        <w:rPr>
          <w:rFonts w:hint="eastAsia" w:ascii="Times New Roman" w:hAnsi="Times New Roman" w:eastAsia="方正大标宋简体" w:cs="Times New Roman"/>
          <w:bCs/>
          <w:kern w:val="0"/>
          <w:sz w:val="44"/>
          <w:szCs w:val="44"/>
          <w:highlight w:val="none"/>
          <w:lang w:eastAsia="zh-CN"/>
        </w:rPr>
        <w:t>科创板</w:t>
      </w:r>
      <w:r>
        <w:rPr>
          <w:rFonts w:hint="default" w:ascii="Times New Roman" w:hAnsi="Times New Roman" w:eastAsia="方正大标宋简体" w:cs="Times New Roman"/>
          <w:bCs/>
          <w:kern w:val="0"/>
          <w:sz w:val="44"/>
          <w:szCs w:val="44"/>
          <w:highlight w:val="none"/>
        </w:rPr>
        <w:t>上市公司自律监管指南第</w:t>
      </w:r>
      <w:r>
        <w:rPr>
          <w:rFonts w:hint="eastAsia" w:ascii="Times New Roman" w:hAnsi="Times New Roman" w:eastAsia="方正大标宋简体" w:cs="Times New Roman"/>
          <w:bCs/>
          <w:kern w:val="0"/>
          <w:sz w:val="44"/>
          <w:szCs w:val="44"/>
          <w:highlight w:val="none"/>
          <w:lang w:val="en-US" w:eastAsia="zh-CN"/>
        </w:rPr>
        <w:t>13</w:t>
      </w:r>
      <w:r>
        <w:rPr>
          <w:rFonts w:hint="default" w:ascii="Times New Roman" w:hAnsi="Times New Roman" w:eastAsia="方正大标宋简体" w:cs="Times New Roman"/>
          <w:bCs/>
          <w:kern w:val="0"/>
          <w:sz w:val="44"/>
          <w:szCs w:val="44"/>
          <w:highlight w:val="none"/>
        </w:rPr>
        <w:t>号——可持续发展报告编制</w:t>
      </w:r>
    </w:p>
    <w:p w14:paraId="6955CB9A">
      <w:pPr>
        <w:spacing w:line="560" w:lineRule="exact"/>
        <w:jc w:val="center"/>
        <w:rPr>
          <w:rFonts w:ascii="黑体" w:hAnsi="黑体" w:eastAsia="黑体" w:cs="Times New Roman"/>
          <w:b/>
          <w:bCs/>
          <w:sz w:val="36"/>
          <w:szCs w:val="36"/>
          <w:highlight w:val="none"/>
        </w:rPr>
      </w:pPr>
    </w:p>
    <w:p w14:paraId="779AC565">
      <w:pPr>
        <w:spacing w:line="560" w:lineRule="exact"/>
        <w:jc w:val="center"/>
        <w:rPr>
          <w:rFonts w:hint="eastAsia" w:ascii="黑体" w:hAnsi="黑体" w:eastAsia="黑体" w:cs="Times New Roman"/>
          <w:b/>
          <w:bCs/>
          <w:sz w:val="36"/>
          <w:szCs w:val="36"/>
          <w:highlight w:val="none"/>
          <w:lang w:val="en-US" w:eastAsia="zh-CN"/>
        </w:rPr>
      </w:pPr>
    </w:p>
    <w:p w14:paraId="2D729F46">
      <w:pPr>
        <w:spacing w:line="560" w:lineRule="exact"/>
        <w:jc w:val="center"/>
        <w:rPr>
          <w:rFonts w:hint="eastAsia" w:ascii="黑体" w:hAnsi="黑体" w:eastAsia="黑体" w:cs="Times New Roman"/>
          <w:b/>
          <w:bCs/>
          <w:sz w:val="36"/>
          <w:szCs w:val="36"/>
          <w:highlight w:val="none"/>
          <w:lang w:val="en-US" w:eastAsia="zh-CN"/>
        </w:rPr>
      </w:pPr>
    </w:p>
    <w:p w14:paraId="1C0830A1">
      <w:pPr>
        <w:spacing w:line="560" w:lineRule="exact"/>
        <w:ind w:firstLine="0" w:firstLineChars="0"/>
        <w:jc w:val="center"/>
        <w:rPr>
          <w:highlight w:val="none"/>
        </w:rPr>
        <w:sectPr>
          <w:footerReference r:id="rId5" w:type="default"/>
          <w:pgSz w:w="12240" w:h="15840"/>
          <w:pgMar w:top="1440" w:right="1800" w:bottom="1440" w:left="1800" w:header="708" w:footer="708" w:gutter="0"/>
          <w:pgNumType w:fmt="decimal" w:start="1"/>
          <w:cols w:space="708" w:num="1"/>
          <w:docGrid w:linePitch="360" w:charSpace="0"/>
        </w:sectPr>
      </w:pPr>
      <w:r>
        <w:rPr>
          <w:rFonts w:hint="eastAsia" w:ascii="黑体" w:hAnsi="黑体" w:eastAsia="黑体" w:cs="Times New Roman"/>
          <w:b/>
          <w:bCs/>
          <w:sz w:val="36"/>
          <w:szCs w:val="36"/>
          <w:highlight w:val="none"/>
        </w:rPr>
        <w:t>第四号 能源利用</w:t>
      </w:r>
    </w:p>
    <w:p w14:paraId="2F2379F1">
      <w:pPr>
        <w:keepNext/>
        <w:keepLines/>
        <w:spacing w:before="156" w:line="260" w:lineRule="auto"/>
        <w:rPr>
          <w:rFonts w:ascii="黑体" w:hAnsi="黑体" w:eastAsia="黑体" w:cs="黑体"/>
          <w:szCs w:val="30"/>
          <w:highlight w:val="none"/>
          <w:lang w:val="zh-CN"/>
        </w:rPr>
      </w:pPr>
    </w:p>
    <w:sdt>
      <w:sdtPr>
        <w:rPr>
          <w:rFonts w:hint="eastAsia" w:ascii="黑体" w:hAnsi="黑体" w:eastAsia="黑体" w:cs="黑体"/>
          <w:b/>
          <w:bCs/>
          <w:szCs w:val="30"/>
          <w:highlight w:val="none"/>
        </w:rPr>
        <w:id w:val="147479303"/>
        <w15:color w:val="DBDBDB"/>
        <w:docPartObj>
          <w:docPartGallery w:val="Table of Contents"/>
          <w:docPartUnique/>
        </w:docPartObj>
      </w:sdtPr>
      <w:sdtEndPr>
        <w:rPr>
          <w:rFonts w:hint="eastAsia" w:ascii="黑体" w:hAnsi="黑体" w:eastAsia="黑体" w:cs="黑体"/>
          <w:b/>
          <w:bCs/>
          <w:szCs w:val="30"/>
          <w:highlight w:val="none"/>
          <w:lang w:val="zh-CN"/>
        </w:rPr>
      </w:sdtEndPr>
      <w:sdtContent>
        <w:p w14:paraId="5437887F">
          <w:pPr>
            <w:jc w:val="center"/>
            <w:rPr>
              <w:rFonts w:ascii="黑体" w:hAnsi="黑体" w:eastAsia="黑体" w:cs="黑体"/>
              <w:b/>
              <w:bCs/>
              <w:szCs w:val="30"/>
              <w:highlight w:val="none"/>
            </w:rPr>
          </w:pPr>
          <w:r>
            <w:rPr>
              <w:rFonts w:ascii="黑体" w:hAnsi="黑体" w:eastAsia="黑体" w:cs="黑体"/>
              <w:b/>
              <w:bCs/>
              <w:szCs w:val="30"/>
              <w:highlight w:val="none"/>
            </w:rPr>
            <w:t>目  录</w:t>
          </w:r>
        </w:p>
        <w:p w14:paraId="4659642A">
          <w:pPr>
            <w:jc w:val="center"/>
            <w:rPr>
              <w:rFonts w:ascii="仿宋" w:hAnsi="仿宋" w:eastAsia="仿宋" w:cs="仿宋"/>
              <w:b/>
              <w:bCs/>
              <w:szCs w:val="30"/>
              <w:highlight w:val="none"/>
            </w:rPr>
          </w:pPr>
        </w:p>
        <w:p w14:paraId="119F729E">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textAlignment w:val="auto"/>
            <w:rPr>
              <w:sz w:val="20"/>
              <w:szCs w:val="20"/>
              <w:highlight w:val="none"/>
            </w:rPr>
          </w:pPr>
          <w:r>
            <w:rPr>
              <w:rFonts w:ascii="黑体" w:hAnsi="黑体" w:eastAsia="黑体" w:cs="黑体"/>
              <w:sz w:val="20"/>
              <w:szCs w:val="20"/>
              <w:highlight w:val="none"/>
              <w:lang w:val="zh-CN"/>
            </w:rPr>
            <w:fldChar w:fldCharType="begin"/>
          </w:r>
          <w:r>
            <w:rPr>
              <w:rFonts w:ascii="黑体" w:hAnsi="黑体" w:eastAsia="黑体" w:cs="黑体"/>
              <w:sz w:val="20"/>
              <w:szCs w:val="20"/>
              <w:highlight w:val="none"/>
              <w:lang w:val="zh-CN"/>
            </w:rPr>
            <w:instrText xml:space="preserve">TOC \o "1-3" \h \u </w:instrText>
          </w:r>
          <w:r>
            <w:rPr>
              <w:rFonts w:ascii="黑体" w:hAnsi="黑体" w:eastAsia="黑体" w:cs="黑体"/>
              <w:sz w:val="20"/>
              <w:szCs w:val="20"/>
              <w:highlight w:val="none"/>
              <w:lang w:val="zh-CN"/>
            </w:rPr>
            <w:fldChar w:fldCharType="separate"/>
          </w:r>
          <w:r>
            <w:rPr>
              <w:rFonts w:ascii="黑体" w:hAnsi="黑体" w:eastAsia="黑体" w:cs="黑体"/>
              <w:b/>
              <w:bCs/>
              <w:sz w:val="20"/>
              <w:szCs w:val="20"/>
              <w:highlight w:val="none"/>
              <w:lang w:val="zh-CN"/>
            </w:rPr>
            <w:fldChar w:fldCharType="begin"/>
          </w:r>
          <w:r>
            <w:rPr>
              <w:rFonts w:ascii="黑体" w:hAnsi="黑体" w:eastAsia="黑体" w:cs="黑体"/>
              <w:b/>
              <w:bCs/>
              <w:sz w:val="20"/>
              <w:szCs w:val="20"/>
              <w:highlight w:val="none"/>
              <w:lang w:val="zh-CN"/>
            </w:rPr>
            <w:instrText xml:space="preserve"> HYPERLINK \l _Toc206340555 </w:instrText>
          </w:r>
          <w:r>
            <w:rPr>
              <w:rFonts w:ascii="黑体" w:hAnsi="黑体" w:eastAsia="黑体" w:cs="黑体"/>
              <w:b/>
              <w:bCs/>
              <w:sz w:val="20"/>
              <w:szCs w:val="20"/>
              <w:highlight w:val="none"/>
              <w:lang w:val="zh-CN"/>
            </w:rPr>
            <w:fldChar w:fldCharType="separate"/>
          </w:r>
          <w:r>
            <w:rPr>
              <w:rFonts w:hint="eastAsia" w:ascii="Times New Roman" w:hAnsi="Times New Roman" w:eastAsia="黑体" w:cs="Times New Roman"/>
              <w:b/>
              <w:bCs/>
              <w:sz w:val="20"/>
              <w:szCs w:val="20"/>
              <w:highlight w:val="none"/>
            </w:rPr>
            <w:t>第一章</w:t>
          </w:r>
          <w:r>
            <w:rPr>
              <w:rFonts w:ascii="Times New Roman" w:hAnsi="Times New Roman" w:eastAsia="黑体" w:cs="Times New Roman"/>
              <w:b/>
              <w:bCs/>
              <w:sz w:val="20"/>
              <w:szCs w:val="20"/>
              <w:highlight w:val="none"/>
            </w:rPr>
            <w:t xml:space="preserve"> </w:t>
          </w:r>
          <w:r>
            <w:rPr>
              <w:rFonts w:hint="eastAsia" w:ascii="Times New Roman" w:hAnsi="Times New Roman" w:eastAsia="黑体" w:cs="Times New Roman"/>
              <w:b/>
              <w:bCs/>
              <w:sz w:val="20"/>
              <w:szCs w:val="20"/>
              <w:highlight w:val="none"/>
            </w:rPr>
            <w:t>能源利用相关风险和机遇评估</w:t>
          </w:r>
          <w:r>
            <w:rPr>
              <w:b/>
              <w:bCs/>
              <w:sz w:val="20"/>
              <w:szCs w:val="20"/>
              <w:highlight w:val="none"/>
            </w:rPr>
            <w:tab/>
          </w:r>
          <w:r>
            <w:rPr>
              <w:b/>
              <w:bCs/>
              <w:sz w:val="20"/>
              <w:szCs w:val="20"/>
              <w:highlight w:val="none"/>
            </w:rPr>
            <w:fldChar w:fldCharType="begin"/>
          </w:r>
          <w:r>
            <w:rPr>
              <w:b/>
              <w:bCs/>
              <w:sz w:val="20"/>
              <w:szCs w:val="20"/>
              <w:highlight w:val="none"/>
            </w:rPr>
            <w:instrText xml:space="preserve"> PAGEREF _Toc206340555 \h </w:instrText>
          </w:r>
          <w:r>
            <w:rPr>
              <w:b/>
              <w:bCs/>
              <w:sz w:val="20"/>
              <w:szCs w:val="20"/>
              <w:highlight w:val="none"/>
            </w:rPr>
            <w:fldChar w:fldCharType="separate"/>
          </w:r>
          <w:r>
            <w:rPr>
              <w:b/>
              <w:bCs/>
              <w:sz w:val="20"/>
              <w:szCs w:val="20"/>
              <w:highlight w:val="none"/>
            </w:rPr>
            <w:t>1</w:t>
          </w:r>
          <w:r>
            <w:rPr>
              <w:b/>
              <w:bCs/>
              <w:sz w:val="20"/>
              <w:szCs w:val="20"/>
              <w:highlight w:val="none"/>
            </w:rPr>
            <w:fldChar w:fldCharType="end"/>
          </w:r>
          <w:r>
            <w:rPr>
              <w:rFonts w:ascii="黑体" w:hAnsi="黑体" w:eastAsia="黑体" w:cs="黑体"/>
              <w:b/>
              <w:bCs/>
              <w:sz w:val="20"/>
              <w:szCs w:val="20"/>
              <w:highlight w:val="none"/>
              <w:lang w:val="zh-CN"/>
            </w:rPr>
            <w:fldChar w:fldCharType="end"/>
          </w:r>
        </w:p>
        <w:p w14:paraId="4D956A4F">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b w:val="0"/>
              <w:bCs w:val="0"/>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_Toc1336039591 </w:instrText>
          </w:r>
          <w:r>
            <w:rPr>
              <w:rFonts w:ascii="黑体" w:hAnsi="黑体" w:eastAsia="黑体" w:cs="黑体"/>
              <w:b w:val="0"/>
              <w:bCs w:val="0"/>
              <w:sz w:val="20"/>
              <w:szCs w:val="20"/>
              <w:highlight w:val="none"/>
              <w:lang w:val="zh-CN"/>
            </w:rPr>
            <w:fldChar w:fldCharType="separate"/>
          </w:r>
          <w:r>
            <w:rPr>
              <w:rFonts w:hint="eastAsia" w:ascii="Times New Roman" w:hAnsi="Times New Roman" w:eastAsia="黑体" w:cs="Times New Roman"/>
              <w:b w:val="0"/>
              <w:bCs w:val="0"/>
              <w:sz w:val="20"/>
              <w:szCs w:val="20"/>
              <w:highlight w:val="none"/>
            </w:rPr>
            <w:t>一、能源利用相关风险和机遇</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_Toc1336039591 \h </w:instrText>
          </w:r>
          <w:r>
            <w:rPr>
              <w:b w:val="0"/>
              <w:bCs w:val="0"/>
              <w:sz w:val="20"/>
              <w:szCs w:val="20"/>
              <w:highlight w:val="none"/>
            </w:rPr>
            <w:fldChar w:fldCharType="separate"/>
          </w:r>
          <w:r>
            <w:rPr>
              <w:b w:val="0"/>
              <w:bCs w:val="0"/>
              <w:sz w:val="20"/>
              <w:szCs w:val="20"/>
              <w:highlight w:val="none"/>
            </w:rPr>
            <w:t>1</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4118A8D6">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_Toc960864118 </w:instrText>
          </w:r>
          <w:r>
            <w:rPr>
              <w:rFonts w:ascii="黑体" w:hAnsi="黑体" w:eastAsia="黑体" w:cs="黑体"/>
              <w:b w:val="0"/>
              <w:bCs w:val="0"/>
              <w:sz w:val="20"/>
              <w:szCs w:val="20"/>
              <w:highlight w:val="none"/>
              <w:lang w:val="zh-CN"/>
            </w:rPr>
            <w:fldChar w:fldCharType="separate"/>
          </w:r>
          <w:r>
            <w:rPr>
              <w:rFonts w:hint="eastAsia" w:ascii="Times New Roman" w:hAnsi="Times New Roman" w:eastAsia="黑体" w:cs="Times New Roman"/>
              <w:b w:val="0"/>
              <w:bCs w:val="0"/>
              <w:sz w:val="20"/>
              <w:szCs w:val="20"/>
              <w:highlight w:val="none"/>
            </w:rPr>
            <w:t>二、能源相关风险和机遇的财务影响</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_Toc960864118 \h </w:instrText>
          </w:r>
          <w:r>
            <w:rPr>
              <w:b w:val="0"/>
              <w:bCs w:val="0"/>
              <w:sz w:val="20"/>
              <w:szCs w:val="20"/>
              <w:highlight w:val="none"/>
            </w:rPr>
            <w:fldChar w:fldCharType="separate"/>
          </w:r>
          <w:r>
            <w:rPr>
              <w:b w:val="0"/>
              <w:bCs w:val="0"/>
              <w:sz w:val="20"/>
              <w:szCs w:val="20"/>
              <w:highlight w:val="none"/>
            </w:rPr>
            <w:t>4</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37408C78">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textAlignment w:val="auto"/>
            <w:rPr>
              <w:b/>
              <w:bCs/>
              <w:sz w:val="20"/>
              <w:szCs w:val="20"/>
              <w:highlight w:val="none"/>
            </w:rPr>
          </w:pPr>
          <w:r>
            <w:rPr>
              <w:rFonts w:ascii="黑体" w:hAnsi="黑体" w:eastAsia="黑体" w:cs="黑体"/>
              <w:b/>
              <w:bCs/>
              <w:sz w:val="20"/>
              <w:szCs w:val="20"/>
              <w:highlight w:val="none"/>
              <w:lang w:val="zh-CN"/>
            </w:rPr>
            <w:fldChar w:fldCharType="begin"/>
          </w:r>
          <w:r>
            <w:rPr>
              <w:rFonts w:ascii="黑体" w:hAnsi="黑体" w:eastAsia="黑体" w:cs="黑体"/>
              <w:b/>
              <w:bCs/>
              <w:sz w:val="20"/>
              <w:szCs w:val="20"/>
              <w:highlight w:val="none"/>
              <w:lang w:val="zh-CN"/>
            </w:rPr>
            <w:instrText xml:space="preserve"> HYPERLINK \l _Toc618516701 </w:instrText>
          </w:r>
          <w:r>
            <w:rPr>
              <w:rFonts w:ascii="黑体" w:hAnsi="黑体" w:eastAsia="黑体" w:cs="黑体"/>
              <w:b/>
              <w:bCs/>
              <w:sz w:val="20"/>
              <w:szCs w:val="20"/>
              <w:highlight w:val="none"/>
              <w:lang w:val="zh-CN"/>
            </w:rPr>
            <w:fldChar w:fldCharType="separate"/>
          </w:r>
          <w:r>
            <w:rPr>
              <w:rFonts w:hint="eastAsia" w:ascii="Times New Roman" w:hAnsi="Times New Roman" w:eastAsia="黑体" w:cs="Times New Roman"/>
              <w:b/>
              <w:bCs/>
              <w:sz w:val="20"/>
              <w:szCs w:val="20"/>
              <w:highlight w:val="none"/>
            </w:rPr>
            <w:t>第二章</w:t>
          </w:r>
          <w:r>
            <w:rPr>
              <w:rFonts w:ascii="Times New Roman" w:hAnsi="Times New Roman" w:eastAsia="黑体" w:cs="Times New Roman"/>
              <w:b/>
              <w:bCs/>
              <w:sz w:val="20"/>
              <w:szCs w:val="20"/>
              <w:highlight w:val="none"/>
            </w:rPr>
            <w:t xml:space="preserve"> </w:t>
          </w:r>
          <w:r>
            <w:rPr>
              <w:rFonts w:hint="eastAsia" w:ascii="Times New Roman" w:hAnsi="Times New Roman" w:eastAsia="黑体" w:cs="Times New Roman"/>
              <w:b/>
              <w:bCs/>
              <w:sz w:val="20"/>
              <w:szCs w:val="20"/>
              <w:highlight w:val="none"/>
            </w:rPr>
            <w:t>综合能耗核算方法</w:t>
          </w:r>
          <w:r>
            <w:rPr>
              <w:b/>
              <w:bCs/>
              <w:sz w:val="20"/>
              <w:szCs w:val="20"/>
              <w:highlight w:val="none"/>
            </w:rPr>
            <w:tab/>
          </w:r>
          <w:r>
            <w:rPr>
              <w:b/>
              <w:bCs/>
              <w:sz w:val="20"/>
              <w:szCs w:val="20"/>
              <w:highlight w:val="none"/>
            </w:rPr>
            <w:fldChar w:fldCharType="begin"/>
          </w:r>
          <w:r>
            <w:rPr>
              <w:b/>
              <w:bCs/>
              <w:sz w:val="20"/>
              <w:szCs w:val="20"/>
              <w:highlight w:val="none"/>
            </w:rPr>
            <w:instrText xml:space="preserve"> PAGEREF _Toc618516701 \h </w:instrText>
          </w:r>
          <w:r>
            <w:rPr>
              <w:b/>
              <w:bCs/>
              <w:sz w:val="20"/>
              <w:szCs w:val="20"/>
              <w:highlight w:val="none"/>
            </w:rPr>
            <w:fldChar w:fldCharType="separate"/>
          </w:r>
          <w:r>
            <w:rPr>
              <w:b/>
              <w:bCs/>
              <w:sz w:val="20"/>
              <w:szCs w:val="20"/>
              <w:highlight w:val="none"/>
            </w:rPr>
            <w:t>5</w:t>
          </w:r>
          <w:r>
            <w:rPr>
              <w:b/>
              <w:bCs/>
              <w:sz w:val="20"/>
              <w:szCs w:val="20"/>
              <w:highlight w:val="none"/>
            </w:rPr>
            <w:fldChar w:fldCharType="end"/>
          </w:r>
          <w:r>
            <w:rPr>
              <w:rFonts w:ascii="黑体" w:hAnsi="黑体" w:eastAsia="黑体" w:cs="黑体"/>
              <w:b/>
              <w:bCs/>
              <w:sz w:val="20"/>
              <w:szCs w:val="20"/>
              <w:highlight w:val="none"/>
              <w:lang w:val="zh-CN"/>
            </w:rPr>
            <w:fldChar w:fldCharType="end"/>
          </w:r>
        </w:p>
        <w:p w14:paraId="777CBFEA">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textAlignment w:val="auto"/>
            <w:rPr>
              <w:sz w:val="20"/>
              <w:szCs w:val="20"/>
              <w:highlight w:val="none"/>
            </w:rPr>
          </w:pPr>
          <w:r>
            <w:rPr>
              <w:rFonts w:ascii="黑体" w:hAnsi="黑体" w:eastAsia="黑体" w:cs="黑体"/>
              <w:b/>
              <w:bCs/>
              <w:sz w:val="20"/>
              <w:szCs w:val="20"/>
              <w:highlight w:val="none"/>
              <w:lang w:val="zh-CN"/>
            </w:rPr>
            <w:fldChar w:fldCharType="begin"/>
          </w:r>
          <w:r>
            <w:rPr>
              <w:rFonts w:ascii="黑体" w:hAnsi="黑体" w:eastAsia="黑体" w:cs="黑体"/>
              <w:b/>
              <w:bCs/>
              <w:sz w:val="20"/>
              <w:szCs w:val="20"/>
              <w:highlight w:val="none"/>
              <w:lang w:val="zh-CN"/>
            </w:rPr>
            <w:instrText xml:space="preserve"> HYPERLINK \l _Toc235380879 </w:instrText>
          </w:r>
          <w:r>
            <w:rPr>
              <w:rFonts w:ascii="黑体" w:hAnsi="黑体" w:eastAsia="黑体" w:cs="黑体"/>
              <w:b/>
              <w:bCs/>
              <w:sz w:val="20"/>
              <w:szCs w:val="20"/>
              <w:highlight w:val="none"/>
              <w:lang w:val="zh-CN"/>
            </w:rPr>
            <w:fldChar w:fldCharType="separate"/>
          </w:r>
          <w:r>
            <w:rPr>
              <w:rFonts w:hint="eastAsia" w:ascii="Times New Roman" w:hAnsi="Times New Roman" w:eastAsia="黑体" w:cs="Times New Roman"/>
              <w:b/>
              <w:bCs/>
              <w:sz w:val="20"/>
              <w:szCs w:val="20"/>
              <w:highlight w:val="none"/>
            </w:rPr>
            <w:t>第三章</w:t>
          </w:r>
          <w:r>
            <w:rPr>
              <w:rFonts w:ascii="Times New Roman" w:hAnsi="Times New Roman" w:eastAsia="黑体" w:cs="Times New Roman"/>
              <w:b/>
              <w:bCs/>
              <w:sz w:val="20"/>
              <w:szCs w:val="20"/>
              <w:highlight w:val="none"/>
            </w:rPr>
            <w:t xml:space="preserve"> </w:t>
          </w:r>
          <w:r>
            <w:rPr>
              <w:rFonts w:hint="eastAsia" w:ascii="Times New Roman" w:hAnsi="Times New Roman" w:eastAsia="黑体" w:cs="Times New Roman"/>
              <w:b/>
              <w:bCs/>
              <w:sz w:val="20"/>
              <w:szCs w:val="20"/>
              <w:highlight w:val="none"/>
            </w:rPr>
            <w:t>披露要点</w:t>
          </w:r>
          <w:r>
            <w:rPr>
              <w:b/>
              <w:bCs/>
              <w:sz w:val="20"/>
              <w:szCs w:val="20"/>
              <w:highlight w:val="none"/>
            </w:rPr>
            <w:tab/>
          </w:r>
          <w:r>
            <w:rPr>
              <w:b/>
              <w:bCs/>
              <w:sz w:val="20"/>
              <w:szCs w:val="20"/>
              <w:highlight w:val="none"/>
            </w:rPr>
            <w:fldChar w:fldCharType="begin"/>
          </w:r>
          <w:r>
            <w:rPr>
              <w:b/>
              <w:bCs/>
              <w:sz w:val="20"/>
              <w:szCs w:val="20"/>
              <w:highlight w:val="none"/>
            </w:rPr>
            <w:instrText xml:space="preserve"> PAGEREF _Toc235380879 \h </w:instrText>
          </w:r>
          <w:r>
            <w:rPr>
              <w:b/>
              <w:bCs/>
              <w:sz w:val="20"/>
              <w:szCs w:val="20"/>
              <w:highlight w:val="none"/>
            </w:rPr>
            <w:fldChar w:fldCharType="separate"/>
          </w:r>
          <w:r>
            <w:rPr>
              <w:b/>
              <w:bCs/>
              <w:sz w:val="20"/>
              <w:szCs w:val="20"/>
              <w:highlight w:val="none"/>
            </w:rPr>
            <w:t>7</w:t>
          </w:r>
          <w:r>
            <w:rPr>
              <w:b/>
              <w:bCs/>
              <w:sz w:val="20"/>
              <w:szCs w:val="20"/>
              <w:highlight w:val="none"/>
            </w:rPr>
            <w:fldChar w:fldCharType="end"/>
          </w:r>
          <w:r>
            <w:rPr>
              <w:rFonts w:ascii="黑体" w:hAnsi="黑体" w:eastAsia="黑体" w:cs="黑体"/>
              <w:b/>
              <w:bCs/>
              <w:sz w:val="20"/>
              <w:szCs w:val="20"/>
              <w:highlight w:val="none"/>
              <w:lang w:val="zh-CN"/>
            </w:rPr>
            <w:fldChar w:fldCharType="end"/>
          </w:r>
        </w:p>
        <w:p w14:paraId="6C6C0570">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b w:val="0"/>
              <w:bCs w:val="0"/>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_Toc1543054622 </w:instrText>
          </w:r>
          <w:r>
            <w:rPr>
              <w:rFonts w:ascii="黑体" w:hAnsi="黑体" w:eastAsia="黑体" w:cs="黑体"/>
              <w:b w:val="0"/>
              <w:bCs w:val="0"/>
              <w:sz w:val="20"/>
              <w:szCs w:val="20"/>
              <w:highlight w:val="none"/>
              <w:lang w:val="zh-CN"/>
            </w:rPr>
            <w:fldChar w:fldCharType="separate"/>
          </w:r>
          <w:r>
            <w:rPr>
              <w:rFonts w:hint="eastAsia" w:ascii="黑体" w:hAnsi="黑体" w:eastAsia="黑体" w:cs="黑体"/>
              <w:b w:val="0"/>
              <w:bCs w:val="0"/>
              <w:sz w:val="20"/>
              <w:szCs w:val="20"/>
              <w:highlight w:val="none"/>
            </w:rPr>
            <w:t>披露要点1 能源使用的基本情况</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_Toc1543054622 \h </w:instrText>
          </w:r>
          <w:r>
            <w:rPr>
              <w:b w:val="0"/>
              <w:bCs w:val="0"/>
              <w:sz w:val="20"/>
              <w:szCs w:val="20"/>
              <w:highlight w:val="none"/>
            </w:rPr>
            <w:fldChar w:fldCharType="separate"/>
          </w:r>
          <w:r>
            <w:rPr>
              <w:b w:val="0"/>
              <w:bCs w:val="0"/>
              <w:sz w:val="20"/>
              <w:szCs w:val="20"/>
              <w:highlight w:val="none"/>
            </w:rPr>
            <w:t>7</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4E440518">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b w:val="0"/>
              <w:bCs w:val="0"/>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_Toc535502582 </w:instrText>
          </w:r>
          <w:r>
            <w:rPr>
              <w:rFonts w:ascii="黑体" w:hAnsi="黑体" w:eastAsia="黑体" w:cs="黑体"/>
              <w:b w:val="0"/>
              <w:bCs w:val="0"/>
              <w:sz w:val="20"/>
              <w:szCs w:val="20"/>
              <w:highlight w:val="none"/>
              <w:lang w:val="zh-CN"/>
            </w:rPr>
            <w:fldChar w:fldCharType="separate"/>
          </w:r>
          <w:r>
            <w:rPr>
              <w:rFonts w:hint="eastAsia" w:ascii="黑体" w:hAnsi="黑体" w:eastAsia="黑体" w:cs="黑体"/>
              <w:b w:val="0"/>
              <w:bCs w:val="0"/>
              <w:sz w:val="20"/>
              <w:szCs w:val="20"/>
              <w:highlight w:val="none"/>
            </w:rPr>
            <w:t>披露要点2 清洁能源使用情况</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_Toc535502582 \h </w:instrText>
          </w:r>
          <w:r>
            <w:rPr>
              <w:b w:val="0"/>
              <w:bCs w:val="0"/>
              <w:sz w:val="20"/>
              <w:szCs w:val="20"/>
              <w:highlight w:val="none"/>
            </w:rPr>
            <w:fldChar w:fldCharType="separate"/>
          </w:r>
          <w:r>
            <w:rPr>
              <w:b w:val="0"/>
              <w:bCs w:val="0"/>
              <w:sz w:val="20"/>
              <w:szCs w:val="20"/>
              <w:highlight w:val="none"/>
            </w:rPr>
            <w:t>7</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152AC65D">
          <w:pPr>
            <w:pStyle w:val="14"/>
            <w:keepNext w:val="0"/>
            <w:keepLines w:val="0"/>
            <w:pageBreakBefore w:val="0"/>
            <w:widowControl/>
            <w:tabs>
              <w:tab w:val="right" w:leader="dot" w:pos="8640"/>
              <w:tab w:val="clear" w:pos="420"/>
              <w:tab w:val="clear" w:pos="8296"/>
            </w:tabs>
            <w:kinsoku/>
            <w:wordWrap/>
            <w:overflowPunct/>
            <w:topLinePunct w:val="0"/>
            <w:autoSpaceDE/>
            <w:autoSpaceDN/>
            <w:bidi w:val="0"/>
            <w:adjustRightInd w:val="0"/>
            <w:snapToGrid w:val="0"/>
            <w:spacing w:before="181" w:beforeLines="50" w:after="181" w:afterLines="50" w:line="240" w:lineRule="auto"/>
            <w:ind w:firstLine="400" w:firstLineChars="200"/>
            <w:textAlignment w:val="auto"/>
            <w:rPr>
              <w:sz w:val="20"/>
              <w:szCs w:val="20"/>
              <w:highlight w:val="none"/>
            </w:rPr>
          </w:pPr>
          <w:r>
            <w:rPr>
              <w:rFonts w:hint="eastAsia" w:ascii="黑体" w:hAnsi="黑体" w:eastAsia="黑体" w:cs="黑体"/>
              <w:b w:val="0"/>
              <w:bCs w:val="0"/>
              <w:sz w:val="20"/>
              <w:szCs w:val="20"/>
              <w:highlight w:val="none"/>
              <w:lang w:val="en-US" w:eastAsia="zh-CN"/>
            </w:rPr>
            <w:t xml:space="preserve">      </w:t>
          </w:r>
          <w:r>
            <w:rPr>
              <w:rFonts w:ascii="黑体" w:hAnsi="黑体" w:eastAsia="黑体" w:cs="黑体"/>
              <w:b w:val="0"/>
              <w:bCs w:val="0"/>
              <w:sz w:val="20"/>
              <w:szCs w:val="20"/>
              <w:highlight w:val="none"/>
              <w:lang w:val="zh-CN"/>
            </w:rPr>
            <w:fldChar w:fldCharType="begin"/>
          </w:r>
          <w:r>
            <w:rPr>
              <w:rFonts w:ascii="黑体" w:hAnsi="黑体" w:eastAsia="黑体" w:cs="黑体"/>
              <w:b w:val="0"/>
              <w:bCs w:val="0"/>
              <w:sz w:val="20"/>
              <w:szCs w:val="20"/>
              <w:highlight w:val="none"/>
              <w:lang w:val="zh-CN"/>
            </w:rPr>
            <w:instrText xml:space="preserve"> HYPERLINK \l _Toc159283959 </w:instrText>
          </w:r>
          <w:r>
            <w:rPr>
              <w:rFonts w:ascii="黑体" w:hAnsi="黑体" w:eastAsia="黑体" w:cs="黑体"/>
              <w:b w:val="0"/>
              <w:bCs w:val="0"/>
              <w:sz w:val="20"/>
              <w:szCs w:val="20"/>
              <w:highlight w:val="none"/>
              <w:lang w:val="zh-CN"/>
            </w:rPr>
            <w:fldChar w:fldCharType="separate"/>
          </w:r>
          <w:r>
            <w:rPr>
              <w:rFonts w:hint="eastAsia" w:ascii="黑体" w:hAnsi="黑体" w:eastAsia="黑体" w:cs="黑体"/>
              <w:b w:val="0"/>
              <w:bCs w:val="0"/>
              <w:sz w:val="20"/>
              <w:szCs w:val="20"/>
              <w:highlight w:val="none"/>
            </w:rPr>
            <w:t>披露要点3 能源节约目标以及具体措施情况</w:t>
          </w:r>
          <w:r>
            <w:rPr>
              <w:b w:val="0"/>
              <w:bCs w:val="0"/>
              <w:sz w:val="20"/>
              <w:szCs w:val="20"/>
              <w:highlight w:val="none"/>
            </w:rPr>
            <w:tab/>
          </w:r>
          <w:r>
            <w:rPr>
              <w:b w:val="0"/>
              <w:bCs w:val="0"/>
              <w:sz w:val="20"/>
              <w:szCs w:val="20"/>
              <w:highlight w:val="none"/>
            </w:rPr>
            <w:fldChar w:fldCharType="begin"/>
          </w:r>
          <w:r>
            <w:rPr>
              <w:b w:val="0"/>
              <w:bCs w:val="0"/>
              <w:sz w:val="20"/>
              <w:szCs w:val="20"/>
              <w:highlight w:val="none"/>
            </w:rPr>
            <w:instrText xml:space="preserve"> PAGEREF _Toc159283959 \h </w:instrText>
          </w:r>
          <w:r>
            <w:rPr>
              <w:b w:val="0"/>
              <w:bCs w:val="0"/>
              <w:sz w:val="20"/>
              <w:szCs w:val="20"/>
              <w:highlight w:val="none"/>
            </w:rPr>
            <w:fldChar w:fldCharType="separate"/>
          </w:r>
          <w:r>
            <w:rPr>
              <w:b w:val="0"/>
              <w:bCs w:val="0"/>
              <w:sz w:val="20"/>
              <w:szCs w:val="20"/>
              <w:highlight w:val="none"/>
            </w:rPr>
            <w:t>8</w:t>
          </w:r>
          <w:r>
            <w:rPr>
              <w:b w:val="0"/>
              <w:bCs w:val="0"/>
              <w:sz w:val="20"/>
              <w:szCs w:val="20"/>
              <w:highlight w:val="none"/>
            </w:rPr>
            <w:fldChar w:fldCharType="end"/>
          </w:r>
          <w:r>
            <w:rPr>
              <w:rFonts w:ascii="黑体" w:hAnsi="黑体" w:eastAsia="黑体" w:cs="黑体"/>
              <w:b w:val="0"/>
              <w:bCs w:val="0"/>
              <w:sz w:val="20"/>
              <w:szCs w:val="20"/>
              <w:highlight w:val="none"/>
              <w:lang w:val="zh-CN"/>
            </w:rPr>
            <w:fldChar w:fldCharType="end"/>
          </w:r>
        </w:p>
        <w:p w14:paraId="1EEACFB4">
          <w:pPr>
            <w:keepNext/>
            <w:keepLines/>
            <w:pageBreakBefore w:val="0"/>
            <w:kinsoku/>
            <w:wordWrap/>
            <w:overflowPunct/>
            <w:topLinePunct w:val="0"/>
            <w:autoSpaceDE/>
            <w:autoSpaceDN/>
            <w:bidi w:val="0"/>
            <w:adjustRightInd w:val="0"/>
            <w:snapToGrid w:val="0"/>
            <w:spacing w:before="120" w:beforeLines="50" w:after="120" w:afterLines="50" w:line="240" w:lineRule="auto"/>
            <w:textAlignment w:val="auto"/>
            <w:rPr>
              <w:rFonts w:ascii="黑体" w:hAnsi="黑体" w:eastAsia="黑体" w:cs="黑体"/>
              <w:szCs w:val="30"/>
              <w:highlight w:val="none"/>
              <w:lang w:val="zh-CN"/>
            </w:rPr>
          </w:pPr>
          <w:r>
            <w:rPr>
              <w:rFonts w:ascii="黑体" w:hAnsi="黑体" w:eastAsia="黑体" w:cs="黑体"/>
              <w:sz w:val="20"/>
              <w:szCs w:val="20"/>
              <w:highlight w:val="none"/>
              <w:lang w:val="zh-CN"/>
            </w:rPr>
            <w:fldChar w:fldCharType="end"/>
          </w:r>
        </w:p>
      </w:sdtContent>
    </w:sdt>
    <w:p w14:paraId="1F1D1EDF">
      <w:pPr>
        <w:spacing w:before="120" w:beforeLines="50" w:after="120" w:afterLines="50"/>
        <w:rPr>
          <w:rFonts w:ascii="仿宋_GB2312" w:hAnsi="仿宋_GB2312" w:cs="仿宋_GB2312"/>
          <w:szCs w:val="30"/>
          <w:highlight w:val="none"/>
        </w:rPr>
      </w:pPr>
    </w:p>
    <w:p w14:paraId="3C3B5178">
      <w:pPr>
        <w:jc w:val="left"/>
        <w:rPr>
          <w:rFonts w:ascii="仿宋_GB2312" w:hAnsi="仿宋_GB2312" w:cs="仿宋_GB2312"/>
          <w:szCs w:val="30"/>
          <w:highlight w:val="none"/>
        </w:rPr>
      </w:pPr>
    </w:p>
    <w:p w14:paraId="0F31BEA3">
      <w:pPr>
        <w:jc w:val="left"/>
        <w:rPr>
          <w:rFonts w:ascii="仿宋_GB2312" w:hAnsi="仿宋_GB2312" w:cs="仿宋_GB2312"/>
          <w:szCs w:val="30"/>
          <w:highlight w:val="none"/>
        </w:rPr>
        <w:sectPr>
          <w:footerReference r:id="rId6" w:type="default"/>
          <w:pgSz w:w="12240" w:h="15840"/>
          <w:pgMar w:top="1440" w:right="1800" w:bottom="1440" w:left="1800" w:header="708" w:footer="708" w:gutter="0"/>
          <w:pgNumType w:start="1"/>
          <w:cols w:space="708" w:num="1"/>
          <w:docGrid w:linePitch="360" w:charSpace="0"/>
        </w:sectPr>
      </w:pPr>
    </w:p>
    <w:p w14:paraId="34E9EFE5">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为了帮助科创板上市公司准确理解适用《上海证券交易所上市公司自律监管指引第14号——可持续发展报告（试行）》（以下简称《指引》）相关规定，规范编制可持续发展报告中涉及能源利用议题有关内容，上海证券交易所（以下简称本所）制定了《</w:t>
      </w:r>
      <w:r>
        <w:rPr>
          <w:rFonts w:hint="eastAsia" w:ascii="仿宋_GB2312" w:hAnsi="Times New Roman" w:eastAsia="仿宋_GB2312"/>
          <w:sz w:val="30"/>
          <w:szCs w:val="30"/>
          <w:highlight w:val="none"/>
        </w:rPr>
        <w:t>上海证券交易所</w:t>
      </w:r>
      <w:r>
        <w:rPr>
          <w:rFonts w:hint="eastAsia" w:ascii="仿宋_GB2312" w:hAnsi="Times New Roman" w:eastAsia="仿宋_GB2312"/>
          <w:sz w:val="30"/>
          <w:szCs w:val="30"/>
          <w:highlight w:val="none"/>
          <w:lang w:eastAsia="zh-CN"/>
        </w:rPr>
        <w:t>科创板</w:t>
      </w:r>
      <w:r>
        <w:rPr>
          <w:rFonts w:hint="eastAsia" w:ascii="仿宋_GB2312" w:hAnsi="Times New Roman" w:eastAsia="仿宋_GB2312"/>
          <w:sz w:val="30"/>
          <w:szCs w:val="30"/>
          <w:highlight w:val="none"/>
        </w:rPr>
        <w:t>上市公司自律监管指南第</w:t>
      </w:r>
      <w:r>
        <w:rPr>
          <w:rFonts w:hint="eastAsia" w:ascii="仿宋_GB2312" w:hAnsi="Times New Roman" w:eastAsia="仿宋_GB2312"/>
          <w:sz w:val="30"/>
          <w:szCs w:val="30"/>
          <w:highlight w:val="none"/>
          <w:lang w:val="en-US" w:eastAsia="zh-CN"/>
        </w:rPr>
        <w:t>13</w:t>
      </w:r>
      <w:r>
        <w:rPr>
          <w:rFonts w:hint="eastAsia" w:ascii="仿宋_GB2312" w:hAnsi="Times New Roman" w:eastAsia="仿宋_GB2312"/>
          <w:sz w:val="30"/>
          <w:szCs w:val="30"/>
          <w:highlight w:val="none"/>
        </w:rPr>
        <w:t>号——可持续发展报告编制</w:t>
      </w:r>
      <w:r>
        <w:rPr>
          <w:rFonts w:hint="eastAsia" w:ascii="仿宋_GB2312" w:hAnsi="仿宋_GB2312" w:eastAsia="仿宋_GB2312" w:cs="仿宋_GB2312"/>
          <w:sz w:val="30"/>
          <w:szCs w:val="30"/>
          <w:highlight w:val="none"/>
          <w:lang w:eastAsia="zh-CN"/>
        </w:rPr>
        <w:t>》之《第四号 能源利用》（以下简称本指南）。</w:t>
      </w:r>
    </w:p>
    <w:p w14:paraId="76297213">
      <w:pPr>
        <w:spacing w:line="560" w:lineRule="exact"/>
        <w:ind w:firstLine="0" w:firstLineChars="0"/>
        <w:jc w:val="center"/>
        <w:outlineLvl w:val="0"/>
        <w:rPr>
          <w:rFonts w:ascii="Times New Roman" w:hAnsi="Times New Roman" w:eastAsia="黑体" w:cs="Times New Roman"/>
          <w:b/>
          <w:bCs/>
          <w:sz w:val="30"/>
          <w:szCs w:val="30"/>
          <w:highlight w:val="none"/>
        </w:rPr>
      </w:pPr>
      <w:bookmarkStart w:id="0" w:name="_Toc1635"/>
      <w:bookmarkStart w:id="1" w:name="_Toc1392459207"/>
      <w:bookmarkStart w:id="2" w:name="_Toc11165"/>
      <w:bookmarkStart w:id="3" w:name="_Toc4783"/>
      <w:bookmarkStart w:id="4" w:name="_Toc32240"/>
      <w:bookmarkStart w:id="5" w:name="_Toc1376"/>
      <w:bookmarkStart w:id="6" w:name="_Toc206340555"/>
      <w:bookmarkStart w:id="7" w:name="_Toc425036875"/>
      <w:bookmarkStart w:id="8" w:name="_Toc3658"/>
      <w:r>
        <w:rPr>
          <w:rFonts w:hint="eastAsia" w:ascii="Times New Roman" w:hAnsi="Times New Roman" w:eastAsia="黑体" w:cs="Times New Roman"/>
          <w:b/>
          <w:bCs/>
          <w:sz w:val="30"/>
          <w:szCs w:val="30"/>
          <w:highlight w:val="none"/>
        </w:rPr>
        <w:t>第一章</w:t>
      </w:r>
      <w:r>
        <w:rPr>
          <w:rFonts w:ascii="Times New Roman" w:hAnsi="Times New Roman" w:eastAsia="黑体" w:cs="Times New Roman"/>
          <w:b/>
          <w:bCs/>
          <w:sz w:val="30"/>
          <w:szCs w:val="30"/>
          <w:highlight w:val="none"/>
        </w:rPr>
        <w:t xml:space="preserve"> </w:t>
      </w:r>
      <w:r>
        <w:rPr>
          <w:rFonts w:hint="eastAsia" w:ascii="Times New Roman" w:hAnsi="Times New Roman" w:eastAsia="黑体" w:cs="Times New Roman"/>
          <w:b/>
          <w:bCs/>
          <w:sz w:val="30"/>
          <w:szCs w:val="30"/>
          <w:highlight w:val="none"/>
        </w:rPr>
        <w:t>能源利用相关风险和机遇评估</w:t>
      </w:r>
      <w:bookmarkEnd w:id="0"/>
      <w:bookmarkEnd w:id="1"/>
      <w:bookmarkEnd w:id="2"/>
      <w:bookmarkEnd w:id="3"/>
      <w:bookmarkEnd w:id="4"/>
      <w:bookmarkEnd w:id="5"/>
      <w:bookmarkEnd w:id="6"/>
      <w:bookmarkEnd w:id="7"/>
      <w:bookmarkEnd w:id="8"/>
    </w:p>
    <w:p w14:paraId="6859EE44">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企业利用的能源包含多种类型，如煤炭、石油、天然气、太阳能、风能、水能、生物质能、地热能和核能等。能源利用的相关风险和机遇可能对披露主体的商业模式、业务运营、发展战略、财务状况等产生负面或正面影响。披露主体应当集约、高效利用能源，加强能源使用过程节约管理，推动生产、流通过程的减量化、再利用、再循环。</w:t>
      </w:r>
    </w:p>
    <w:p w14:paraId="1994334F">
      <w:pPr>
        <w:adjustRightInd w:val="0"/>
        <w:snapToGrid w:val="0"/>
        <w:spacing w:line="560" w:lineRule="exact"/>
        <w:ind w:firstLine="600" w:firstLineChars="200"/>
        <w:outlineLvl w:val="0"/>
        <w:rPr>
          <w:rFonts w:ascii="Times New Roman" w:hAnsi="Times New Roman" w:cs="Times New Roman"/>
          <w:kern w:val="0"/>
          <w:sz w:val="30"/>
          <w:szCs w:val="30"/>
          <w:highlight w:val="none"/>
        </w:rPr>
      </w:pPr>
      <w:bookmarkStart w:id="9" w:name="_Toc10221"/>
      <w:bookmarkStart w:id="10" w:name="_Toc608470500"/>
      <w:bookmarkStart w:id="11" w:name="_Toc16247"/>
      <w:bookmarkStart w:id="12" w:name="_Toc12650"/>
      <w:bookmarkStart w:id="13" w:name="_Toc21789"/>
      <w:bookmarkStart w:id="14" w:name="_Toc1336039591"/>
      <w:bookmarkStart w:id="15" w:name="_Toc827460722"/>
      <w:bookmarkStart w:id="16" w:name="_Toc30822"/>
      <w:r>
        <w:rPr>
          <w:rFonts w:hint="eastAsia" w:ascii="Times New Roman" w:hAnsi="Times New Roman" w:eastAsia="黑体" w:cs="Times New Roman"/>
          <w:sz w:val="30"/>
          <w:szCs w:val="30"/>
          <w:highlight w:val="none"/>
        </w:rPr>
        <w:t>一、能源利用相关风险和机遇</w:t>
      </w:r>
      <w:bookmarkEnd w:id="9"/>
      <w:bookmarkEnd w:id="10"/>
      <w:bookmarkEnd w:id="11"/>
      <w:bookmarkEnd w:id="12"/>
      <w:bookmarkEnd w:id="13"/>
      <w:bookmarkEnd w:id="14"/>
      <w:bookmarkEnd w:id="15"/>
      <w:bookmarkEnd w:id="16"/>
    </w:p>
    <w:p w14:paraId="61B4B338">
      <w:pPr>
        <w:adjustRightInd w:val="0"/>
        <w:snapToGrid w:val="0"/>
        <w:spacing w:line="560" w:lineRule="exact"/>
        <w:ind w:firstLine="602" w:firstLineChars="200"/>
        <w:outlineLvl w:val="1"/>
        <w:rPr>
          <w:rFonts w:hint="eastAsia" w:ascii="仿宋_GB2312" w:hAnsi="仿宋_GB2312" w:eastAsia="仿宋_GB2312" w:cs="仿宋_GB2312"/>
          <w:b/>
          <w:bCs/>
          <w:sz w:val="30"/>
          <w:szCs w:val="30"/>
          <w:highlight w:val="none"/>
        </w:rPr>
      </w:pPr>
      <w:bookmarkStart w:id="17" w:name="_Toc3104"/>
      <w:bookmarkStart w:id="18" w:name="_Toc31450"/>
      <w:bookmarkStart w:id="19" w:name="_Toc1798777698"/>
      <w:bookmarkStart w:id="20" w:name="_Toc2114039720"/>
      <w:bookmarkStart w:id="21" w:name="_Toc7510"/>
      <w:bookmarkStart w:id="22" w:name="_Toc19648"/>
      <w:bookmarkStart w:id="23" w:name="_Toc187328656"/>
      <w:bookmarkStart w:id="24" w:name="_Toc31903"/>
      <w:bookmarkStart w:id="25" w:name="_Toc1098015310"/>
      <w:bookmarkStart w:id="26" w:name="_Toc1986"/>
      <w:bookmarkStart w:id="27" w:name="_Toc181613080"/>
      <w:r>
        <w:rPr>
          <w:rFonts w:hint="eastAsia" w:ascii="仿宋_GB2312" w:hAnsi="仿宋_GB2312" w:eastAsia="仿宋_GB2312" w:cs="仿宋_GB2312"/>
          <w:b/>
          <w:bCs/>
          <w:sz w:val="30"/>
          <w:szCs w:val="30"/>
          <w:highlight w:val="none"/>
        </w:rPr>
        <w:t>（一）能源相关风险</w:t>
      </w:r>
      <w:bookmarkEnd w:id="17"/>
      <w:bookmarkEnd w:id="18"/>
      <w:bookmarkEnd w:id="19"/>
      <w:bookmarkEnd w:id="20"/>
      <w:bookmarkEnd w:id="21"/>
      <w:bookmarkEnd w:id="22"/>
      <w:bookmarkEnd w:id="23"/>
      <w:bookmarkEnd w:id="24"/>
      <w:bookmarkEnd w:id="25"/>
      <w:bookmarkEnd w:id="26"/>
      <w:bookmarkEnd w:id="27"/>
    </w:p>
    <w:p w14:paraId="75E759CA">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能源相关风险主要表现在能源短缺、供应中断、能源价格波动等方面对企业的影响</w:t>
      </w:r>
      <w:r>
        <w:rPr>
          <w:rFonts w:hint="eastAsia"/>
          <w:highlight w:val="none"/>
        </w:rPr>
        <w:t>。</w:t>
      </w:r>
      <w:r>
        <w:rPr>
          <w:rFonts w:hint="eastAsia"/>
          <w:highlight w:val="none"/>
          <w:lang w:eastAsia="zh-CN"/>
        </w:rPr>
        <w:t>相关事项</w:t>
      </w:r>
      <w:r>
        <w:rPr>
          <w:rFonts w:hint="eastAsia" w:ascii="仿宋_GB2312" w:hAnsi="仿宋_GB2312" w:eastAsia="仿宋_GB2312" w:cs="仿宋_GB2312"/>
          <w:sz w:val="30"/>
          <w:szCs w:val="30"/>
          <w:highlight w:val="none"/>
          <w:lang w:eastAsia="zh-CN"/>
        </w:rPr>
        <w:t>可能给披露主体带来财务影响，如资产的直接损失和供应链中断的间接影响等。</w:t>
      </w:r>
    </w:p>
    <w:p w14:paraId="51383D8D">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能源利用相关物理风险，主要包括对特定能源的依赖或者自然环境的变化等原因影响能源供应稳定性的情况，如化石能源可采储量不足及开采难度增加、极端天气破坏输电网络、炼油厂等能源基础设施等。</w:t>
      </w:r>
    </w:p>
    <w:p w14:paraId="4292502F">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能源利用相关转型风险，</w:t>
      </w:r>
      <w:r>
        <w:rPr>
          <w:rFonts w:hint="eastAsia" w:ascii="仿宋_GB2312" w:hAnsi="仿宋_GB2312" w:eastAsia="仿宋_GB2312" w:cs="仿宋_GB2312"/>
          <w:sz w:val="30"/>
          <w:szCs w:val="30"/>
          <w:highlight w:val="none"/>
          <w:lang w:eastAsia="zh-CN"/>
        </w:rPr>
        <w:t>主要包括政策、法律、技术、市场等方面的变化所产生的能源价格波动、运营成本增加的情况，如</w:t>
      </w:r>
      <w:r>
        <w:rPr>
          <w:rFonts w:hint="eastAsia" w:ascii="仿宋_GB2312" w:hAnsi="仿宋_GB2312" w:eastAsia="仿宋_GB2312" w:cs="仿宋_GB2312"/>
          <w:sz w:val="30"/>
          <w:szCs w:val="30"/>
          <w:highlight w:val="none"/>
        </w:rPr>
        <w:t>地缘政治不稳定导致能源进口受限、碳排放限额、新能源补贴退坡</w:t>
      </w:r>
      <w:r>
        <w:rPr>
          <w:rFonts w:hint="eastAsia" w:ascii="仿宋_GB2312" w:hAnsi="仿宋_GB2312" w:eastAsia="仿宋_GB2312" w:cs="仿宋_GB2312"/>
          <w:sz w:val="30"/>
          <w:szCs w:val="30"/>
          <w:highlight w:val="none"/>
          <w:lang w:eastAsia="zh-CN"/>
        </w:rPr>
        <w:t>等</w:t>
      </w:r>
      <w:r>
        <w:rPr>
          <w:rFonts w:hint="eastAsia" w:ascii="仿宋_GB2312" w:hAnsi="仿宋_GB2312" w:eastAsia="仿宋_GB2312" w:cs="仿宋_GB2312"/>
          <w:sz w:val="30"/>
          <w:szCs w:val="30"/>
          <w:highlight w:val="none"/>
        </w:rPr>
        <w:t>。</w:t>
      </w:r>
    </w:p>
    <w:p w14:paraId="1ACE6934">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公司自身业务模式或所面临的政策环境、自然环境未发生重大变化的，无需每年开展评估工作。评估工作应结合自身实际，兼顾成本的可负担性。</w:t>
      </w:r>
    </w:p>
    <w:p w14:paraId="7C0B2452">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表1：能源利用相关风险示例</w:t>
      </w:r>
    </w:p>
    <w:tbl>
      <w:tblPr>
        <w:tblStyle w:val="21"/>
        <w:tblW w:w="897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0"/>
        <w:gridCol w:w="7894"/>
      </w:tblGrid>
      <w:tr w14:paraId="157C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trPr>
        <w:tc>
          <w:tcPr>
            <w:tcW w:w="8974" w:type="dxa"/>
            <w:gridSpan w:val="2"/>
            <w:tcBorders>
              <w:tl2br w:val="nil"/>
              <w:tr2bl w:val="nil"/>
            </w:tcBorders>
            <w:vAlign w:val="center"/>
          </w:tcPr>
          <w:p w14:paraId="787D50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kern w:val="0"/>
                <w:sz w:val="24"/>
                <w:szCs w:val="24"/>
                <w:highlight w:val="none"/>
                <w:lang w:bidi="ar"/>
              </w:rPr>
              <w:t>风险示例</w:t>
            </w:r>
            <w:r>
              <w:rPr>
                <w:rFonts w:hint="eastAsia" w:ascii="仿宋_GB2312" w:hAnsi="仿宋_GB2312" w:eastAsia="仿宋_GB2312" w:cs="仿宋_GB2312"/>
                <w:b/>
                <w:bCs/>
                <w:kern w:val="0"/>
                <w:sz w:val="24"/>
                <w:szCs w:val="24"/>
                <w:highlight w:val="none"/>
                <w:lang w:bidi="ar"/>
              </w:rPr>
              <w:t>（公司可结合自身情况进行分析）</w:t>
            </w:r>
          </w:p>
        </w:tc>
      </w:tr>
      <w:tr w14:paraId="1F05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1080" w:type="dxa"/>
            <w:tcBorders>
              <w:tl2br w:val="nil"/>
              <w:tr2bl w:val="nil"/>
            </w:tcBorders>
            <w:vAlign w:val="center"/>
          </w:tcPr>
          <w:p w14:paraId="01BDD1B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能源利用相关物理风险</w:t>
            </w:r>
          </w:p>
        </w:tc>
        <w:tc>
          <w:tcPr>
            <w:tcW w:w="7894" w:type="dxa"/>
            <w:tcBorders>
              <w:tl2br w:val="nil"/>
              <w:tr2bl w:val="nil"/>
            </w:tcBorders>
          </w:tcPr>
          <w:p w14:paraId="7C870926">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1.由于极端天气、地质灾害等自然环境变化导致能源设施损坏、能源供应中断、能源生产受阻。</w:t>
            </w:r>
          </w:p>
          <w:p w14:paraId="30BFBB9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2.部分可再生能源技术对特定资源存在依赖，如储能技术相关资源锂、钴等开采和运输变化可能影响能源供应连续性及稳定性</w:t>
            </w: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光照</w:t>
            </w:r>
            <w:r>
              <w:rPr>
                <w:rFonts w:hint="eastAsia" w:ascii="仿宋_GB2312" w:hAnsi="仿宋_GB2312" w:eastAsia="仿宋_GB2312" w:cs="仿宋_GB2312"/>
                <w:color w:val="000000"/>
                <w:kern w:val="0"/>
                <w:sz w:val="24"/>
                <w:szCs w:val="24"/>
                <w:highlight w:val="none"/>
                <w:lang w:eastAsia="zh-CN" w:bidi="ar"/>
              </w:rPr>
              <w:t>波动</w:t>
            </w:r>
            <w:r>
              <w:rPr>
                <w:rFonts w:hint="eastAsia" w:ascii="仿宋_GB2312" w:hAnsi="仿宋_GB2312" w:eastAsia="仿宋_GB2312" w:cs="仿宋_GB2312"/>
                <w:color w:val="000000"/>
                <w:kern w:val="0"/>
                <w:sz w:val="24"/>
                <w:szCs w:val="24"/>
                <w:highlight w:val="none"/>
                <w:lang w:bidi="ar"/>
              </w:rPr>
              <w:t>对太阳能和光伏发电的效率将产生直接影响。</w:t>
            </w:r>
          </w:p>
          <w:p w14:paraId="00724A8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3.特定地域自然条件的变化，如化石能源可采储量不足及开采难度增加。</w:t>
            </w:r>
          </w:p>
        </w:tc>
      </w:tr>
      <w:tr w14:paraId="0AA1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080" w:type="dxa"/>
            <w:tcBorders>
              <w:tl2br w:val="nil"/>
              <w:tr2bl w:val="nil"/>
            </w:tcBorders>
            <w:vAlign w:val="center"/>
          </w:tcPr>
          <w:p w14:paraId="1ED5E028">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能源利用相关转型风险</w:t>
            </w:r>
          </w:p>
        </w:tc>
        <w:tc>
          <w:tcPr>
            <w:tcW w:w="7894" w:type="dxa"/>
            <w:tcBorders>
              <w:tl2br w:val="nil"/>
              <w:tr2bl w:val="nil"/>
            </w:tcBorders>
          </w:tcPr>
          <w:p w14:paraId="5BD60F54">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 xml:space="preserve">1.环境保护、公共政策的影响，如化石能源政策的收紧可能导致温室气体排放配额价格的上涨，或者能源效率和能耗指标的要求提高，可能导致运营成本增加。 </w:t>
            </w:r>
          </w:p>
          <w:p w14:paraId="218A0AAA">
            <w:pPr>
              <w:keepNext w:val="0"/>
              <w:keepLines w:val="0"/>
              <w:pageBreakBefore w:val="0"/>
              <w:widowControl/>
              <w:numPr>
                <w:ilvl w:val="255"/>
                <w:numId w:val="0"/>
              </w:numPr>
              <w:kinsoku/>
              <w:wordWrap/>
              <w:overflowPunct/>
              <w:topLinePunct w:val="0"/>
              <w:autoSpaceDE/>
              <w:autoSpaceDN/>
              <w:bidi w:val="0"/>
              <w:adjustRightInd w:val="0"/>
              <w:snapToGrid w:val="0"/>
              <w:spacing w:line="400" w:lineRule="exact"/>
              <w:ind w:firstLine="0" w:firstLineChars="0"/>
              <w:jc w:val="left"/>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2.客户偏好的转变，如市场对化石能源需求的减少，导致化石能源企业收入减少，或者使用化石能源的生产企业的产品销量降低、收入减少，化石能源相关生产和服务设施资产存在减值风险。</w:t>
            </w:r>
          </w:p>
          <w:p w14:paraId="136C4E6B">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left"/>
              <w:textAlignment w:val="top"/>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3.能源替代或新型低碳能源（如氢能、储能）研发，导致公司技术开发方面的资金投入增加。</w:t>
            </w:r>
          </w:p>
        </w:tc>
      </w:tr>
    </w:tbl>
    <w:p w14:paraId="59AE0B02">
      <w:pPr>
        <w:adjustRightInd w:val="0"/>
        <w:snapToGrid w:val="0"/>
        <w:spacing w:before="181" w:beforeLines="50" w:line="560" w:lineRule="exact"/>
        <w:ind w:firstLine="602" w:firstLineChars="200"/>
        <w:outlineLvl w:val="1"/>
        <w:rPr>
          <w:rFonts w:hint="eastAsia" w:ascii="仿宋_GB2312" w:hAnsi="仿宋_GB2312" w:eastAsia="仿宋_GB2312" w:cs="仿宋_GB2312"/>
          <w:b/>
          <w:bCs/>
          <w:sz w:val="30"/>
          <w:szCs w:val="30"/>
          <w:highlight w:val="none"/>
        </w:rPr>
      </w:pPr>
      <w:bookmarkStart w:id="28" w:name="_Toc3406"/>
      <w:bookmarkStart w:id="29" w:name="_Toc1263581701"/>
      <w:bookmarkStart w:id="30" w:name="_Toc2144"/>
      <w:bookmarkStart w:id="31" w:name="_Toc31616"/>
      <w:bookmarkStart w:id="32" w:name="_Toc29012"/>
      <w:bookmarkStart w:id="33" w:name="_Toc19875"/>
      <w:bookmarkStart w:id="34" w:name="_Toc187328658"/>
      <w:bookmarkStart w:id="35" w:name="_Toc9603"/>
      <w:bookmarkStart w:id="36" w:name="_Toc970128583"/>
      <w:bookmarkStart w:id="37" w:name="_Toc181613082"/>
      <w:bookmarkStart w:id="38" w:name="_Toc10069449"/>
      <w:r>
        <w:rPr>
          <w:rFonts w:hint="eastAsia" w:ascii="仿宋_GB2312" w:hAnsi="仿宋_GB2312" w:eastAsia="仿宋_GB2312" w:cs="仿宋_GB2312"/>
          <w:b/>
          <w:bCs/>
          <w:sz w:val="30"/>
          <w:szCs w:val="30"/>
          <w:highlight w:val="none"/>
        </w:rPr>
        <w:t>（二）能源相关机遇</w:t>
      </w:r>
      <w:bookmarkEnd w:id="28"/>
      <w:bookmarkEnd w:id="29"/>
      <w:bookmarkEnd w:id="30"/>
      <w:bookmarkEnd w:id="31"/>
      <w:bookmarkEnd w:id="32"/>
      <w:bookmarkEnd w:id="33"/>
      <w:bookmarkEnd w:id="34"/>
      <w:bookmarkEnd w:id="35"/>
      <w:bookmarkEnd w:id="36"/>
      <w:bookmarkEnd w:id="37"/>
      <w:bookmarkEnd w:id="38"/>
    </w:p>
    <w:p w14:paraId="47A8EB31">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能源相关机遇是指能源利用对披露主体产生的潜在积极影响，例如，通过技术创新推动能源高效利用、能源效率提升，</w:t>
      </w:r>
      <w:r>
        <w:rPr>
          <w:rFonts w:hint="eastAsia" w:ascii="仿宋_GB2312" w:hAnsi="仿宋_GB2312" w:eastAsia="仿宋_GB2312" w:cs="仿宋_GB2312"/>
          <w:sz w:val="30"/>
          <w:szCs w:val="30"/>
          <w:highlight w:val="none"/>
          <w:lang w:val="en-US" w:eastAsia="zh-CN"/>
        </w:rPr>
        <w:t>披露主体</w:t>
      </w:r>
      <w:r>
        <w:rPr>
          <w:rFonts w:hint="eastAsia" w:ascii="仿宋_GB2312" w:hAnsi="仿宋_GB2312" w:eastAsia="仿宋_GB2312" w:cs="仿宋_GB2312"/>
          <w:sz w:val="30"/>
          <w:szCs w:val="30"/>
          <w:highlight w:val="none"/>
          <w:lang w:eastAsia="zh-CN"/>
        </w:rPr>
        <w:t>能够节约成本、开发新产品和服务、拓展国际市场等，</w:t>
      </w:r>
      <w:r>
        <w:rPr>
          <w:rFonts w:hint="eastAsia" w:ascii="仿宋_GB2312" w:hAnsi="仿宋_GB2312" w:eastAsia="仿宋_GB2312" w:cs="仿宋_GB2312"/>
          <w:sz w:val="30"/>
          <w:szCs w:val="30"/>
          <w:highlight w:val="none"/>
          <w:lang w:val="en-US" w:eastAsia="zh-CN"/>
        </w:rPr>
        <w:t>进而</w:t>
      </w:r>
      <w:r>
        <w:rPr>
          <w:rFonts w:hint="eastAsia" w:ascii="仿宋_GB2312" w:hAnsi="仿宋_GB2312" w:eastAsia="仿宋_GB2312" w:cs="仿宋_GB2312"/>
          <w:sz w:val="30"/>
          <w:szCs w:val="30"/>
          <w:highlight w:val="none"/>
          <w:lang w:eastAsia="zh-CN"/>
        </w:rPr>
        <w:t>为披露主体创造更多机遇。能源相关机遇将因披露主体经营的地区、市场和行业而存在差异。典型的能源相关机遇可能涉及市场、能源资源效率、产品和服务、资本流动和融资以及声誉等方面。</w:t>
      </w:r>
    </w:p>
    <w:p w14:paraId="67E9E13E">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表2：能源利用相关机遇示例</w:t>
      </w:r>
    </w:p>
    <w:tbl>
      <w:tblPr>
        <w:tblStyle w:val="21"/>
        <w:tblW w:w="0" w:type="auto"/>
        <w:tblInd w:w="93" w:type="dxa"/>
        <w:tblLayout w:type="autofit"/>
        <w:tblCellMar>
          <w:top w:w="0" w:type="dxa"/>
          <w:left w:w="108" w:type="dxa"/>
          <w:bottom w:w="0" w:type="dxa"/>
          <w:right w:w="108" w:type="dxa"/>
        </w:tblCellMar>
      </w:tblPr>
      <w:tblGrid>
        <w:gridCol w:w="1289"/>
        <w:gridCol w:w="7474"/>
      </w:tblGrid>
      <w:tr w14:paraId="48298FC8">
        <w:tblPrEx>
          <w:tblCellMar>
            <w:top w:w="0" w:type="dxa"/>
            <w:left w:w="108" w:type="dxa"/>
            <w:bottom w:w="0" w:type="dxa"/>
            <w:right w:w="108" w:type="dxa"/>
          </w:tblCellMar>
        </w:tblPrEx>
        <w:trPr>
          <w:trHeight w:val="315" w:hRule="atLeast"/>
          <w:tblHeader/>
        </w:trPr>
        <w:tc>
          <w:tcPr>
            <w:tcW w:w="8763" w:type="dxa"/>
            <w:gridSpan w:val="2"/>
            <w:tcBorders>
              <w:top w:val="single" w:color="auto" w:sz="4" w:space="0"/>
              <w:left w:val="single" w:color="auto" w:sz="4" w:space="0"/>
              <w:bottom w:val="single" w:color="auto" w:sz="4" w:space="0"/>
              <w:right w:val="single" w:color="auto" w:sz="4" w:space="0"/>
            </w:tcBorders>
          </w:tcPr>
          <w:p w14:paraId="3433340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仿宋_GB2312" w:hAnsi="仿宋_GB2312" w:eastAsia="仿宋_GB2312" w:cs="仿宋_GB2312"/>
                <w:b/>
                <w:bCs/>
                <w:color w:val="000000"/>
                <w:kern w:val="0"/>
                <w:sz w:val="24"/>
                <w:szCs w:val="24"/>
                <w:highlight w:val="none"/>
                <w:lang w:bidi="ar"/>
              </w:rPr>
            </w:pPr>
            <w:r>
              <w:rPr>
                <w:rFonts w:hint="eastAsia" w:ascii="仿宋_GB2312" w:hAnsi="仿宋_GB2312" w:eastAsia="仿宋_GB2312" w:cs="仿宋_GB2312"/>
                <w:b/>
                <w:bCs/>
                <w:color w:val="000000"/>
                <w:kern w:val="0"/>
                <w:sz w:val="24"/>
                <w:szCs w:val="24"/>
                <w:highlight w:val="none"/>
                <w:lang w:bidi="ar"/>
              </w:rPr>
              <w:t>机遇示例</w:t>
            </w:r>
            <w:r>
              <w:rPr>
                <w:rFonts w:hint="eastAsia" w:ascii="仿宋_GB2312" w:hAnsi="仿宋_GB2312" w:eastAsia="仿宋_GB2312" w:cs="仿宋_GB2312"/>
                <w:b/>
                <w:bCs/>
                <w:kern w:val="0"/>
                <w:sz w:val="24"/>
                <w:szCs w:val="24"/>
                <w:highlight w:val="none"/>
                <w:lang w:bidi="ar"/>
              </w:rPr>
              <w:t>（公司可结合自身情况进行分析）</w:t>
            </w:r>
          </w:p>
        </w:tc>
      </w:tr>
      <w:tr w14:paraId="583CA72A">
        <w:tblPrEx>
          <w:tblCellMar>
            <w:top w:w="0" w:type="dxa"/>
            <w:left w:w="108" w:type="dxa"/>
            <w:bottom w:w="0" w:type="dxa"/>
            <w:right w:w="108" w:type="dxa"/>
          </w:tblCellMar>
        </w:tblPrEx>
        <w:trPr>
          <w:trHeight w:val="2988" w:hRule="atLeast"/>
        </w:trPr>
        <w:tc>
          <w:tcPr>
            <w:tcW w:w="0" w:type="auto"/>
            <w:tcBorders>
              <w:top w:val="single" w:color="auto" w:sz="4" w:space="0"/>
              <w:left w:val="single" w:color="auto" w:sz="4" w:space="0"/>
              <w:bottom w:val="single" w:color="auto" w:sz="4" w:space="0"/>
              <w:right w:val="single" w:color="auto" w:sz="4" w:space="0"/>
            </w:tcBorders>
            <w:vAlign w:val="center"/>
          </w:tcPr>
          <w:p w14:paraId="613CAF3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能源利用相关机遇</w:t>
            </w:r>
          </w:p>
        </w:tc>
        <w:tc>
          <w:tcPr>
            <w:tcW w:w="7474" w:type="dxa"/>
            <w:tcBorders>
              <w:top w:val="single" w:color="auto" w:sz="4" w:space="0"/>
              <w:left w:val="single" w:color="auto" w:sz="4" w:space="0"/>
              <w:bottom w:val="single" w:color="auto" w:sz="4" w:space="0"/>
              <w:right w:val="single" w:color="auto" w:sz="4" w:space="0"/>
            </w:tcBorders>
            <w:vAlign w:val="center"/>
          </w:tcPr>
          <w:p w14:paraId="3B829B80">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1.使用节能设备、梯级利用能源、建设能源管理系统可以提升能源利用效率，减少企业对能源资源的依赖，降低能源采购成本。使用可再生能源、氢能和储能等，降低企业运营成本。</w:t>
            </w:r>
          </w:p>
          <w:p w14:paraId="64ED434C">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2.</w:t>
            </w:r>
            <w:r>
              <w:rPr>
                <w:rFonts w:hint="eastAsia" w:ascii="仿宋_GB2312" w:hAnsi="仿宋_GB2312" w:eastAsia="仿宋_GB2312" w:cs="仿宋_GB2312"/>
                <w:color w:val="000000"/>
                <w:kern w:val="0"/>
                <w:sz w:val="24"/>
                <w:szCs w:val="24"/>
                <w:highlight w:val="none"/>
                <w:lang w:val="en-US" w:eastAsia="zh-CN" w:bidi="ar"/>
              </w:rPr>
              <w:t>受</w:t>
            </w:r>
            <w:r>
              <w:rPr>
                <w:rFonts w:hint="eastAsia" w:ascii="仿宋_GB2312" w:hAnsi="仿宋_GB2312" w:eastAsia="仿宋_GB2312" w:cs="仿宋_GB2312"/>
                <w:color w:val="000000"/>
                <w:kern w:val="0"/>
                <w:sz w:val="24"/>
                <w:szCs w:val="24"/>
                <w:highlight w:val="none"/>
                <w:lang w:bidi="ar"/>
              </w:rPr>
              <w:t>金融机构的绿色金融产品以及投资者偏好</w:t>
            </w:r>
            <w:r>
              <w:rPr>
                <w:rFonts w:hint="eastAsia" w:ascii="仿宋_GB2312" w:hAnsi="仿宋_GB2312" w:eastAsia="仿宋_GB2312" w:cs="仿宋_GB2312"/>
                <w:color w:val="000000"/>
                <w:kern w:val="0"/>
                <w:sz w:val="24"/>
                <w:szCs w:val="24"/>
                <w:highlight w:val="none"/>
                <w:lang w:val="en-US" w:eastAsia="zh-CN" w:bidi="ar"/>
              </w:rPr>
              <w:t>影响</w:t>
            </w:r>
            <w:r>
              <w:rPr>
                <w:rFonts w:hint="eastAsia" w:ascii="仿宋_GB2312" w:hAnsi="仿宋_GB2312" w:eastAsia="仿宋_GB2312" w:cs="仿宋_GB2312"/>
                <w:color w:val="000000"/>
                <w:kern w:val="0"/>
                <w:sz w:val="24"/>
                <w:szCs w:val="24"/>
                <w:highlight w:val="none"/>
                <w:lang w:bidi="ar"/>
              </w:rPr>
              <w:t>，能源利用效率高、环保性能好的企业和项目更易获得低成本融资支持。</w:t>
            </w:r>
          </w:p>
          <w:p w14:paraId="75A1B39D">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3.科学的能源利用与管理有利于树立良好形象，赢得客户信任，提升行业影响力和品牌价值，为企业打开新的产品及市场空间。</w:t>
            </w:r>
          </w:p>
          <w:p w14:paraId="701AC5F9">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textAlignment w:val="top"/>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4.补贴与税收优惠的政策红利，如政府对清洁能源、能效项目的补贴、免税或</w:t>
            </w:r>
            <w:r>
              <w:rPr>
                <w:rFonts w:hint="eastAsia" w:ascii="仿宋_GB2312" w:hAnsi="仿宋_GB2312" w:eastAsia="仿宋_GB2312" w:cs="仿宋_GB2312"/>
                <w:color w:val="000000"/>
                <w:kern w:val="0"/>
                <w:sz w:val="24"/>
                <w:szCs w:val="24"/>
                <w:highlight w:val="none"/>
                <w:lang w:eastAsia="zh-CN" w:bidi="ar"/>
              </w:rPr>
              <w:t>者</w:t>
            </w:r>
            <w:r>
              <w:rPr>
                <w:rFonts w:hint="eastAsia" w:ascii="仿宋_GB2312" w:hAnsi="仿宋_GB2312" w:eastAsia="仿宋_GB2312" w:cs="仿宋_GB2312"/>
                <w:color w:val="000000"/>
                <w:kern w:val="0"/>
                <w:sz w:val="24"/>
                <w:szCs w:val="24"/>
                <w:highlight w:val="none"/>
                <w:lang w:bidi="ar"/>
              </w:rPr>
              <w:t>低息贷款。</w:t>
            </w:r>
          </w:p>
        </w:tc>
      </w:tr>
    </w:tbl>
    <w:p w14:paraId="3F75F6C8">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利用相关机遇，如可再生能源技术创新、储能技术的进步，为企业提供降低能源成本、开发新能源产品的机会，可能对部分企业的基础设施投建、产业链布局等战略决策产生影响，或推动企业调整产品战略，开发低碳产品线，通过绿色认证提升品牌竞争力等。</w:t>
      </w:r>
    </w:p>
    <w:p w14:paraId="7143DD56">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披露主体无需每年评估其整个价值链的能源相关风险和机遇，可以结合披露主体实际情况，定期或不定期评估价值链能源相关风险和机遇。在发生重大事件或情况发生重大变化时，披露主体需考虑重新评估。</w:t>
      </w:r>
    </w:p>
    <w:p w14:paraId="2E7B50CE">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表3：公司重新评估价值链能源相关风险和机遇的情形</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1750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5" w:type="dxa"/>
          </w:tcPr>
          <w:p w14:paraId="35F932F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重大变化</w:t>
            </w:r>
          </w:p>
        </w:tc>
        <w:tc>
          <w:tcPr>
            <w:tcW w:w="5891" w:type="dxa"/>
          </w:tcPr>
          <w:p w14:paraId="250E3EA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示例</w:t>
            </w:r>
          </w:p>
        </w:tc>
      </w:tr>
      <w:tr w14:paraId="16C6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4BD121E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公司能源品类发生重大变化</w:t>
            </w:r>
          </w:p>
        </w:tc>
        <w:tc>
          <w:tcPr>
            <w:tcW w:w="5891" w:type="dxa"/>
            <w:vAlign w:val="center"/>
          </w:tcPr>
          <w:p w14:paraId="3E5AB5A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如公司开展能源替代工作，从燃煤改为天然气；或者公司从传统的外购电网电力，改为自建分布式光伏发电。</w:t>
            </w:r>
          </w:p>
        </w:tc>
      </w:tr>
      <w:tr w14:paraId="6137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405" w:type="dxa"/>
            <w:vAlign w:val="center"/>
          </w:tcPr>
          <w:p w14:paraId="4C55E9B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公司业务模式活动或公司结构的重大变化</w:t>
            </w:r>
          </w:p>
        </w:tc>
        <w:tc>
          <w:tcPr>
            <w:tcW w:w="5891" w:type="dxa"/>
            <w:vAlign w:val="center"/>
          </w:tcPr>
          <w:p w14:paraId="5835B59F">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如拓展公司价值链的合并或收购。</w:t>
            </w:r>
          </w:p>
        </w:tc>
      </w:tr>
      <w:tr w14:paraId="57E3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05" w:type="dxa"/>
            <w:vAlign w:val="center"/>
          </w:tcPr>
          <w:p w14:paraId="4AF2C5F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公司供应链能源政策的重大变化</w:t>
            </w:r>
          </w:p>
        </w:tc>
        <w:tc>
          <w:tcPr>
            <w:tcW w:w="5891" w:type="dxa"/>
            <w:vAlign w:val="center"/>
          </w:tcPr>
          <w:p w14:paraId="128000D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如公司价值链中的能源供应商受到公司预期之外的相关政策法规出台的影响，公司能源供给来源和结构发生重大调整。</w:t>
            </w:r>
          </w:p>
        </w:tc>
      </w:tr>
    </w:tbl>
    <w:p w14:paraId="63B4AE2D">
      <w:pPr>
        <w:adjustRightInd w:val="0"/>
        <w:snapToGrid w:val="0"/>
        <w:spacing w:line="560" w:lineRule="exact"/>
        <w:ind w:firstLine="640" w:firstLineChars="200"/>
        <w:outlineLvl w:val="0"/>
        <w:rPr>
          <w:rFonts w:ascii="Times New Roman" w:hAnsi="Times New Roman" w:eastAsia="黑体" w:cs="Times New Roman"/>
          <w:szCs w:val="30"/>
          <w:highlight w:val="none"/>
        </w:rPr>
      </w:pPr>
      <w:bookmarkStart w:id="39" w:name="_Toc31438"/>
      <w:bookmarkStart w:id="40" w:name="_Toc1381212615"/>
      <w:bookmarkStart w:id="41" w:name="_Toc4070"/>
      <w:bookmarkStart w:id="42" w:name="_Toc960864118"/>
      <w:bookmarkStart w:id="43" w:name="_Toc2220"/>
      <w:bookmarkStart w:id="44" w:name="_Toc187328662"/>
      <w:bookmarkStart w:id="45" w:name="_Toc21318"/>
      <w:bookmarkStart w:id="46" w:name="_Toc577"/>
      <w:bookmarkStart w:id="47" w:name="_Toc2888"/>
      <w:bookmarkStart w:id="48" w:name="_Toc2004327675"/>
      <w:bookmarkStart w:id="49" w:name="_Toc17242"/>
      <w:bookmarkStart w:id="50" w:name="_Toc30633"/>
      <w:r>
        <w:rPr>
          <w:rFonts w:hint="eastAsia" w:ascii="Times New Roman" w:hAnsi="Times New Roman" w:eastAsia="黑体" w:cs="Times New Roman"/>
          <w:szCs w:val="30"/>
          <w:highlight w:val="none"/>
        </w:rPr>
        <w:t>二、能源相关风险和机遇的财务影响</w:t>
      </w:r>
      <w:bookmarkEnd w:id="39"/>
      <w:bookmarkEnd w:id="40"/>
      <w:bookmarkEnd w:id="41"/>
      <w:bookmarkEnd w:id="42"/>
      <w:bookmarkEnd w:id="43"/>
      <w:bookmarkEnd w:id="44"/>
      <w:bookmarkEnd w:id="45"/>
      <w:bookmarkEnd w:id="46"/>
      <w:bookmarkEnd w:id="47"/>
      <w:bookmarkEnd w:id="48"/>
      <w:bookmarkEnd w:id="49"/>
      <w:bookmarkEnd w:id="50"/>
    </w:p>
    <w:p w14:paraId="72688279">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风险和机遇对披露主体的财务影响，是披露主体面临的能源相关风险和机遇引发的，也与披露主体管理这些风险和机遇的战略和决策有关。能源相关风险和机遇可能会影响披露主体财务状况、经营成果和现金流，包括当期财务影响和预期财务影响。</w:t>
      </w:r>
    </w:p>
    <w:p w14:paraId="0571F540">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能源相关风险和机遇的财务影响主要涉及的财务类别包括收入、支出（利润表）；资产和负债（资产负债表）以及现金流入和流出（现金流量表）等。</w:t>
      </w:r>
    </w:p>
    <w:p w14:paraId="2E423329">
      <w:pPr>
        <w:widowControl/>
        <w:adjustRightInd w:val="0"/>
        <w:snapToGrid w:val="0"/>
        <w:spacing w:line="560" w:lineRule="exact"/>
        <w:ind w:firstLine="0" w:firstLineChars="0"/>
        <w:jc w:val="center"/>
        <w:rPr>
          <w:rFonts w:ascii="Times New Roman" w:hAnsi="Times New Roman" w:eastAsia="黑体" w:cs="Times New Roman"/>
          <w:kern w:val="0"/>
          <w:sz w:val="24"/>
          <w:szCs w:val="24"/>
          <w:highlight w:val="none"/>
        </w:rPr>
      </w:pPr>
      <w:r>
        <w:rPr>
          <w:rFonts w:hint="eastAsia" w:ascii="Times New Roman" w:hAnsi="Times New Roman" w:eastAsia="黑体" w:cs="Times New Roman"/>
          <w:kern w:val="0"/>
          <w:sz w:val="24"/>
          <w:szCs w:val="24"/>
          <w:highlight w:val="none"/>
        </w:rPr>
        <w:t>表4：能源利用相关财务影响的主要类别</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0323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Pr>
          <w:p w14:paraId="62FC84B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财务类别</w:t>
            </w:r>
          </w:p>
        </w:tc>
        <w:tc>
          <w:tcPr>
            <w:tcW w:w="6741" w:type="dxa"/>
          </w:tcPr>
          <w:p w14:paraId="552E81A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描述</w:t>
            </w:r>
          </w:p>
        </w:tc>
      </w:tr>
      <w:tr w14:paraId="27BB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781C16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收入</w:t>
            </w:r>
          </w:p>
        </w:tc>
        <w:tc>
          <w:tcPr>
            <w:tcW w:w="6741" w:type="dxa"/>
          </w:tcPr>
          <w:p w14:paraId="5E858585">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极端天气事件会影响能源供应，甚至导致能源供应中断从而影响收入。随着国家对可再生能源和绿色低碳技术的大力支持，公司应考虑能源利用对收入的潜在影响，同时关注增加或创造新收入的潜在机遇。</w:t>
            </w:r>
          </w:p>
        </w:tc>
      </w:tr>
      <w:tr w14:paraId="445C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E0DA19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支出</w:t>
            </w:r>
          </w:p>
        </w:tc>
        <w:tc>
          <w:tcPr>
            <w:tcW w:w="6741" w:type="dxa"/>
          </w:tcPr>
          <w:p w14:paraId="371CCE0D">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如增加对新技术的研发支出，包括加强对氢能、储能、生物质燃料的研究和应用等，为未来能源转型奠定坚实基础。</w:t>
            </w:r>
          </w:p>
        </w:tc>
      </w:tr>
      <w:tr w14:paraId="2D56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25BDF55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资产和负债</w:t>
            </w:r>
          </w:p>
        </w:tc>
        <w:tc>
          <w:tcPr>
            <w:tcW w:w="6741" w:type="dxa"/>
          </w:tcPr>
          <w:p w14:paraId="46258DA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能效指标、气候变化及相关政策出台，制定减排目标，部分固定资产需要提前淘汰，导致固定资产减值或折旧年限缩短；由于技术进步、法律要求或市场环境变化等原因，固定资产履行弃置义务的支出金额、预计弃置时点等变动，从而引起的预计负债变动。</w:t>
            </w:r>
          </w:p>
        </w:tc>
      </w:tr>
      <w:tr w14:paraId="0CF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56D9ED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现金流等</w:t>
            </w:r>
          </w:p>
        </w:tc>
        <w:tc>
          <w:tcPr>
            <w:tcW w:w="6741" w:type="dxa"/>
          </w:tcPr>
          <w:p w14:paraId="7A846BB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如极端天气和自然灾害、政策要求等会造成能源价格和运输成本的变动对经营活动现金流产生影响。</w:t>
            </w:r>
          </w:p>
        </w:tc>
      </w:tr>
    </w:tbl>
    <w:p w14:paraId="5E540270">
      <w:pPr>
        <w:widowControl/>
        <w:adjustRightInd w:val="0"/>
        <w:snapToGrid w:val="0"/>
        <w:spacing w:line="560" w:lineRule="exact"/>
        <w:rPr>
          <w:rFonts w:ascii="Times New Roman" w:hAnsi="Times New Roman" w:cs="Times New Roman"/>
          <w:kern w:val="0"/>
          <w:szCs w:val="30"/>
          <w:highlight w:val="none"/>
        </w:rPr>
        <w:sectPr>
          <w:headerReference r:id="rId7" w:type="default"/>
          <w:footerReference r:id="rId8" w:type="default"/>
          <w:pgSz w:w="12240" w:h="15840"/>
          <w:pgMar w:top="1440" w:right="1800" w:bottom="1440" w:left="1800" w:header="708" w:footer="708" w:gutter="0"/>
          <w:pgNumType w:start="1"/>
          <w:cols w:space="708" w:num="1"/>
          <w:docGrid w:linePitch="360" w:charSpace="0"/>
        </w:sectPr>
      </w:pPr>
    </w:p>
    <w:p w14:paraId="421943BE">
      <w:pPr>
        <w:spacing w:line="560" w:lineRule="exact"/>
        <w:ind w:firstLine="0" w:firstLineChars="0"/>
        <w:jc w:val="center"/>
        <w:outlineLvl w:val="0"/>
        <w:rPr>
          <w:rFonts w:ascii="Times New Roman" w:hAnsi="Times New Roman" w:eastAsia="黑体" w:cs="Times New Roman"/>
          <w:b/>
          <w:bCs/>
          <w:szCs w:val="30"/>
          <w:highlight w:val="none"/>
        </w:rPr>
      </w:pPr>
      <w:bookmarkStart w:id="51" w:name="_Toc23765"/>
      <w:bookmarkStart w:id="52" w:name="_Toc31910"/>
      <w:bookmarkStart w:id="53" w:name="_Toc27629"/>
      <w:bookmarkStart w:id="54" w:name="_Toc5793"/>
      <w:bookmarkStart w:id="55" w:name="_Toc31591"/>
      <w:bookmarkStart w:id="56" w:name="_Toc1195165882"/>
      <w:bookmarkStart w:id="57" w:name="_Toc31027"/>
      <w:bookmarkStart w:id="58" w:name="_Toc22178"/>
      <w:bookmarkStart w:id="59" w:name="_Toc21460"/>
      <w:bookmarkStart w:id="60" w:name="_Toc323297661"/>
      <w:bookmarkStart w:id="61" w:name="_Toc181613100"/>
      <w:bookmarkStart w:id="62" w:name="_Toc187328676"/>
      <w:bookmarkStart w:id="63" w:name="_Toc29898"/>
      <w:bookmarkStart w:id="64" w:name="_Toc618516701"/>
      <w:r>
        <w:rPr>
          <w:rFonts w:hint="eastAsia" w:ascii="Times New Roman" w:hAnsi="Times New Roman" w:eastAsia="黑体" w:cs="Times New Roman"/>
          <w:b/>
          <w:bCs/>
          <w:szCs w:val="30"/>
          <w:highlight w:val="none"/>
        </w:rPr>
        <w:t>第二章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综合能耗核算方法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6777B33">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披露主体可以参考国家相关部门政策要求或相关国家标准进行综合能耗的计算和披露。综合能耗计算范围包括披露主体实际消耗的直接能源和间接能源等各种能源</w:t>
      </w:r>
      <w:r>
        <w:rPr>
          <w:rFonts w:hint="eastAsia" w:ascii="仿宋_GB2312" w:hAnsi="仿宋_GB2312" w:eastAsia="仿宋_GB2312" w:cs="仿宋_GB2312"/>
          <w:color w:val="333333"/>
          <w:sz w:val="30"/>
          <w:szCs w:val="30"/>
          <w:highlight w:val="none"/>
          <w:shd w:val="clear" w:color="auto" w:fill="FFFFFF"/>
        </w:rPr>
        <w:t>。</w:t>
      </w:r>
      <w:r>
        <w:rPr>
          <w:rFonts w:hint="eastAsia" w:ascii="仿宋_GB2312" w:hAnsi="仿宋_GB2312" w:eastAsia="仿宋_GB2312" w:cs="仿宋_GB2312"/>
          <w:sz w:val="30"/>
          <w:szCs w:val="30"/>
          <w:highlight w:val="none"/>
        </w:rPr>
        <w:t>直接能源包括煤炭、汽油、柴油、天然气、液化石油气等，间接能源包括电力、蒸汽、热水等。内部储存、转换及分配供应（包括外销）过程中的能源损耗，应</w:t>
      </w:r>
      <w:r>
        <w:rPr>
          <w:rFonts w:hint="eastAsia" w:ascii="仿宋_GB2312" w:hAnsi="仿宋_GB2312" w:eastAsia="仿宋_GB2312" w:cs="仿宋_GB2312"/>
          <w:sz w:val="30"/>
          <w:szCs w:val="30"/>
          <w:highlight w:val="none"/>
          <w:lang w:eastAsia="zh-CN"/>
        </w:rPr>
        <w:t>当</w:t>
      </w:r>
      <w:r>
        <w:rPr>
          <w:rFonts w:hint="eastAsia" w:ascii="仿宋_GB2312" w:hAnsi="仿宋_GB2312" w:eastAsia="仿宋_GB2312" w:cs="仿宋_GB2312"/>
          <w:sz w:val="30"/>
          <w:szCs w:val="30"/>
          <w:highlight w:val="none"/>
        </w:rPr>
        <w:t>计入综合能耗。综合能耗计算时需扣除企业能源加工转换产出的能源，如余热发电量，但余热发电系统的能源消耗需计入综合能耗。</w:t>
      </w:r>
    </w:p>
    <w:p w14:paraId="54FE6AFC">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计算综合能耗可</w:t>
      </w:r>
      <w:r>
        <w:rPr>
          <w:rFonts w:hint="eastAsia" w:ascii="仿宋_GB2312" w:hAnsi="仿宋_GB2312" w:eastAsia="仿宋_GB2312" w:cs="仿宋_GB2312"/>
          <w:sz w:val="30"/>
          <w:szCs w:val="30"/>
          <w:highlight w:val="none"/>
          <w:lang w:eastAsia="zh-CN"/>
        </w:rPr>
        <w:t>以</w:t>
      </w:r>
      <w:r>
        <w:rPr>
          <w:rFonts w:hint="eastAsia" w:ascii="仿宋_GB2312" w:hAnsi="仿宋_GB2312" w:eastAsia="仿宋_GB2312" w:cs="仿宋_GB2312"/>
          <w:sz w:val="30"/>
          <w:szCs w:val="30"/>
          <w:highlight w:val="none"/>
        </w:rPr>
        <w:t>采用的原始数据包括能源计量器具读数记录、能耗在线监测系统数据记录、能源统计报表、发货单、能源费用账单等。</w:t>
      </w:r>
    </w:p>
    <w:p w14:paraId="4973F5E1">
      <w:pPr>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综合能耗一般按公式（1）计算：</w:t>
      </w:r>
    </w:p>
    <w:p w14:paraId="0628534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_GB2312" w:hAnsi="仿宋_GB2312" w:eastAsia="仿宋_GB2312" w:cs="仿宋_GB2312"/>
          <w:sz w:val="30"/>
          <w:szCs w:val="30"/>
          <w:highlight w:val="none"/>
        </w:rPr>
      </w:pPr>
      <m:oMath>
        <m:r>
          <m:rPr/>
          <w:rPr>
            <w:rFonts w:hint="eastAsia" w:ascii="DejaVu Math TeX Gyre" w:hAnsi="DejaVu Math TeX Gyre" w:eastAsia="仿宋_GB2312" w:cs="仿宋_GB2312"/>
            <w:sz w:val="30"/>
            <w:szCs w:val="30"/>
            <w:highlight w:val="none"/>
          </w:rPr>
          <m:t>E=</m:t>
        </m:r>
        <m:nary>
          <m:naryPr>
            <m:chr m:val="∑"/>
            <m:limLoc m:val="subSup"/>
            <m:ctrlPr>
              <w:rPr>
                <w:rFonts w:hint="eastAsia" w:ascii="DejaVu Math TeX Gyre" w:hAnsi="DejaVu Math TeX Gyre" w:eastAsia="仿宋_GB2312" w:cs="仿宋_GB2312"/>
                <w:i/>
                <w:sz w:val="30"/>
                <w:szCs w:val="30"/>
                <w:highlight w:val="none"/>
              </w:rPr>
            </m:ctrlPr>
          </m:naryPr>
          <m:sub>
            <m:r>
              <m:rPr/>
              <w:rPr>
                <w:rFonts w:hint="eastAsia" w:ascii="DejaVu Math TeX Gyre" w:hAnsi="DejaVu Math TeX Gyre" w:eastAsia="仿宋_GB2312" w:cs="仿宋_GB2312"/>
                <w:sz w:val="30"/>
                <w:szCs w:val="30"/>
                <w:highlight w:val="none"/>
              </w:rPr>
              <m:t>i=1</m:t>
            </m:r>
            <m:ctrlPr>
              <w:rPr>
                <w:rFonts w:hint="eastAsia" w:ascii="DejaVu Math TeX Gyre" w:hAnsi="DejaVu Math TeX Gyre" w:eastAsia="仿宋_GB2312" w:cs="仿宋_GB2312"/>
                <w:i/>
                <w:sz w:val="30"/>
                <w:szCs w:val="30"/>
                <w:highlight w:val="none"/>
              </w:rPr>
            </m:ctrlPr>
          </m:sub>
          <m:sup>
            <m:r>
              <m:rPr/>
              <w:rPr>
                <w:rFonts w:hint="eastAsia" w:ascii="DejaVu Math TeX Gyre" w:hAnsi="DejaVu Math TeX Gyre" w:eastAsia="仿宋_GB2312" w:cs="仿宋_GB2312"/>
                <w:sz w:val="30"/>
                <w:szCs w:val="30"/>
                <w:highlight w:val="none"/>
              </w:rPr>
              <m:t>n</m:t>
            </m:r>
            <m:ctrlPr>
              <w:rPr>
                <w:rFonts w:hint="eastAsia" w:ascii="DejaVu Math TeX Gyre" w:hAnsi="DejaVu Math TeX Gyre" w:eastAsia="仿宋_GB2312" w:cs="仿宋_GB2312"/>
                <w:i/>
                <w:sz w:val="30"/>
                <w:szCs w:val="30"/>
                <w:highlight w:val="none"/>
              </w:rPr>
            </m:ctrlPr>
          </m:sup>
          <m:e>
            <m:r>
              <m:rPr/>
              <w:rPr>
                <w:rFonts w:hint="eastAsia" w:ascii="DejaVu Math TeX Gyre" w:hAnsi="DejaVu Math TeX Gyre" w:eastAsia="仿宋_GB2312" w:cs="仿宋_GB2312"/>
                <w:sz w:val="30"/>
                <w:szCs w:val="30"/>
                <w:highlight w:val="none"/>
              </w:rPr>
              <m:t>(</m:t>
            </m:r>
            <m:sSub>
              <m:sSubPr>
                <m:ctrlPr>
                  <w:rPr>
                    <w:rFonts w:hint="eastAsia" w:ascii="DejaVu Math TeX Gyre" w:hAnsi="DejaVu Math TeX Gyre" w:eastAsia="仿宋_GB2312" w:cs="仿宋_GB2312"/>
                    <w:i/>
                    <w:sz w:val="30"/>
                    <w:szCs w:val="30"/>
                    <w:highlight w:val="none"/>
                    <w:vertAlign w:val="subscript"/>
                  </w:rPr>
                </m:ctrlPr>
              </m:sSubPr>
              <m:e>
                <m:r>
                  <m:rPr/>
                  <w:rPr>
                    <w:rFonts w:hint="eastAsia" w:ascii="DejaVu Math TeX Gyre" w:hAnsi="DejaVu Math TeX Gyre" w:eastAsia="仿宋_GB2312" w:cs="仿宋_GB2312"/>
                    <w:sz w:val="30"/>
                    <w:szCs w:val="30"/>
                    <w:highlight w:val="none"/>
                    <w:vertAlign w:val="subscript"/>
                  </w:rPr>
                  <m:t>E</m:t>
                </m:r>
                <m:ctrlPr>
                  <w:rPr>
                    <w:rFonts w:hint="eastAsia" w:ascii="DejaVu Math TeX Gyre" w:hAnsi="DejaVu Math TeX Gyre" w:eastAsia="仿宋_GB2312" w:cs="仿宋_GB2312"/>
                    <w:i/>
                    <w:sz w:val="30"/>
                    <w:szCs w:val="30"/>
                    <w:highlight w:val="none"/>
                    <w:vertAlign w:val="subscript"/>
                  </w:rPr>
                </m:ctrlPr>
              </m:e>
              <m:sub>
                <m:r>
                  <m:rPr/>
                  <w:rPr>
                    <w:rFonts w:hint="eastAsia" w:ascii="DejaVu Math TeX Gyre" w:hAnsi="DejaVu Math TeX Gyre" w:eastAsia="仿宋_GB2312" w:cs="仿宋_GB2312"/>
                    <w:sz w:val="30"/>
                    <w:szCs w:val="30"/>
                    <w:highlight w:val="none"/>
                    <w:vertAlign w:val="subscript"/>
                  </w:rPr>
                  <m:t>i</m:t>
                </m:r>
                <m:ctrlPr>
                  <w:rPr>
                    <w:rFonts w:hint="eastAsia" w:ascii="DejaVu Math TeX Gyre" w:hAnsi="DejaVu Math TeX Gyre" w:eastAsia="仿宋_GB2312" w:cs="仿宋_GB2312"/>
                    <w:i/>
                    <w:sz w:val="30"/>
                    <w:szCs w:val="30"/>
                    <w:highlight w:val="none"/>
                    <w:vertAlign w:val="subscript"/>
                  </w:rPr>
                </m:ctrlPr>
              </m:sub>
            </m:sSub>
            <m:r>
              <m:rPr/>
              <w:rPr>
                <w:rFonts w:hint="eastAsia" w:ascii="DejaVu Math TeX Gyre" w:hAnsi="DejaVu Math TeX Gyre" w:eastAsia="仿宋_GB2312" w:cs="仿宋_GB2312"/>
                <w:sz w:val="30"/>
                <w:szCs w:val="30"/>
                <w:highlight w:val="none"/>
              </w:rPr>
              <m:t>×</m:t>
            </m:r>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k</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ctrlPr>
              <w:rPr>
                <w:rFonts w:hint="eastAsia" w:ascii="DejaVu Math TeX Gyre" w:hAnsi="DejaVu Math TeX Gyre" w:eastAsia="仿宋_GB2312" w:cs="仿宋_GB2312"/>
                <w:i/>
                <w:sz w:val="30"/>
                <w:szCs w:val="30"/>
                <w:highlight w:val="none"/>
              </w:rPr>
            </m:ctrlPr>
          </m:e>
        </m:nary>
        <m:r>
          <m:rPr/>
          <w:rPr>
            <w:rFonts w:hint="eastAsia" w:ascii="DejaVu Math TeX Gyre" w:hAnsi="DejaVu Math TeX Gyre" w:eastAsia="仿宋_GB2312" w:cs="仿宋_GB2312"/>
            <w:sz w:val="30"/>
            <w:szCs w:val="30"/>
            <w:highlight w:val="none"/>
          </w:rPr>
          <m:t>)/1000</m:t>
        </m:r>
      </m:oMath>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rPr>
        <w:fldChar w:fldCharType="begin"/>
      </w:r>
      <w:r>
        <w:rPr>
          <w:rFonts w:hint="eastAsia" w:ascii="仿宋_GB2312" w:hAnsi="仿宋_GB2312" w:eastAsia="仿宋_GB2312" w:cs="仿宋_GB2312"/>
          <w:sz w:val="30"/>
          <w:szCs w:val="30"/>
          <w:highlight w:val="none"/>
        </w:rPr>
        <w:instrText xml:space="preserve"> SEQ Equation \* ARABIC </w:instrText>
      </w:r>
      <w:r>
        <w:rPr>
          <w:rFonts w:hint="eastAsia" w:ascii="仿宋_GB2312" w:hAnsi="仿宋_GB2312" w:eastAsia="仿宋_GB2312" w:cs="仿宋_GB2312"/>
          <w:sz w:val="30"/>
          <w:szCs w:val="30"/>
          <w:highlight w:val="none"/>
        </w:rPr>
        <w:fldChar w:fldCharType="separate"/>
      </w: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rPr>
        <w:fldChar w:fldCharType="end"/>
      </w:r>
      <w:r>
        <w:rPr>
          <w:rFonts w:hint="eastAsia" w:ascii="仿宋_GB2312" w:hAnsi="仿宋_GB2312" w:eastAsia="仿宋_GB2312" w:cs="仿宋_GB2312"/>
          <w:sz w:val="30"/>
          <w:szCs w:val="30"/>
          <w:highlight w:val="none"/>
        </w:rPr>
        <w:t>）</w:t>
      </w:r>
    </w:p>
    <w:p w14:paraId="6E796627">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式中：</w:t>
      </w:r>
    </w:p>
    <w:tbl>
      <w:tblPr>
        <w:tblStyle w:val="21"/>
        <w:tblW w:w="5000" w:type="pct"/>
        <w:jc w:val="center"/>
        <w:tblLayout w:type="fixed"/>
        <w:tblCellMar>
          <w:top w:w="0" w:type="dxa"/>
          <w:left w:w="108" w:type="dxa"/>
          <w:bottom w:w="0" w:type="dxa"/>
          <w:right w:w="108" w:type="dxa"/>
        </w:tblCellMar>
      </w:tblPr>
      <w:tblGrid>
        <w:gridCol w:w="1425"/>
        <w:gridCol w:w="291"/>
        <w:gridCol w:w="6806"/>
      </w:tblGrid>
      <w:tr w14:paraId="622E68F2">
        <w:tblPrEx>
          <w:tblCellMar>
            <w:top w:w="0" w:type="dxa"/>
            <w:left w:w="108" w:type="dxa"/>
            <w:bottom w:w="0" w:type="dxa"/>
            <w:right w:w="108" w:type="dxa"/>
          </w:tblCellMar>
        </w:tblPrEx>
        <w:trPr>
          <w:jc w:val="center"/>
        </w:trPr>
        <w:tc>
          <w:tcPr>
            <w:tcW w:w="1440" w:type="dxa"/>
          </w:tcPr>
          <w:p w14:paraId="32620F8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vertAlign w:val="subscript"/>
              </w:rPr>
            </w:pPr>
            <w:r>
              <w:rPr>
                <w:rFonts w:hint="default" w:ascii="Times New Roman" w:hAnsi="Times New Roman" w:eastAsia="仿宋_GB2312" w:cs="Times New Roman"/>
                <w:i/>
                <w:iCs/>
                <w:sz w:val="30"/>
                <w:szCs w:val="30"/>
                <w:highlight w:val="none"/>
              </w:rPr>
              <w:t xml:space="preserve">E                  </w:t>
            </w:r>
          </w:p>
        </w:tc>
        <w:tc>
          <w:tcPr>
            <w:tcW w:w="286" w:type="dxa"/>
          </w:tcPr>
          <w:p w14:paraId="063665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3EE785A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综合能耗，单位为吨标准煤（tce）；</w:t>
            </w:r>
          </w:p>
        </w:tc>
      </w:tr>
      <w:tr w14:paraId="1F21B7E6">
        <w:tblPrEx>
          <w:tblCellMar>
            <w:top w:w="0" w:type="dxa"/>
            <w:left w:w="108" w:type="dxa"/>
            <w:bottom w:w="0" w:type="dxa"/>
            <w:right w:w="108" w:type="dxa"/>
          </w:tblCellMar>
        </w:tblPrEx>
        <w:trPr>
          <w:jc w:val="center"/>
        </w:trPr>
        <w:tc>
          <w:tcPr>
            <w:tcW w:w="1440" w:type="dxa"/>
          </w:tcPr>
          <w:p w14:paraId="2420033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rPr>
            </w:pPr>
            <w:r>
              <w:rPr>
                <w:rFonts w:hint="default" w:ascii="Times New Roman" w:hAnsi="Times New Roman" w:eastAsia="仿宋_GB2312" w:cs="Times New Roman"/>
                <w:i/>
                <w:iCs/>
                <w:sz w:val="30"/>
                <w:szCs w:val="30"/>
                <w:highlight w:val="none"/>
              </w:rPr>
              <w:t>E</w:t>
            </w:r>
            <w:r>
              <w:rPr>
                <w:rFonts w:hint="default" w:ascii="Times New Roman" w:hAnsi="Times New Roman" w:eastAsia="仿宋_GB2312" w:cs="Times New Roman"/>
                <w:i/>
                <w:iCs/>
                <w:sz w:val="30"/>
                <w:szCs w:val="30"/>
                <w:highlight w:val="none"/>
                <w:vertAlign w:val="subscript"/>
              </w:rPr>
              <w:t>i</w:t>
            </w:r>
          </w:p>
        </w:tc>
        <w:tc>
          <w:tcPr>
            <w:tcW w:w="286" w:type="dxa"/>
          </w:tcPr>
          <w:p w14:paraId="4B30582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474BA6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生产和／或服务活动中实际消耗的第</w:t>
            </w:r>
            <w:r>
              <w:rPr>
                <w:rFonts w:hint="default" w:ascii="Times New Roman" w:hAnsi="Times New Roman" w:eastAsia="仿宋_GB2312" w:cs="Times New Roman"/>
                <w:i/>
                <w:iCs/>
                <w:sz w:val="30"/>
                <w:szCs w:val="30"/>
                <w:highlight w:val="none"/>
              </w:rPr>
              <w:t>i</w:t>
            </w:r>
            <w:r>
              <w:rPr>
                <w:rFonts w:hint="default" w:ascii="Times New Roman" w:hAnsi="Times New Roman" w:eastAsia="仿宋_GB2312" w:cs="Times New Roman"/>
                <w:sz w:val="30"/>
                <w:szCs w:val="30"/>
                <w:highlight w:val="none"/>
              </w:rPr>
              <w:t>种能源量，对固体和液体化石燃料，单位为千克（kg）；对气体化石燃料，单位为立方米（m</w:t>
            </w:r>
            <w:r>
              <w:rPr>
                <w:rFonts w:hint="default" w:ascii="Times New Roman" w:hAnsi="Times New Roman" w:eastAsia="仿宋_GB2312" w:cs="Times New Roman"/>
                <w:sz w:val="30"/>
                <w:szCs w:val="30"/>
                <w:highlight w:val="none"/>
                <w:vertAlign w:val="superscript"/>
              </w:rPr>
              <w:t>3</w:t>
            </w:r>
            <w:r>
              <w:rPr>
                <w:rFonts w:hint="default" w:ascii="Times New Roman" w:hAnsi="Times New Roman" w:eastAsia="仿宋_GB2312" w:cs="Times New Roman"/>
                <w:sz w:val="30"/>
                <w:szCs w:val="30"/>
                <w:highlight w:val="none"/>
              </w:rPr>
              <w:t>）；对于电力，单位为千瓦时（kWh）；对于热力，单位为兆焦（MJ）；</w:t>
            </w:r>
          </w:p>
        </w:tc>
      </w:tr>
      <w:tr w14:paraId="47F008DE">
        <w:tblPrEx>
          <w:tblCellMar>
            <w:top w:w="0" w:type="dxa"/>
            <w:left w:w="108" w:type="dxa"/>
            <w:bottom w:w="0" w:type="dxa"/>
            <w:right w:w="108" w:type="dxa"/>
          </w:tblCellMar>
        </w:tblPrEx>
        <w:trPr>
          <w:jc w:val="center"/>
        </w:trPr>
        <w:tc>
          <w:tcPr>
            <w:tcW w:w="1440" w:type="dxa"/>
          </w:tcPr>
          <w:p w14:paraId="43F2509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rPr>
            </w:pPr>
            <w:r>
              <w:rPr>
                <w:rFonts w:hint="default" w:ascii="Times New Roman" w:hAnsi="Times New Roman" w:eastAsia="仿宋_GB2312" w:cs="Times New Roman"/>
                <w:i/>
                <w:iCs/>
                <w:sz w:val="30"/>
                <w:szCs w:val="30"/>
                <w:highlight w:val="none"/>
              </w:rPr>
              <w:t>k</w:t>
            </w:r>
            <w:r>
              <w:rPr>
                <w:rFonts w:hint="default" w:ascii="Times New Roman" w:hAnsi="Times New Roman" w:eastAsia="仿宋_GB2312" w:cs="Times New Roman"/>
                <w:i/>
                <w:iCs/>
                <w:sz w:val="30"/>
                <w:szCs w:val="30"/>
                <w:highlight w:val="none"/>
                <w:vertAlign w:val="subscript"/>
              </w:rPr>
              <w:t>i</w:t>
            </w:r>
          </w:p>
        </w:tc>
        <w:tc>
          <w:tcPr>
            <w:tcW w:w="286" w:type="dxa"/>
          </w:tcPr>
          <w:p w14:paraId="507EA51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46A3891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第</w:t>
            </w:r>
            <w:r>
              <w:rPr>
                <w:rFonts w:hint="default" w:ascii="Times New Roman" w:hAnsi="Times New Roman" w:eastAsia="仿宋_GB2312" w:cs="Times New Roman"/>
                <w:i/>
                <w:iCs/>
                <w:sz w:val="30"/>
                <w:szCs w:val="30"/>
                <w:highlight w:val="none"/>
              </w:rPr>
              <w:t>i</w:t>
            </w:r>
            <w:r>
              <w:rPr>
                <w:rFonts w:hint="default" w:ascii="Times New Roman" w:hAnsi="Times New Roman" w:eastAsia="仿宋_GB2312" w:cs="Times New Roman"/>
                <w:sz w:val="30"/>
                <w:szCs w:val="30"/>
                <w:highlight w:val="none"/>
              </w:rPr>
              <w:t>种能源的折标准煤系数，对固体和液体化石燃料，单位为千克标准煤每千克（kgce/kg）；对气体化石燃料，单位为千克标准煤每立方米（kgce/m</w:t>
            </w:r>
            <w:r>
              <w:rPr>
                <w:rFonts w:hint="default" w:ascii="Times New Roman" w:hAnsi="Times New Roman" w:eastAsia="仿宋_GB2312" w:cs="Times New Roman"/>
                <w:sz w:val="30"/>
                <w:szCs w:val="30"/>
                <w:highlight w:val="none"/>
                <w:vertAlign w:val="superscript"/>
              </w:rPr>
              <w:t>3</w:t>
            </w:r>
            <w:r>
              <w:rPr>
                <w:rFonts w:hint="default" w:ascii="Times New Roman" w:hAnsi="Times New Roman" w:eastAsia="仿宋_GB2312" w:cs="Times New Roman"/>
                <w:sz w:val="30"/>
                <w:szCs w:val="30"/>
                <w:highlight w:val="none"/>
              </w:rPr>
              <w:t>）；对于电力，单位为千克标准煤每千瓦时（kgce/kWh）；对于热力，单位为千克标准煤每兆焦（kgce/MJ）；</w:t>
            </w:r>
          </w:p>
        </w:tc>
      </w:tr>
      <w:tr w14:paraId="03B3AF20">
        <w:tblPrEx>
          <w:tblCellMar>
            <w:top w:w="0" w:type="dxa"/>
            <w:left w:w="108" w:type="dxa"/>
            <w:bottom w:w="0" w:type="dxa"/>
            <w:right w:w="108" w:type="dxa"/>
          </w:tblCellMar>
        </w:tblPrEx>
        <w:trPr>
          <w:jc w:val="center"/>
        </w:trPr>
        <w:tc>
          <w:tcPr>
            <w:tcW w:w="1440" w:type="dxa"/>
          </w:tcPr>
          <w:p w14:paraId="3445EB4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i/>
                <w:iCs/>
                <w:sz w:val="30"/>
                <w:szCs w:val="30"/>
                <w:highlight w:val="none"/>
              </w:rPr>
            </w:pPr>
            <w:r>
              <w:rPr>
                <w:rFonts w:hint="default" w:ascii="Times New Roman" w:hAnsi="Times New Roman" w:eastAsia="仿宋_GB2312" w:cs="Times New Roman"/>
                <w:i/>
                <w:iCs/>
                <w:sz w:val="30"/>
                <w:szCs w:val="30"/>
                <w:highlight w:val="none"/>
              </w:rPr>
              <w:t>i</w:t>
            </w:r>
          </w:p>
        </w:tc>
        <w:tc>
          <w:tcPr>
            <w:tcW w:w="286" w:type="dxa"/>
          </w:tcPr>
          <w:p w14:paraId="07D2B9E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w:t>
            </w:r>
          </w:p>
        </w:tc>
        <w:tc>
          <w:tcPr>
            <w:tcW w:w="6914" w:type="dxa"/>
          </w:tcPr>
          <w:p w14:paraId="5B321B7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消耗的能源种类</w:t>
            </w:r>
          </w:p>
        </w:tc>
      </w:tr>
    </w:tbl>
    <w:p w14:paraId="507299DF">
      <w:pPr>
        <w:spacing w:before="156" w:beforeLines="50"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对于实际消耗的燃料能源，优先以收到基低位发热量为计算依据折标准煤系数。具体按公式（2）计算：</w:t>
      </w:r>
    </w:p>
    <w:p w14:paraId="710C61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0"/>
          <w:szCs w:val="30"/>
          <w:highlight w:val="none"/>
        </w:rPr>
      </w:pPr>
      <m:oMathPara>
        <m:oMath>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k</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r>
            <m:rPr/>
            <w:rPr>
              <w:rFonts w:hint="eastAsia" w:ascii="DejaVu Math TeX Gyre" w:hAnsi="DejaVu Math TeX Gyre" w:eastAsia="仿宋_GB2312" w:cs="仿宋_GB2312"/>
              <w:sz w:val="30"/>
              <w:szCs w:val="30"/>
              <w:highlight w:val="none"/>
            </w:rPr>
            <m:t>=</m:t>
          </m:r>
          <m:f>
            <m:fPr>
              <m:ctrlPr>
                <w:rPr>
                  <w:rFonts w:hint="eastAsia" w:ascii="DejaVu Math TeX Gyre" w:hAnsi="DejaVu Math TeX Gyre" w:eastAsia="仿宋_GB2312" w:cs="仿宋_GB2312"/>
                  <w:i/>
                  <w:sz w:val="30"/>
                  <w:szCs w:val="30"/>
                  <w:highlight w:val="none"/>
                </w:rPr>
              </m:ctrlPr>
            </m:fPr>
            <m:num>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NCV</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ctrlPr>
                <w:rPr>
                  <w:rFonts w:hint="eastAsia" w:ascii="DejaVu Math TeX Gyre" w:hAnsi="DejaVu Math TeX Gyre" w:eastAsia="仿宋_GB2312" w:cs="仿宋_GB2312"/>
                  <w:i/>
                  <w:sz w:val="30"/>
                  <w:szCs w:val="30"/>
                  <w:highlight w:val="none"/>
                </w:rPr>
              </m:ctrlPr>
            </m:num>
            <m:den>
              <m:r>
                <m:rPr/>
                <w:rPr>
                  <w:rFonts w:hint="eastAsia" w:ascii="DejaVu Math TeX Gyre" w:hAnsi="DejaVu Math TeX Gyre" w:eastAsia="仿宋_GB2312" w:cs="仿宋_GB2312"/>
                  <w:sz w:val="30"/>
                  <w:szCs w:val="30"/>
                  <w:highlight w:val="none"/>
                </w:rPr>
                <m:t>29307.6</m:t>
              </m:r>
              <m:ctrlPr>
                <w:rPr>
                  <w:rFonts w:hint="eastAsia" w:ascii="DejaVu Math TeX Gyre" w:hAnsi="DejaVu Math TeX Gyre" w:eastAsia="仿宋_GB2312" w:cs="仿宋_GB2312"/>
                  <w:i/>
                  <w:sz w:val="30"/>
                  <w:szCs w:val="30"/>
                  <w:highlight w:val="none"/>
                </w:rPr>
              </m:ctrlPr>
            </m:den>
          </m:f>
          <m:r>
            <m:rPr/>
            <w:rPr>
              <w:rFonts w:hint="eastAsia" w:ascii="DejaVu Math TeX Gyre" w:hAnsi="DejaVu Math TeX Gyre" w:eastAsia="仿宋_GB2312" w:cs="仿宋_GB2312"/>
              <w:sz w:val="30"/>
              <w:szCs w:val="30"/>
              <w:highlight w:val="none"/>
            </w:rPr>
            <m:t>…………………………………</m:t>
          </m:r>
          <m:r>
            <m:rPr>
              <m:sty m:val="p"/>
            </m:rPr>
            <w:rPr>
              <w:rFonts w:hint="eastAsia" w:ascii="DejaVu Math TeX Gyre" w:hAnsi="DejaVu Math TeX Gyre" w:eastAsia="仿宋_GB2312" w:cs="仿宋_GB2312"/>
              <w:sz w:val="30"/>
              <w:szCs w:val="30"/>
              <w:highlight w:val="none"/>
            </w:rPr>
            <m:t>（2）</m:t>
          </m:r>
        </m:oMath>
      </m:oMathPara>
    </w:p>
    <w:p w14:paraId="3D6D7E7C">
      <w:pPr>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式中：</w:t>
      </w:r>
    </w:p>
    <w:tbl>
      <w:tblPr>
        <w:tblStyle w:val="21"/>
        <w:tblW w:w="5000" w:type="pct"/>
        <w:jc w:val="center"/>
        <w:tblLayout w:type="fixed"/>
        <w:tblCellMar>
          <w:top w:w="0" w:type="dxa"/>
          <w:left w:w="108" w:type="dxa"/>
          <w:bottom w:w="0" w:type="dxa"/>
          <w:right w:w="108" w:type="dxa"/>
        </w:tblCellMar>
      </w:tblPr>
      <w:tblGrid>
        <w:gridCol w:w="1425"/>
        <w:gridCol w:w="291"/>
        <w:gridCol w:w="6806"/>
      </w:tblGrid>
      <w:tr w14:paraId="3A3DF459">
        <w:tblPrEx>
          <w:tblCellMar>
            <w:top w:w="0" w:type="dxa"/>
            <w:left w:w="108" w:type="dxa"/>
            <w:bottom w:w="0" w:type="dxa"/>
            <w:right w:w="108" w:type="dxa"/>
          </w:tblCellMar>
        </w:tblPrEx>
        <w:trPr>
          <w:jc w:val="center"/>
        </w:trPr>
        <w:tc>
          <w:tcPr>
            <w:tcW w:w="1440" w:type="dxa"/>
          </w:tcPr>
          <w:p w14:paraId="4031314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i/>
                <w:iCs/>
                <w:sz w:val="30"/>
                <w:szCs w:val="30"/>
                <w:highlight w:val="none"/>
                <w:vertAlign w:val="subscript"/>
              </w:rPr>
            </w:pPr>
            <m:oMathPara>
              <m:oMath>
                <m:sSub>
                  <m:sSubPr>
                    <m:ctrlPr>
                      <w:rPr>
                        <w:rFonts w:hint="eastAsia" w:ascii="DejaVu Math TeX Gyre" w:hAnsi="DejaVu Math TeX Gyre" w:eastAsia="仿宋_GB2312" w:cs="仿宋_GB2312"/>
                        <w:i/>
                        <w:sz w:val="30"/>
                        <w:szCs w:val="30"/>
                        <w:highlight w:val="none"/>
                      </w:rPr>
                    </m:ctrlPr>
                  </m:sSubPr>
                  <m:e>
                    <m:r>
                      <m:rPr/>
                      <w:rPr>
                        <w:rFonts w:hint="eastAsia" w:ascii="DejaVu Math TeX Gyre" w:hAnsi="DejaVu Math TeX Gyre" w:eastAsia="仿宋_GB2312" w:cs="仿宋_GB2312"/>
                        <w:sz w:val="30"/>
                        <w:szCs w:val="30"/>
                        <w:highlight w:val="none"/>
                      </w:rPr>
                      <m:t>NCV</m:t>
                    </m:r>
                    <m:ctrlPr>
                      <w:rPr>
                        <w:rFonts w:hint="eastAsia" w:ascii="DejaVu Math TeX Gyre" w:hAnsi="DejaVu Math TeX Gyre" w:eastAsia="仿宋_GB2312" w:cs="仿宋_GB2312"/>
                        <w:i/>
                        <w:sz w:val="30"/>
                        <w:szCs w:val="30"/>
                        <w:highlight w:val="none"/>
                      </w:rPr>
                    </m:ctrlPr>
                  </m:e>
                  <m:sub>
                    <m:r>
                      <m:rPr/>
                      <w:rPr>
                        <w:rFonts w:hint="eastAsia" w:ascii="DejaVu Math TeX Gyre" w:hAnsi="DejaVu Math TeX Gyre" w:eastAsia="仿宋_GB2312" w:cs="仿宋_GB2312"/>
                        <w:sz w:val="30"/>
                        <w:szCs w:val="30"/>
                        <w:highlight w:val="none"/>
                      </w:rPr>
                      <m:t>i</m:t>
                    </m:r>
                    <m:ctrlPr>
                      <w:rPr>
                        <w:rFonts w:hint="eastAsia" w:ascii="DejaVu Math TeX Gyre" w:hAnsi="DejaVu Math TeX Gyre" w:eastAsia="仿宋_GB2312" w:cs="仿宋_GB2312"/>
                        <w:i/>
                        <w:sz w:val="30"/>
                        <w:szCs w:val="30"/>
                        <w:highlight w:val="none"/>
                      </w:rPr>
                    </m:ctrlPr>
                  </m:sub>
                </m:sSub>
              </m:oMath>
            </m:oMathPara>
          </w:p>
        </w:tc>
        <w:tc>
          <w:tcPr>
            <w:tcW w:w="286" w:type="dxa"/>
          </w:tcPr>
          <w:p w14:paraId="7DA22E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p>
        </w:tc>
        <w:tc>
          <w:tcPr>
            <w:tcW w:w="6914" w:type="dxa"/>
          </w:tcPr>
          <w:p w14:paraId="55BCFA8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第</w:t>
            </w:r>
            <w:r>
              <w:rPr>
                <w:rFonts w:hint="eastAsia" w:ascii="仿宋_GB2312" w:hAnsi="仿宋_GB2312" w:eastAsia="仿宋_GB2312" w:cs="仿宋_GB2312"/>
                <w:i/>
                <w:iCs/>
                <w:sz w:val="30"/>
                <w:szCs w:val="30"/>
                <w:highlight w:val="none"/>
              </w:rPr>
              <w:t>i</w:t>
            </w:r>
            <w:r>
              <w:rPr>
                <w:rFonts w:hint="eastAsia" w:ascii="仿宋_GB2312" w:hAnsi="仿宋_GB2312" w:eastAsia="仿宋_GB2312" w:cs="仿宋_GB2312"/>
                <w:sz w:val="30"/>
                <w:szCs w:val="30"/>
                <w:highlight w:val="none"/>
              </w:rPr>
              <w:t>种燃料的平均低位发热量，对固体和液体化石燃料，单位为千焦每千克（kJ/kg）；对气体化石燃料，单位为千焦每立方米（kJ/m</w:t>
            </w:r>
            <w:r>
              <w:rPr>
                <w:rFonts w:hint="eastAsia" w:ascii="仿宋_GB2312" w:hAnsi="仿宋_GB2312" w:eastAsia="仿宋_GB2312" w:cs="仿宋_GB2312"/>
                <w:sz w:val="30"/>
                <w:szCs w:val="30"/>
                <w:highlight w:val="none"/>
                <w:vertAlign w:val="superscript"/>
              </w:rPr>
              <w:t>3</w:t>
            </w:r>
            <w:r>
              <w:rPr>
                <w:rFonts w:hint="eastAsia" w:ascii="仿宋_GB2312" w:hAnsi="仿宋_GB2312" w:eastAsia="仿宋_GB2312" w:cs="仿宋_GB2312"/>
                <w:sz w:val="30"/>
                <w:szCs w:val="30"/>
                <w:highlight w:val="none"/>
              </w:rPr>
              <w:t>）；</w:t>
            </w:r>
          </w:p>
        </w:tc>
      </w:tr>
      <w:tr w14:paraId="3BB21AC8">
        <w:tblPrEx>
          <w:tblCellMar>
            <w:top w:w="0" w:type="dxa"/>
            <w:left w:w="108" w:type="dxa"/>
            <w:bottom w:w="0" w:type="dxa"/>
            <w:right w:w="108" w:type="dxa"/>
          </w:tblCellMar>
        </w:tblPrEx>
        <w:trPr>
          <w:jc w:val="center"/>
        </w:trPr>
        <w:tc>
          <w:tcPr>
            <w:tcW w:w="1440" w:type="dxa"/>
          </w:tcPr>
          <w:p w14:paraId="6B9E5AA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i/>
                <w:iCs/>
                <w:sz w:val="30"/>
                <w:szCs w:val="30"/>
                <w:highlight w:val="none"/>
              </w:rPr>
            </w:pPr>
            <w:r>
              <w:rPr>
                <w:rFonts w:hint="eastAsia" w:ascii="仿宋_GB2312" w:hAnsi="仿宋_GB2312" w:eastAsia="仿宋_GB2312" w:cs="仿宋_GB2312"/>
                <w:i/>
                <w:iCs/>
                <w:sz w:val="30"/>
                <w:szCs w:val="30"/>
                <w:highlight w:val="none"/>
              </w:rPr>
              <w:t>29307.6</w:t>
            </w:r>
          </w:p>
        </w:tc>
        <w:tc>
          <w:tcPr>
            <w:tcW w:w="286" w:type="dxa"/>
          </w:tcPr>
          <w:p w14:paraId="193279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p>
        </w:tc>
        <w:tc>
          <w:tcPr>
            <w:tcW w:w="6914" w:type="dxa"/>
          </w:tcPr>
          <w:p w14:paraId="6FC0DB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标准煤低位发热量，单位为千焦每千克标准煤（kJ/kgce）</w:t>
            </w:r>
          </w:p>
        </w:tc>
      </w:tr>
    </w:tbl>
    <w:p w14:paraId="28554D3B">
      <w:pPr>
        <w:spacing w:before="156" w:beforeLines="50"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能源的低位发热量，应按实测值或供应单位提供的数据折算为标准煤。无法获得实测值的，其折标准煤系数可参考国家相关标准。自产的间接能源，其折标准煤系数应根据实际投入产出计算确定。</w:t>
      </w:r>
    </w:p>
    <w:p w14:paraId="406C8898">
      <w:pPr>
        <w:rPr>
          <w:rFonts w:ascii="Calibri Light" w:hAnsi="Calibri Light" w:cs="Times New Roman"/>
          <w:highlight w:val="none"/>
        </w:rPr>
      </w:pPr>
      <w:r>
        <w:rPr>
          <w:rFonts w:hint="eastAsia" w:ascii="Calibri Light" w:hAnsi="Calibri Light" w:cs="Times New Roman"/>
          <w:highlight w:val="none"/>
        </w:rPr>
        <w:br w:type="page"/>
      </w:r>
    </w:p>
    <w:p w14:paraId="6FD51AD8">
      <w:pPr>
        <w:spacing w:line="560" w:lineRule="exact"/>
        <w:jc w:val="center"/>
        <w:outlineLvl w:val="0"/>
        <w:rPr>
          <w:rFonts w:ascii="Times New Roman" w:hAnsi="Times New Roman" w:eastAsia="黑体" w:cs="Times New Roman"/>
          <w:b/>
          <w:bCs/>
          <w:szCs w:val="30"/>
          <w:highlight w:val="none"/>
        </w:rPr>
      </w:pPr>
      <w:bookmarkStart w:id="65" w:name="_Toc235380879"/>
      <w:bookmarkStart w:id="66" w:name="_Toc12595"/>
      <w:bookmarkStart w:id="67" w:name="_Toc26270"/>
      <w:bookmarkStart w:id="68" w:name="_Toc29210"/>
      <w:bookmarkStart w:id="69" w:name="_Toc187328683"/>
      <w:bookmarkStart w:id="70" w:name="_Toc22351"/>
      <w:bookmarkStart w:id="71" w:name="_Toc9177"/>
      <w:bookmarkStart w:id="72" w:name="_Toc6460"/>
      <w:bookmarkStart w:id="73" w:name="_Toc21364"/>
      <w:bookmarkStart w:id="74" w:name="_Toc10056"/>
      <w:bookmarkStart w:id="75" w:name="_Toc1615741227"/>
      <w:bookmarkStart w:id="76" w:name="_Toc18239"/>
      <w:bookmarkStart w:id="77" w:name="_Toc181613107"/>
      <w:bookmarkStart w:id="78" w:name="_Toc1482180173"/>
      <w:r>
        <w:rPr>
          <w:rFonts w:hint="eastAsia" w:ascii="Times New Roman" w:hAnsi="Times New Roman" w:eastAsia="黑体" w:cs="Times New Roman"/>
          <w:b/>
          <w:bCs/>
          <w:szCs w:val="30"/>
          <w:highlight w:val="none"/>
        </w:rPr>
        <w:t>第三章</w:t>
      </w:r>
      <w:r>
        <w:rPr>
          <w:rFonts w:ascii="Times New Roman" w:hAnsi="Times New Roman" w:eastAsia="黑体" w:cs="Times New Roman"/>
          <w:b/>
          <w:bCs/>
          <w:szCs w:val="30"/>
          <w:highlight w:val="none"/>
        </w:rPr>
        <w:t xml:space="preserve"> </w:t>
      </w:r>
      <w:r>
        <w:rPr>
          <w:rFonts w:hint="eastAsia" w:ascii="Times New Roman" w:hAnsi="Times New Roman" w:eastAsia="黑体" w:cs="Times New Roman"/>
          <w:b/>
          <w:bCs/>
          <w:szCs w:val="30"/>
          <w:highlight w:val="none"/>
        </w:rPr>
        <w:t>披露要点</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2F8E1EE">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bookmarkStart w:id="79" w:name="_Toc24083"/>
      <w:bookmarkStart w:id="80" w:name="_Toc177241773"/>
      <w:bookmarkStart w:id="81" w:name="_Toc187328684"/>
      <w:bookmarkStart w:id="82" w:name="_Toc3218"/>
      <w:bookmarkStart w:id="83" w:name="_Toc15208"/>
      <w:bookmarkStart w:id="84" w:name="_Toc181613108"/>
      <w:bookmarkStart w:id="85" w:name="_Toc317"/>
      <w:bookmarkStart w:id="86" w:name="_Toc3872"/>
      <w:bookmarkStart w:id="87" w:name="_Toc19005"/>
      <w:r>
        <w:rPr>
          <w:rFonts w:hint="eastAsia" w:ascii="仿宋_GB2312" w:hAnsi="仿宋_GB2312" w:eastAsia="仿宋_GB2312" w:cs="仿宋_GB2312"/>
          <w:sz w:val="30"/>
          <w:szCs w:val="30"/>
          <w:highlight w:val="none"/>
        </w:rPr>
        <w:t>根据《指引》规定，披露主体针对能源利用相关影响、风险和机遇的管理和监督已经建立整体性治理结构和内部制度的，可以对治理要素的内容进行整合披露，无需单独披露能源利用相关治理信息。</w:t>
      </w:r>
    </w:p>
    <w:p w14:paraId="455403EB">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能源利用相关治理、战略、影响、风险及机遇管理以及指标与目标信息可以参照</w:t>
      </w:r>
      <w:r>
        <w:rPr>
          <w:rFonts w:hint="eastAsia" w:ascii="仿宋_GB2312" w:hAnsi="仿宋_GB2312" w:eastAsia="仿宋_GB2312" w:cs="仿宋_GB2312"/>
          <w:sz w:val="30"/>
          <w:szCs w:val="30"/>
          <w:highlight w:val="none"/>
          <w:lang w:eastAsia="zh-CN"/>
        </w:rPr>
        <w:t>《第一号</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总体要求与披露框架</w:t>
      </w:r>
      <w:r>
        <w:rPr>
          <w:rFonts w:hint="eastAsia" w:ascii="仿宋_GB2312" w:hAnsi="仿宋_GB2312" w:eastAsia="仿宋_GB2312" w:cs="仿宋_GB2312"/>
          <w:sz w:val="30"/>
          <w:szCs w:val="30"/>
          <w:highlight w:val="none"/>
          <w:lang w:eastAsia="zh-CN"/>
        </w:rPr>
        <w:t>》指南</w:t>
      </w:r>
      <w:r>
        <w:rPr>
          <w:rFonts w:hint="eastAsia" w:ascii="仿宋_GB2312" w:hAnsi="仿宋_GB2312" w:eastAsia="仿宋_GB2312" w:cs="仿宋_GB2312"/>
          <w:sz w:val="30"/>
          <w:szCs w:val="30"/>
          <w:highlight w:val="none"/>
        </w:rPr>
        <w:t>相关规定进行披露。</w:t>
      </w:r>
      <w:bookmarkEnd w:id="79"/>
    </w:p>
    <w:bookmarkEnd w:id="80"/>
    <w:bookmarkEnd w:id="81"/>
    <w:bookmarkEnd w:id="82"/>
    <w:bookmarkEnd w:id="83"/>
    <w:bookmarkEnd w:id="84"/>
    <w:bookmarkEnd w:id="85"/>
    <w:bookmarkEnd w:id="86"/>
    <w:bookmarkEnd w:id="87"/>
    <w:p w14:paraId="032A319A">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hint="eastAsia" w:ascii="黑体" w:hAnsi="黑体" w:eastAsia="黑体" w:cs="黑体"/>
          <w:sz w:val="30"/>
          <w:szCs w:val="30"/>
          <w:highlight w:val="none"/>
        </w:rPr>
      </w:pPr>
      <w:bookmarkStart w:id="88" w:name="_Toc752"/>
      <w:bookmarkStart w:id="89" w:name="_Toc5490"/>
      <w:bookmarkStart w:id="90" w:name="_Toc171"/>
      <w:bookmarkStart w:id="91" w:name="_Toc181613109"/>
      <w:bookmarkStart w:id="92" w:name="_Toc187328685"/>
      <w:bookmarkStart w:id="93" w:name="_Toc18088"/>
      <w:bookmarkStart w:id="94" w:name="_Toc32641"/>
      <w:bookmarkStart w:id="95" w:name="_Toc1543054622"/>
      <w:bookmarkStart w:id="96" w:name="_Toc32399"/>
      <w:bookmarkStart w:id="97" w:name="_Toc14137"/>
      <w:bookmarkStart w:id="98" w:name="_Toc1215557101"/>
      <w:bookmarkStart w:id="99" w:name="_Toc659841816"/>
      <w:r>
        <w:rPr>
          <w:rFonts w:hint="eastAsia" w:ascii="黑体" w:hAnsi="黑体" w:eastAsia="黑体" w:cs="黑体"/>
          <w:sz w:val="30"/>
          <w:szCs w:val="30"/>
          <w:highlight w:val="none"/>
        </w:rPr>
        <w:t xml:space="preserve">披露要点1 </w:t>
      </w:r>
      <w:bookmarkEnd w:id="88"/>
      <w:bookmarkEnd w:id="89"/>
      <w:bookmarkEnd w:id="90"/>
      <w:bookmarkEnd w:id="91"/>
      <w:bookmarkEnd w:id="92"/>
      <w:r>
        <w:rPr>
          <w:rFonts w:hint="eastAsia" w:ascii="黑体" w:hAnsi="黑体" w:eastAsia="黑体" w:cs="黑体"/>
          <w:sz w:val="30"/>
          <w:szCs w:val="30"/>
          <w:highlight w:val="none"/>
        </w:rPr>
        <w:t>能源使用的基本情况</w:t>
      </w:r>
      <w:bookmarkEnd w:id="93"/>
      <w:bookmarkEnd w:id="94"/>
      <w:bookmarkEnd w:id="95"/>
      <w:bookmarkEnd w:id="96"/>
      <w:bookmarkEnd w:id="97"/>
      <w:bookmarkEnd w:id="98"/>
      <w:bookmarkEnd w:id="99"/>
    </w:p>
    <w:p w14:paraId="6F68154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1．按类型划分的直接及间接能源（如煤、电、气或油）总能耗量（以吨标准煤计算）</w:t>
      </w:r>
    </w:p>
    <w:p w14:paraId="39644606">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2．能源结构</w:t>
      </w:r>
    </w:p>
    <w:p w14:paraId="23FF9E00">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3．总能耗强度（如以营收、产量等单位计算）</w:t>
      </w:r>
    </w:p>
    <w:p w14:paraId="7451D29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上述内容具体可参考下表进行披露：</w:t>
      </w:r>
    </w:p>
    <w:p w14:paraId="282BD8CC">
      <w:pPr>
        <w:widowControl/>
        <w:adjustRightInd w:val="0"/>
        <w:snapToGrid w:val="0"/>
        <w:spacing w:line="560" w:lineRule="exact"/>
        <w:ind w:firstLine="0" w:firstLineChars="0"/>
        <w:jc w:val="center"/>
        <w:rPr>
          <w:rFonts w:ascii="仿宋_GB2312" w:hAnsi="Times New Roman" w:cs="Times New Roman"/>
          <w:szCs w:val="30"/>
          <w:highlight w:val="none"/>
        </w:rPr>
      </w:pPr>
      <w:r>
        <w:rPr>
          <w:rFonts w:hint="eastAsia" w:ascii="Times New Roman" w:hAnsi="Times New Roman" w:eastAsia="黑体" w:cs="Times New Roman"/>
          <w:kern w:val="0"/>
          <w:sz w:val="24"/>
          <w:szCs w:val="24"/>
          <w:highlight w:val="none"/>
        </w:rPr>
        <w:t>表5：能源</w:t>
      </w:r>
      <w:r>
        <w:rPr>
          <w:rFonts w:hint="eastAsia" w:ascii="Times New Roman" w:hAnsi="Times New Roman" w:eastAsia="黑体" w:cs="Times New Roman"/>
          <w:kern w:val="0"/>
          <w:sz w:val="24"/>
          <w:szCs w:val="24"/>
          <w:highlight w:val="none"/>
          <w:lang w:bidi="ar"/>
        </w:rPr>
        <w:t>使用统计表示例（公司可根据自身实际确定所涉及的能源种类）</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5"/>
        <w:gridCol w:w="2016"/>
        <w:gridCol w:w="1609"/>
        <w:gridCol w:w="1742"/>
      </w:tblGrid>
      <w:tr w14:paraId="4099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55" w:type="dxa"/>
            <w:vAlign w:val="center"/>
          </w:tcPr>
          <w:p w14:paraId="1286AD9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披露项</w:t>
            </w:r>
          </w:p>
        </w:tc>
        <w:tc>
          <w:tcPr>
            <w:tcW w:w="2016" w:type="dxa"/>
            <w:vAlign w:val="center"/>
          </w:tcPr>
          <w:p w14:paraId="11B80CA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单位</w:t>
            </w:r>
          </w:p>
        </w:tc>
        <w:tc>
          <w:tcPr>
            <w:tcW w:w="1609" w:type="dxa"/>
            <w:vAlign w:val="center"/>
          </w:tcPr>
          <w:p w14:paraId="49CC0C1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具体数据</w:t>
            </w:r>
          </w:p>
        </w:tc>
        <w:tc>
          <w:tcPr>
            <w:tcW w:w="1742" w:type="dxa"/>
            <w:vAlign w:val="center"/>
          </w:tcPr>
          <w:p w14:paraId="1926F94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参数来源/依据</w:t>
            </w:r>
          </w:p>
        </w:tc>
      </w:tr>
      <w:tr w14:paraId="0D78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center"/>
          </w:tcPr>
          <w:p w14:paraId="2BC6A36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能源使用的基本情况</w:t>
            </w:r>
          </w:p>
        </w:tc>
      </w:tr>
      <w:tr w14:paraId="798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22789F4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直接能源消耗量</w:t>
            </w:r>
          </w:p>
        </w:tc>
        <w:tc>
          <w:tcPr>
            <w:tcW w:w="2016" w:type="dxa"/>
            <w:vAlign w:val="center"/>
          </w:tcPr>
          <w:p w14:paraId="6D8AE77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吨标煤</w:t>
            </w:r>
          </w:p>
        </w:tc>
        <w:tc>
          <w:tcPr>
            <w:tcW w:w="1609" w:type="dxa"/>
            <w:vAlign w:val="center"/>
          </w:tcPr>
          <w:p w14:paraId="071C50B0">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234E54A0">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r w14:paraId="7B32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4DDB2E70">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间接能源消耗量</w:t>
            </w:r>
          </w:p>
        </w:tc>
        <w:tc>
          <w:tcPr>
            <w:tcW w:w="2016" w:type="dxa"/>
            <w:vAlign w:val="center"/>
          </w:tcPr>
          <w:p w14:paraId="33F9D47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吨标煤</w:t>
            </w:r>
          </w:p>
        </w:tc>
        <w:tc>
          <w:tcPr>
            <w:tcW w:w="1609" w:type="dxa"/>
            <w:vAlign w:val="center"/>
          </w:tcPr>
          <w:p w14:paraId="520D116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677ACE47">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r w14:paraId="752D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1EF7A9E9">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能源消费总量</w:t>
            </w:r>
          </w:p>
        </w:tc>
        <w:tc>
          <w:tcPr>
            <w:tcW w:w="2016" w:type="dxa"/>
            <w:vAlign w:val="center"/>
          </w:tcPr>
          <w:p w14:paraId="7073AFD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吨标煤</w:t>
            </w:r>
          </w:p>
        </w:tc>
        <w:tc>
          <w:tcPr>
            <w:tcW w:w="1609" w:type="dxa"/>
            <w:vAlign w:val="center"/>
          </w:tcPr>
          <w:p w14:paraId="65B47F98">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3251E549">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r w14:paraId="2D39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5" w:type="dxa"/>
            <w:vAlign w:val="center"/>
          </w:tcPr>
          <w:p w14:paraId="3BA2AFBF">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单位营收/产品/产值综合能耗</w:t>
            </w:r>
          </w:p>
        </w:tc>
        <w:tc>
          <w:tcPr>
            <w:tcW w:w="2016" w:type="dxa"/>
            <w:vAlign w:val="center"/>
          </w:tcPr>
          <w:p w14:paraId="1D4E21E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吨标煤/ 产量单位（吨标煤/万元） </w:t>
            </w:r>
          </w:p>
        </w:tc>
        <w:tc>
          <w:tcPr>
            <w:tcW w:w="1609" w:type="dxa"/>
            <w:vAlign w:val="center"/>
          </w:tcPr>
          <w:p w14:paraId="0F8C6452">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c>
          <w:tcPr>
            <w:tcW w:w="1742" w:type="dxa"/>
            <w:vAlign w:val="center"/>
          </w:tcPr>
          <w:p w14:paraId="2B85313C">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p>
        </w:tc>
      </w:tr>
    </w:tbl>
    <w:p w14:paraId="64D47A3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_GB2312" w:hAnsi="仿宋_GB2312" w:eastAsia="仿宋_GB2312" w:cs="仿宋_GB2312"/>
          <w:kern w:val="0"/>
          <w:sz w:val="24"/>
          <w:szCs w:val="24"/>
          <w:highlight w:val="none"/>
        </w:rPr>
      </w:pPr>
      <w:bookmarkStart w:id="100" w:name="_Toc280280308"/>
      <w:bookmarkStart w:id="101" w:name="_Toc180822496"/>
      <w:bookmarkStart w:id="102" w:name="_Toc1833306921"/>
      <w:r>
        <w:rPr>
          <w:rFonts w:hint="eastAsia" w:ascii="仿宋_GB2312" w:hAnsi="仿宋_GB2312" w:eastAsia="仿宋_GB2312" w:cs="仿宋_GB2312"/>
          <w:kern w:val="0"/>
          <w:sz w:val="24"/>
          <w:szCs w:val="24"/>
          <w:highlight w:val="none"/>
        </w:rPr>
        <w:t>注：1.按能源类型或种类进行披露的，可分别披露该能源使用的具体数据和</w:t>
      </w:r>
      <w:r>
        <w:rPr>
          <w:rFonts w:hint="eastAsia" w:ascii="仿宋_GB2312" w:hAnsi="仿宋_GB2312" w:eastAsia="仿宋_GB2312" w:cs="仿宋_GB2312"/>
          <w:kern w:val="0"/>
          <w:sz w:val="24"/>
          <w:szCs w:val="24"/>
          <w:highlight w:val="none"/>
          <w:lang w:eastAsia="zh-CN"/>
        </w:rPr>
        <w:t>参数依据或来源</w:t>
      </w:r>
      <w:r>
        <w:rPr>
          <w:rFonts w:hint="eastAsia" w:ascii="仿宋_GB2312" w:hAnsi="仿宋_GB2312" w:eastAsia="仿宋_GB2312" w:cs="仿宋_GB2312"/>
          <w:kern w:val="0"/>
          <w:sz w:val="24"/>
          <w:szCs w:val="24"/>
          <w:highlight w:val="none"/>
        </w:rPr>
        <w:t>。</w:t>
      </w:r>
      <w:bookmarkEnd w:id="100"/>
      <w:bookmarkEnd w:id="101"/>
      <w:bookmarkEnd w:id="102"/>
    </w:p>
    <w:p w14:paraId="4604BCF9">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hint="eastAsia" w:ascii="黑体" w:hAnsi="黑体" w:eastAsia="黑体" w:cs="黑体"/>
          <w:sz w:val="30"/>
          <w:szCs w:val="30"/>
          <w:highlight w:val="none"/>
        </w:rPr>
      </w:pPr>
      <w:bookmarkStart w:id="103" w:name="_Toc1723829407"/>
      <w:bookmarkStart w:id="104" w:name="_Toc535502582"/>
      <w:bookmarkStart w:id="105" w:name="_Toc959614511"/>
    </w:p>
    <w:p w14:paraId="0D42A03F">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hint="eastAsia" w:ascii="黑体" w:hAnsi="黑体" w:eastAsia="黑体" w:cs="黑体"/>
          <w:sz w:val="30"/>
          <w:szCs w:val="30"/>
          <w:highlight w:val="none"/>
        </w:rPr>
      </w:pPr>
      <w:r>
        <w:rPr>
          <w:rFonts w:hint="eastAsia" w:ascii="黑体" w:hAnsi="黑体" w:eastAsia="黑体" w:cs="黑体"/>
          <w:sz w:val="30"/>
          <w:szCs w:val="30"/>
          <w:highlight w:val="none"/>
        </w:rPr>
        <w:t>披露要点2 清洁能源使用情况</w:t>
      </w:r>
      <w:bookmarkEnd w:id="103"/>
      <w:bookmarkEnd w:id="104"/>
      <w:bookmarkEnd w:id="105"/>
    </w:p>
    <w:p w14:paraId="40FADCD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bookmarkStart w:id="106" w:name="_Toc1328577625"/>
      <w:r>
        <w:rPr>
          <w:rFonts w:hint="eastAsia" w:ascii="仿宋_GB2312" w:hAnsi="仿宋_GB2312" w:eastAsia="仿宋_GB2312" w:cs="仿宋_GB2312"/>
          <w:sz w:val="30"/>
          <w:szCs w:val="30"/>
          <w:highlight w:val="none"/>
        </w:rPr>
        <w:t>风能、太阳能、水能、地热能、生物质资源、海洋能等清洁能源的种类、总量、比例等。其中，清洁能源比例可根据折标煤系数换算后统一计算。</w:t>
      </w:r>
      <w:bookmarkEnd w:id="106"/>
    </w:p>
    <w:p w14:paraId="66B16B5E">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上述内容具体可参考下表进行披露：</w:t>
      </w:r>
    </w:p>
    <w:p w14:paraId="6AEA1C4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ascii="仿宋_GB2312" w:hAnsi="Times New Roman" w:cs="Times New Roman"/>
          <w:szCs w:val="30"/>
          <w:highlight w:val="none"/>
        </w:rPr>
      </w:pPr>
      <w:r>
        <w:rPr>
          <w:rFonts w:hint="eastAsia" w:ascii="Times New Roman" w:hAnsi="Times New Roman" w:eastAsia="黑体" w:cs="Times New Roman"/>
          <w:kern w:val="0"/>
          <w:sz w:val="24"/>
          <w:szCs w:val="24"/>
          <w:highlight w:val="none"/>
        </w:rPr>
        <w:t>表6：</w:t>
      </w:r>
      <w:r>
        <w:rPr>
          <w:rFonts w:hint="eastAsia" w:ascii="Times New Roman" w:hAnsi="Times New Roman" w:eastAsia="黑体" w:cs="Times New Roman"/>
          <w:kern w:val="0"/>
          <w:sz w:val="24"/>
          <w:szCs w:val="24"/>
          <w:highlight w:val="none"/>
          <w:lang w:bidi="ar"/>
        </w:rPr>
        <w:t>清洁能源使用统计表示例（公司可根据自身实际确定涉及的清洁能源种类）</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638"/>
        <w:gridCol w:w="1579"/>
        <w:gridCol w:w="1460"/>
        <w:gridCol w:w="1427"/>
        <w:gridCol w:w="1413"/>
      </w:tblGrid>
      <w:tr w14:paraId="45C3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20B3DC7F">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披露项</w:t>
            </w:r>
          </w:p>
        </w:tc>
        <w:tc>
          <w:tcPr>
            <w:tcW w:w="1638" w:type="dxa"/>
            <w:shd w:val="clear" w:color="auto" w:fill="FFFFFF"/>
            <w:vAlign w:val="center"/>
          </w:tcPr>
          <w:p w14:paraId="324BD88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单位</w:t>
            </w:r>
          </w:p>
        </w:tc>
        <w:tc>
          <w:tcPr>
            <w:tcW w:w="1520" w:type="dxa"/>
            <w:shd w:val="clear" w:color="auto" w:fill="FFFFFF"/>
            <w:vAlign w:val="center"/>
          </w:tcPr>
          <w:p w14:paraId="1D0849B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具体数据</w:t>
            </w:r>
          </w:p>
        </w:tc>
        <w:tc>
          <w:tcPr>
            <w:tcW w:w="1470" w:type="dxa"/>
            <w:shd w:val="clear" w:color="auto" w:fill="FFFFFF"/>
            <w:vAlign w:val="center"/>
          </w:tcPr>
          <w:p w14:paraId="00EE273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折标煤数据（单位：吨标准煤）</w:t>
            </w:r>
          </w:p>
        </w:tc>
        <w:tc>
          <w:tcPr>
            <w:tcW w:w="1470" w:type="dxa"/>
            <w:shd w:val="clear" w:color="auto" w:fill="FFFFFF"/>
            <w:vAlign w:val="center"/>
          </w:tcPr>
          <w:p w14:paraId="5AD11AE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能源使用总量占比或清洁能源占比</w:t>
            </w:r>
          </w:p>
        </w:tc>
      </w:tr>
      <w:tr w14:paraId="5225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3DDD0C1B">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kern w:val="0"/>
                <w:sz w:val="24"/>
                <w:szCs w:val="24"/>
                <w:highlight w:val="none"/>
              </w:rPr>
              <w:t>清洁能源使用量</w:t>
            </w:r>
          </w:p>
        </w:tc>
        <w:tc>
          <w:tcPr>
            <w:tcW w:w="1638" w:type="dxa"/>
            <w:shd w:val="clear" w:color="auto" w:fill="FFFFFF"/>
            <w:vAlign w:val="center"/>
          </w:tcPr>
          <w:p w14:paraId="013CCC7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吨标煤</w:t>
            </w:r>
          </w:p>
        </w:tc>
        <w:tc>
          <w:tcPr>
            <w:tcW w:w="1520" w:type="dxa"/>
            <w:shd w:val="clear" w:color="auto" w:fill="FFFFFF"/>
            <w:vAlign w:val="center"/>
          </w:tcPr>
          <w:p w14:paraId="76FA845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5ED0218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5C8FAB4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r>
      <w:tr w14:paraId="07F8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3E76E114">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其中：风能</w:t>
            </w:r>
          </w:p>
        </w:tc>
        <w:tc>
          <w:tcPr>
            <w:tcW w:w="1638" w:type="dxa"/>
            <w:shd w:val="clear" w:color="auto" w:fill="FFFFFF"/>
            <w:vAlign w:val="center"/>
          </w:tcPr>
          <w:p w14:paraId="0C683E0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kern w:val="0"/>
                <w:sz w:val="24"/>
                <w:szCs w:val="24"/>
                <w:highlight w:val="none"/>
              </w:rPr>
              <w:t>MWh</w:t>
            </w:r>
          </w:p>
        </w:tc>
        <w:tc>
          <w:tcPr>
            <w:tcW w:w="1520" w:type="dxa"/>
            <w:shd w:val="clear" w:color="auto" w:fill="FFFFFF"/>
            <w:vAlign w:val="center"/>
          </w:tcPr>
          <w:p w14:paraId="0256282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0F0780F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53A34F0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r>
      <w:tr w14:paraId="4665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753" w:type="dxa"/>
            <w:shd w:val="clear" w:color="auto" w:fill="FFFFFF"/>
            <w:vAlign w:val="center"/>
          </w:tcPr>
          <w:p w14:paraId="2292525A">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w:t>
            </w:r>
          </w:p>
        </w:tc>
        <w:tc>
          <w:tcPr>
            <w:tcW w:w="1638" w:type="dxa"/>
            <w:shd w:val="clear" w:color="auto" w:fill="FFFFFF"/>
            <w:vAlign w:val="center"/>
          </w:tcPr>
          <w:p w14:paraId="2B93BBE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520" w:type="dxa"/>
            <w:shd w:val="clear" w:color="auto" w:fill="FFFFFF"/>
            <w:vAlign w:val="center"/>
          </w:tcPr>
          <w:p w14:paraId="08A8549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47AD812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c>
          <w:tcPr>
            <w:tcW w:w="1470" w:type="dxa"/>
            <w:shd w:val="clear" w:color="auto" w:fill="FFFFFF"/>
            <w:vAlign w:val="center"/>
          </w:tcPr>
          <w:p w14:paraId="2280C5F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仿宋_GB2312" w:hAnsi="仿宋_GB2312" w:eastAsia="仿宋_GB2312" w:cs="仿宋_GB2312"/>
                <w:b/>
                <w:bCs/>
                <w:kern w:val="0"/>
                <w:sz w:val="24"/>
                <w:szCs w:val="24"/>
                <w:highlight w:val="none"/>
              </w:rPr>
            </w:pPr>
          </w:p>
        </w:tc>
      </w:tr>
    </w:tbl>
    <w:p w14:paraId="1DD795C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注：1.企业可以在上表的基础上按照重要性原则进一步披露各类清洁能源的详细使用情况。</w:t>
      </w:r>
    </w:p>
    <w:p w14:paraId="1ACD7F3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kern w:val="0"/>
          <w:sz w:val="24"/>
          <w:szCs w:val="24"/>
          <w:highlight w:val="none"/>
        </w:rPr>
        <w:t>2.公司可</w:t>
      </w:r>
      <w:r>
        <w:rPr>
          <w:rFonts w:hint="eastAsia" w:ascii="仿宋_GB2312" w:hAnsi="仿宋_GB2312" w:eastAsia="仿宋_GB2312" w:cs="仿宋_GB2312"/>
          <w:kern w:val="0"/>
          <w:sz w:val="24"/>
          <w:szCs w:val="24"/>
          <w:highlight w:val="none"/>
          <w:lang w:eastAsia="zh-CN"/>
        </w:rPr>
        <w:t>以</w:t>
      </w:r>
      <w:r>
        <w:rPr>
          <w:rFonts w:hint="eastAsia" w:ascii="仿宋_GB2312" w:hAnsi="仿宋_GB2312" w:eastAsia="仿宋_GB2312" w:cs="仿宋_GB2312"/>
          <w:kern w:val="0"/>
          <w:sz w:val="24"/>
          <w:szCs w:val="24"/>
          <w:highlight w:val="none"/>
        </w:rPr>
        <w:t>自主披露国家电网采购的电量中清洁能源的比例；绿证电量、企业单独采购或</w:t>
      </w:r>
      <w:r>
        <w:rPr>
          <w:rFonts w:hint="eastAsia" w:ascii="仿宋_GB2312" w:hAnsi="仿宋_GB2312" w:eastAsia="仿宋_GB2312" w:cs="仿宋_GB2312"/>
          <w:kern w:val="0"/>
          <w:sz w:val="24"/>
          <w:szCs w:val="24"/>
          <w:highlight w:val="none"/>
          <w:lang w:eastAsia="zh-CN"/>
        </w:rPr>
        <w:t>者</w:t>
      </w:r>
      <w:r>
        <w:rPr>
          <w:rFonts w:hint="eastAsia" w:ascii="仿宋_GB2312" w:hAnsi="仿宋_GB2312" w:eastAsia="仿宋_GB2312" w:cs="仿宋_GB2312"/>
          <w:kern w:val="0"/>
          <w:sz w:val="24"/>
          <w:szCs w:val="24"/>
          <w:highlight w:val="none"/>
        </w:rPr>
        <w:t>自发自用的绿色电力等，能够反映清洁能源的使用量</w:t>
      </w:r>
      <w:r>
        <w:rPr>
          <w:rFonts w:hint="eastAsia" w:ascii="仿宋_GB2312" w:hAnsi="仿宋_GB2312" w:eastAsia="仿宋_GB2312" w:cs="仿宋_GB2312"/>
          <w:kern w:val="0"/>
          <w:sz w:val="24"/>
          <w:szCs w:val="24"/>
          <w:highlight w:val="none"/>
          <w:lang w:eastAsia="zh-CN"/>
        </w:rPr>
        <w:t>的</w:t>
      </w:r>
      <w:r>
        <w:rPr>
          <w:rFonts w:hint="eastAsia" w:ascii="仿宋_GB2312" w:hAnsi="仿宋_GB2312" w:eastAsia="仿宋_GB2312" w:cs="仿宋_GB2312"/>
          <w:kern w:val="0"/>
          <w:sz w:val="24"/>
          <w:szCs w:val="24"/>
          <w:highlight w:val="none"/>
        </w:rPr>
        <w:t>，公司可</w:t>
      </w:r>
      <w:r>
        <w:rPr>
          <w:rFonts w:hint="eastAsia" w:ascii="仿宋_GB2312" w:hAnsi="仿宋_GB2312" w:eastAsia="仿宋_GB2312" w:cs="仿宋_GB2312"/>
          <w:kern w:val="0"/>
          <w:sz w:val="24"/>
          <w:szCs w:val="24"/>
          <w:highlight w:val="none"/>
          <w:lang w:eastAsia="zh-CN"/>
        </w:rPr>
        <w:t>以</w:t>
      </w:r>
      <w:r>
        <w:rPr>
          <w:rFonts w:hint="eastAsia" w:ascii="仿宋_GB2312" w:hAnsi="仿宋_GB2312" w:eastAsia="仿宋_GB2312" w:cs="仿宋_GB2312"/>
          <w:kern w:val="0"/>
          <w:sz w:val="24"/>
          <w:szCs w:val="24"/>
          <w:highlight w:val="none"/>
        </w:rPr>
        <w:t>披露上述能源的使用情况。</w:t>
      </w:r>
    </w:p>
    <w:p w14:paraId="0F8F9C27">
      <w:pPr>
        <w:keepNext w:val="0"/>
        <w:keepLines w:val="0"/>
        <w:pageBreakBefore w:val="0"/>
        <w:widowControl w:val="0"/>
        <w:kinsoku/>
        <w:wordWrap/>
        <w:overflowPunct/>
        <w:topLinePunct w:val="0"/>
        <w:autoSpaceDE/>
        <w:autoSpaceDN/>
        <w:bidi w:val="0"/>
        <w:adjustRightInd w:val="0"/>
        <w:snapToGrid w:val="0"/>
        <w:spacing w:before="219" w:beforeLines="50" w:line="560" w:lineRule="exact"/>
        <w:ind w:firstLine="600" w:firstLineChars="200"/>
        <w:textAlignment w:val="auto"/>
        <w:outlineLvl w:val="0"/>
        <w:rPr>
          <w:rFonts w:ascii="黑体" w:hAnsi="黑体" w:eastAsia="黑体" w:cs="黑体"/>
          <w:sz w:val="30"/>
          <w:szCs w:val="30"/>
          <w:highlight w:val="none"/>
        </w:rPr>
      </w:pPr>
      <w:bookmarkStart w:id="107" w:name="_Toc159283959"/>
      <w:bookmarkStart w:id="108" w:name="_Toc31509"/>
      <w:bookmarkStart w:id="109" w:name="_Toc12767"/>
      <w:bookmarkStart w:id="110" w:name="_Toc482374724"/>
      <w:bookmarkStart w:id="111" w:name="_Toc819281318"/>
      <w:bookmarkStart w:id="112" w:name="_Toc8770"/>
      <w:bookmarkStart w:id="113" w:name="_Toc14542"/>
      <w:r>
        <w:rPr>
          <w:rFonts w:hint="eastAsia" w:ascii="黑体" w:hAnsi="黑体" w:eastAsia="黑体" w:cs="黑体"/>
          <w:sz w:val="30"/>
          <w:szCs w:val="30"/>
          <w:highlight w:val="none"/>
        </w:rPr>
        <w:t>披露要点3 能源节约目标以及具体措施情况</w:t>
      </w:r>
      <w:bookmarkEnd w:id="107"/>
      <w:bookmarkEnd w:id="108"/>
      <w:bookmarkEnd w:id="109"/>
      <w:bookmarkEnd w:id="110"/>
      <w:bookmarkEnd w:id="111"/>
      <w:bookmarkEnd w:id="112"/>
      <w:bookmarkEnd w:id="113"/>
    </w:p>
    <w:p w14:paraId="7A476AE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1．能源节约目标，如总量目标或强度目标等。</w:t>
      </w:r>
    </w:p>
    <w:p w14:paraId="056D5F0B">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披露主体可以围绕能源消耗强度、能源利用效率、可再生能源占比等维度进行指标选取，比如单位营收/产品/产值综合能耗、综合能耗降低率、可再生能源使用量占总能耗的比例等。指标的选取可结合行业特点、企业实际运营情况以及相关的政策标准，以确保其具有针对性和可比性。企业可根据公司自身发展战略，披露应对相关风险和机遇的其他能源节约目标，说明目标设定的依据</w:t>
      </w:r>
      <w:r>
        <w:rPr>
          <w:rFonts w:hint="eastAsia" w:ascii="仿宋_GB2312" w:hAnsi="仿宋_GB2312" w:eastAsia="仿宋_GB2312" w:cs="仿宋_GB2312"/>
          <w:sz w:val="30"/>
          <w:szCs w:val="30"/>
          <w:highlight w:val="none"/>
          <w:lang w:eastAsia="zh-CN"/>
        </w:rPr>
        <w:t>及</w:t>
      </w:r>
      <w:r>
        <w:rPr>
          <w:rFonts w:hint="eastAsia" w:ascii="仿宋_GB2312" w:hAnsi="仿宋_GB2312" w:eastAsia="仿宋_GB2312" w:cs="仿宋_GB2312"/>
          <w:sz w:val="30"/>
          <w:szCs w:val="30"/>
          <w:highlight w:val="none"/>
        </w:rPr>
        <w:t>合理性。</w:t>
      </w:r>
    </w:p>
    <w:p w14:paraId="425BE892">
      <w:pPr>
        <w:widowControl/>
        <w:adjustRightInd w:val="0"/>
        <w:snapToGrid w:val="0"/>
        <w:spacing w:line="560" w:lineRule="exact"/>
        <w:ind w:firstLine="0" w:firstLineChars="0"/>
        <w:jc w:val="center"/>
        <w:rPr>
          <w:rFonts w:hint="eastAsia" w:ascii="Times New Roman" w:hAnsi="Times New Roman" w:cs="Times New Roman"/>
          <w:szCs w:val="30"/>
          <w:highlight w:val="none"/>
        </w:rPr>
      </w:pPr>
      <w:r>
        <w:rPr>
          <w:rFonts w:hint="eastAsia" w:ascii="Times New Roman" w:hAnsi="Times New Roman" w:eastAsia="黑体" w:cs="Times New Roman"/>
          <w:kern w:val="0"/>
          <w:sz w:val="24"/>
          <w:szCs w:val="24"/>
          <w:highlight w:val="none"/>
        </w:rPr>
        <w:t>表7：</w:t>
      </w:r>
      <w:r>
        <w:rPr>
          <w:rFonts w:hint="eastAsia" w:ascii="Times New Roman" w:hAnsi="Times New Roman" w:eastAsia="黑体" w:cs="Times New Roman"/>
          <w:kern w:val="0"/>
          <w:sz w:val="24"/>
          <w:szCs w:val="24"/>
          <w:highlight w:val="none"/>
          <w:lang w:val="en-US" w:eastAsia="zh-CN" w:bidi="ar"/>
        </w:rPr>
        <w:t>节能减排目标</w:t>
      </w:r>
      <w:r>
        <w:rPr>
          <w:rFonts w:hint="eastAsia" w:ascii="Times New Roman" w:hAnsi="Times New Roman" w:eastAsia="黑体" w:cs="Times New Roman"/>
          <w:kern w:val="0"/>
          <w:sz w:val="24"/>
          <w:szCs w:val="24"/>
          <w:highlight w:val="none"/>
          <w:lang w:bidi="ar"/>
        </w:rPr>
        <w:t>示例</w:t>
      </w:r>
    </w:p>
    <w:tbl>
      <w:tblPr>
        <w:tblStyle w:val="22"/>
        <w:tblW w:w="85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0"/>
        <w:gridCol w:w="1458"/>
        <w:gridCol w:w="1605"/>
        <w:gridCol w:w="1979"/>
        <w:gridCol w:w="1900"/>
      </w:tblGrid>
      <w:tr w14:paraId="3BB5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blHeader/>
        </w:trPr>
        <w:tc>
          <w:tcPr>
            <w:tcW w:w="1580" w:type="dxa"/>
            <w:shd w:val="clear" w:color="auto" w:fill="FFFFFF"/>
            <w:vAlign w:val="center"/>
          </w:tcPr>
          <w:p w14:paraId="74E174C6">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lang w:val="en-US" w:eastAsia="zh-CN"/>
                <w14:ligatures w14:val="none"/>
              </w:rPr>
              <w:t>目标</w:t>
            </w:r>
            <w:r>
              <w:rPr>
                <w:rFonts w:hint="eastAsia" w:ascii="仿宋_GB2312" w:hAnsi="仿宋_GB2312" w:eastAsia="仿宋_GB2312" w:cs="仿宋_GB2312"/>
                <w:b/>
                <w:bCs w:val="0"/>
                <w:kern w:val="0"/>
                <w:sz w:val="24"/>
                <w:szCs w:val="24"/>
                <w:highlight w:val="none"/>
                <w14:ligatures w14:val="none"/>
              </w:rPr>
              <w:t>指标</w:t>
            </w:r>
          </w:p>
        </w:tc>
        <w:tc>
          <w:tcPr>
            <w:tcW w:w="1458" w:type="dxa"/>
            <w:shd w:val="clear" w:color="auto" w:fill="FFFFFF"/>
            <w:vAlign w:val="center"/>
          </w:tcPr>
          <w:p w14:paraId="0849BCE1">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14:ligatures w14:val="none"/>
              </w:rPr>
              <w:t>单位</w:t>
            </w:r>
          </w:p>
        </w:tc>
        <w:tc>
          <w:tcPr>
            <w:tcW w:w="1605" w:type="dxa"/>
            <w:shd w:val="clear" w:color="auto" w:fill="FFFFFF"/>
            <w:vAlign w:val="center"/>
          </w:tcPr>
          <w:p w14:paraId="0FDFBB6A">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lang w:val="en-US" w:eastAsia="zh-CN"/>
                <w14:ligatures w14:val="none"/>
              </w:rPr>
              <w:t>基准值</w:t>
            </w:r>
          </w:p>
        </w:tc>
        <w:tc>
          <w:tcPr>
            <w:tcW w:w="1979" w:type="dxa"/>
            <w:shd w:val="clear" w:color="auto" w:fill="FFFFFF"/>
            <w:vAlign w:val="center"/>
          </w:tcPr>
          <w:p w14:paraId="1525836A">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14:ligatures w14:val="none"/>
              </w:rPr>
              <w:t>20XX年目标</w:t>
            </w:r>
          </w:p>
        </w:tc>
        <w:tc>
          <w:tcPr>
            <w:tcW w:w="1900" w:type="dxa"/>
            <w:shd w:val="clear" w:color="auto" w:fill="FFFFFF"/>
            <w:vAlign w:val="center"/>
          </w:tcPr>
          <w:p w14:paraId="5B2F2BEF">
            <w:pPr>
              <w:keepNext w:val="0"/>
              <w:keepLines w:val="0"/>
              <w:pageBreakBefore w:val="0"/>
              <w:widowControl/>
              <w:kinsoku w:val="0"/>
              <w:wordWrap/>
              <w:overflowPunct/>
              <w:topLinePunct w:val="0"/>
              <w:autoSpaceDE w:val="0"/>
              <w:autoSpaceDN w:val="0"/>
              <w:bidi w:val="0"/>
              <w:adjustRightInd w:val="0"/>
              <w:snapToGrid/>
              <w:spacing w:before="152" w:after="0" w:line="400" w:lineRule="exact"/>
              <w:ind w:left="12" w:leftChars="0" w:right="0" w:rightChars="0" w:firstLine="0" w:firstLineChars="0"/>
              <w:jc w:val="center"/>
              <w:textAlignment w:val="baseline"/>
              <w:rPr>
                <w:rFonts w:hint="eastAsia" w:ascii="仿宋_GB2312" w:hAnsi="仿宋_GB2312" w:eastAsia="仿宋_GB2312" w:cs="仿宋_GB2312"/>
                <w:b/>
                <w:bCs w:val="0"/>
                <w:kern w:val="0"/>
                <w:sz w:val="24"/>
                <w:szCs w:val="24"/>
                <w:highlight w:val="none"/>
                <w14:ligatures w14:val="none"/>
              </w:rPr>
            </w:pPr>
            <w:r>
              <w:rPr>
                <w:rFonts w:hint="eastAsia" w:ascii="仿宋_GB2312" w:hAnsi="仿宋_GB2312" w:eastAsia="仿宋_GB2312" w:cs="仿宋_GB2312"/>
                <w:b/>
                <w:bCs w:val="0"/>
                <w:kern w:val="0"/>
                <w:sz w:val="24"/>
                <w:szCs w:val="24"/>
                <w:highlight w:val="none"/>
                <w:lang w:eastAsia="zh-CN"/>
                <w14:ligatures w14:val="none"/>
              </w:rPr>
              <w:t>报告期</w:t>
            </w:r>
            <w:r>
              <w:rPr>
                <w:rFonts w:hint="eastAsia" w:ascii="仿宋_GB2312" w:hAnsi="仿宋_GB2312" w:eastAsia="仿宋_GB2312" w:cs="仿宋_GB2312"/>
                <w:b/>
                <w:bCs w:val="0"/>
                <w:kern w:val="0"/>
                <w:sz w:val="24"/>
                <w:szCs w:val="24"/>
                <w:highlight w:val="none"/>
                <w14:ligatures w14:val="none"/>
              </w:rPr>
              <w:t>进展</w:t>
            </w:r>
          </w:p>
        </w:tc>
      </w:tr>
      <w:tr w14:paraId="22D5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rPr>
        <w:tc>
          <w:tcPr>
            <w:tcW w:w="1580" w:type="dxa"/>
            <w:shd w:val="clear" w:color="auto" w:fill="FFFFFF"/>
            <w:vAlign w:val="center"/>
          </w:tcPr>
          <w:p w14:paraId="363F2044">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单位营收耗电量</w:t>
            </w:r>
          </w:p>
        </w:tc>
        <w:tc>
          <w:tcPr>
            <w:tcW w:w="1458" w:type="dxa"/>
            <w:shd w:val="clear" w:color="auto" w:fill="FFFFFF"/>
            <w:vAlign w:val="center"/>
          </w:tcPr>
          <w:p w14:paraId="2EC599AF">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兆瓦时/万元</w:t>
            </w:r>
          </w:p>
        </w:tc>
        <w:tc>
          <w:tcPr>
            <w:tcW w:w="1605" w:type="dxa"/>
            <w:shd w:val="clear" w:color="auto" w:fill="FFFFFF"/>
            <w:vAlign w:val="center"/>
          </w:tcPr>
          <w:p w14:paraId="6DA5A544">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p>
        </w:tc>
        <w:tc>
          <w:tcPr>
            <w:tcW w:w="1979" w:type="dxa"/>
            <w:shd w:val="clear" w:color="auto" w:fill="FFFFFF"/>
            <w:vAlign w:val="center"/>
          </w:tcPr>
          <w:p w14:paraId="06C2019D">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降低</w:t>
            </w:r>
            <w:r>
              <w:rPr>
                <w:rFonts w:hint="eastAsia" w:ascii="仿宋_GB2312" w:hAnsi="仿宋_GB2312" w:eastAsia="仿宋_GB2312" w:cs="仿宋_GB2312"/>
                <w:kern w:val="0"/>
                <w:sz w:val="24"/>
                <w:szCs w:val="24"/>
                <w:highlight w:val="none"/>
              </w:rPr>
              <w:t>XX%</w:t>
            </w:r>
          </w:p>
        </w:tc>
        <w:tc>
          <w:tcPr>
            <w:tcW w:w="1900" w:type="dxa"/>
            <w:shd w:val="clear" w:color="auto" w:fill="FFFFFF"/>
            <w:vAlign w:val="center"/>
          </w:tcPr>
          <w:p w14:paraId="5BC4AAB1">
            <w:pPr>
              <w:keepNext w:val="0"/>
              <w:keepLines w:val="0"/>
              <w:pageBreakBefore w:val="0"/>
              <w:widowControl/>
              <w:wordWrap/>
              <w:overflowPunct/>
              <w:topLinePunct w:val="0"/>
              <w:bidi w:val="0"/>
              <w:adjustRightInd w:val="0"/>
              <w:snapToGrid w:val="0"/>
              <w:spacing w:before="0" w:after="0" w:line="400" w:lineRule="exact"/>
              <w:ind w:left="0" w:leftChars="0" w:right="0" w:rightChars="0" w:firstLine="0" w:firstLineChars="0"/>
              <w:jc w:val="center"/>
              <w:rPr>
                <w:rFonts w:hint="eastAsia" w:ascii="仿宋_GB2312" w:hAnsi="仿宋_GB2312" w:eastAsia="仿宋_GB2312" w:cs="仿宋_GB2312"/>
                <w:kern w:val="0"/>
                <w:sz w:val="24"/>
                <w:szCs w:val="24"/>
                <w:highlight w:val="none"/>
                <w14:ligatures w14:val="none"/>
              </w:rPr>
            </w:pPr>
            <w:r>
              <w:rPr>
                <w:rFonts w:hint="eastAsia" w:ascii="仿宋_GB2312" w:hAnsi="仿宋_GB2312" w:eastAsia="仿宋_GB2312" w:cs="仿宋_GB2312"/>
                <w:kern w:val="0"/>
                <w:sz w:val="24"/>
                <w:szCs w:val="24"/>
                <w:highlight w:val="none"/>
                <w14:ligatures w14:val="none"/>
              </w:rPr>
              <w:t>降低</w:t>
            </w:r>
            <w:r>
              <w:rPr>
                <w:rFonts w:hint="eastAsia" w:ascii="仿宋_GB2312" w:hAnsi="仿宋_GB2312" w:eastAsia="仿宋_GB2312" w:cs="仿宋_GB2312"/>
                <w:kern w:val="0"/>
                <w:sz w:val="24"/>
                <w:szCs w:val="24"/>
                <w:highlight w:val="none"/>
              </w:rPr>
              <w:t>XX%</w:t>
            </w:r>
          </w:p>
        </w:tc>
      </w:tr>
    </w:tbl>
    <w:p w14:paraId="46E0EE4C">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2．具体节能措施，包括但不限于采购节能生产设备、节能照明设备、节能温控设备以及设备的节能改造，采用余热余压利用、能源梯级利用等措施。企业可以披露所采取的节能措施以及预计达到的成效。</w:t>
      </w:r>
    </w:p>
    <w:p w14:paraId="08EDC8C9">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主要举措示例如下：</w:t>
      </w:r>
    </w:p>
    <w:p w14:paraId="3BB8AB19">
      <w:pPr>
        <w:widowControl/>
        <w:adjustRightInd w:val="0"/>
        <w:snapToGrid w:val="0"/>
        <w:spacing w:line="560" w:lineRule="exact"/>
        <w:ind w:firstLine="0" w:firstLineChars="0"/>
        <w:jc w:val="center"/>
        <w:rPr>
          <w:rFonts w:ascii="仿宋_GB2312" w:hAnsi="Times New Roman" w:eastAsia="黑体" w:cs="Times New Roman"/>
          <w:szCs w:val="30"/>
          <w:highlight w:val="none"/>
        </w:rPr>
      </w:pPr>
      <w:r>
        <w:rPr>
          <w:rFonts w:hint="eastAsia" w:ascii="Times New Roman" w:hAnsi="Times New Roman" w:eastAsia="黑体" w:cs="Times New Roman"/>
          <w:kern w:val="0"/>
          <w:sz w:val="24"/>
          <w:szCs w:val="24"/>
          <w:highlight w:val="none"/>
        </w:rPr>
        <w:t>表</w:t>
      </w:r>
      <w:r>
        <w:rPr>
          <w:rFonts w:hint="eastAsia" w:ascii="Times New Roman" w:hAnsi="Times New Roman" w:eastAsia="黑体" w:cs="Times New Roman"/>
          <w:kern w:val="0"/>
          <w:sz w:val="24"/>
          <w:szCs w:val="24"/>
          <w:highlight w:val="none"/>
          <w:lang w:val="en-US" w:eastAsia="zh-CN"/>
        </w:rPr>
        <w:t>8</w:t>
      </w:r>
      <w:r>
        <w:rPr>
          <w:rFonts w:hint="eastAsia" w:ascii="Times New Roman" w:hAnsi="Times New Roman" w:eastAsia="黑体" w:cs="Times New Roman"/>
          <w:kern w:val="0"/>
          <w:sz w:val="24"/>
          <w:szCs w:val="24"/>
          <w:highlight w:val="none"/>
        </w:rPr>
        <w:t>：</w:t>
      </w:r>
      <w:r>
        <w:rPr>
          <w:rFonts w:hint="eastAsia" w:ascii="Times New Roman" w:hAnsi="Times New Roman" w:eastAsia="黑体" w:cs="Times New Roman"/>
          <w:kern w:val="0"/>
          <w:sz w:val="24"/>
          <w:szCs w:val="24"/>
          <w:highlight w:val="none"/>
          <w:lang w:bidi="ar"/>
        </w:rPr>
        <w:t>节能措施情况表示例</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4185"/>
        <w:gridCol w:w="1676"/>
        <w:gridCol w:w="1474"/>
      </w:tblGrid>
      <w:tr w14:paraId="49C2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480F8C1D">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措施类型</w:t>
            </w:r>
          </w:p>
        </w:tc>
        <w:tc>
          <w:tcPr>
            <w:tcW w:w="2457" w:type="pct"/>
            <w:vAlign w:val="center"/>
          </w:tcPr>
          <w:p w14:paraId="48CCA1B6">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示例</w:t>
            </w:r>
          </w:p>
        </w:tc>
        <w:tc>
          <w:tcPr>
            <w:tcW w:w="1849" w:type="pct"/>
            <w:gridSpan w:val="2"/>
            <w:vAlign w:val="center"/>
          </w:tcPr>
          <w:p w14:paraId="312D7F8E">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bookmarkStart w:id="114" w:name="OLE_LINK3"/>
            <w:r>
              <w:rPr>
                <w:rFonts w:hint="eastAsia" w:ascii="仿宋_GB2312" w:hAnsi="仿宋_GB2312" w:eastAsia="仿宋_GB2312" w:cs="仿宋_GB2312"/>
                <w:b/>
                <w:kern w:val="0"/>
                <w:sz w:val="24"/>
                <w:szCs w:val="24"/>
                <w:highlight w:val="none"/>
              </w:rPr>
              <w:t>关键效果指标示例</w:t>
            </w:r>
          </w:p>
          <w:p w14:paraId="608C8B38">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（量化/非量化）</w:t>
            </w:r>
            <w:bookmarkEnd w:id="114"/>
          </w:p>
        </w:tc>
      </w:tr>
      <w:tr w14:paraId="745D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7CD42C3F">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节能生产设备</w:t>
            </w:r>
          </w:p>
        </w:tc>
        <w:tc>
          <w:tcPr>
            <w:tcW w:w="2457" w:type="pct"/>
            <w:vAlign w:val="center"/>
          </w:tcPr>
          <w:p w14:paraId="0692FF2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优先采购符合国家能效等级标准（如GB 18613等）的高效电机、变频器驱动的空压机、水泵、风机等关键动力设备；</w:t>
            </w:r>
          </w:p>
          <w:p w14:paraId="1EEC4E51">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在新建项目或设备更新换代时，选用具备先进节能技术（如永磁同步、IE4/IE5超高效率等级）的设备</w:t>
            </w:r>
          </w:p>
        </w:tc>
        <w:tc>
          <w:tcPr>
            <w:tcW w:w="984" w:type="pct"/>
            <w:vAlign w:val="center"/>
          </w:tcPr>
          <w:p w14:paraId="6222EBB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公司在产线用高效电机替换老旧电机XX台</w:t>
            </w:r>
          </w:p>
        </w:tc>
        <w:tc>
          <w:tcPr>
            <w:tcW w:w="865" w:type="pct"/>
            <w:vAlign w:val="center"/>
          </w:tcPr>
          <w:p w14:paraId="0E64AC42">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预计年节电：XX万千瓦时</w:t>
            </w:r>
          </w:p>
        </w:tc>
      </w:tr>
      <w:tr w14:paraId="2736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2CAA0AA3">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节能照明设备</w:t>
            </w:r>
          </w:p>
        </w:tc>
        <w:tc>
          <w:tcPr>
            <w:tcW w:w="2457" w:type="pct"/>
            <w:vAlign w:val="center"/>
          </w:tcPr>
          <w:p w14:paraId="78591F0A">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全面淘汰白炽灯/荧光灯；厂区/办公楼/车间/仓库推广LED灯具；</w:t>
            </w:r>
          </w:p>
          <w:p w14:paraId="36E4146D">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应用光感/声控/定时/分区智能控制系统</w:t>
            </w:r>
          </w:p>
        </w:tc>
        <w:tc>
          <w:tcPr>
            <w:tcW w:w="984" w:type="pct"/>
            <w:vAlign w:val="center"/>
          </w:tcPr>
          <w:p w14:paraId="02E72260">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公司已完成厂区公共区域及车间LED改造，覆盖灯具X万盏</w:t>
            </w:r>
          </w:p>
        </w:tc>
        <w:tc>
          <w:tcPr>
            <w:tcW w:w="865" w:type="pct"/>
            <w:vAlign w:val="center"/>
          </w:tcPr>
          <w:p w14:paraId="2FB10A28">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综合节电率：XX%以上</w:t>
            </w:r>
          </w:p>
        </w:tc>
      </w:tr>
      <w:tr w14:paraId="401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6D6A834B">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节能温控设备</w:t>
            </w:r>
          </w:p>
        </w:tc>
        <w:tc>
          <w:tcPr>
            <w:tcW w:w="2457" w:type="pct"/>
            <w:vAlign w:val="center"/>
          </w:tcPr>
          <w:p w14:paraId="4919CD0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选用磁悬浮冷水机组、变频多联机等高能效空调；</w:t>
            </w:r>
          </w:p>
          <w:p w14:paraId="139C4A54">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供暖/通风系统应用高效热泵；</w:t>
            </w:r>
          </w:p>
          <w:p w14:paraId="4AD104C5">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为关键设备加装智能温控系统</w:t>
            </w:r>
          </w:p>
        </w:tc>
        <w:tc>
          <w:tcPr>
            <w:tcW w:w="984" w:type="pct"/>
            <w:vAlign w:val="center"/>
          </w:tcPr>
          <w:p w14:paraId="28004DA8">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公司在某生产基地用磁悬浮机组替换螺杆机组</w:t>
            </w:r>
          </w:p>
        </w:tc>
        <w:tc>
          <w:tcPr>
            <w:tcW w:w="865" w:type="pct"/>
            <w:vAlign w:val="center"/>
          </w:tcPr>
          <w:p w14:paraId="2BFC396C">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年节电：XX万千瓦时</w:t>
            </w:r>
          </w:p>
        </w:tc>
      </w:tr>
      <w:tr w14:paraId="2111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1C9A6799">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余热余压回收</w:t>
            </w:r>
          </w:p>
        </w:tc>
        <w:tc>
          <w:tcPr>
            <w:tcW w:w="2457" w:type="pct"/>
            <w:vAlign w:val="center"/>
          </w:tcPr>
          <w:p w14:paraId="41C43535">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系统回收窑炉烟气、工艺排气、空压机余热、</w:t>
            </w:r>
            <w:bookmarkStart w:id="115" w:name="_GoBack"/>
            <w:bookmarkEnd w:id="115"/>
            <w:r>
              <w:rPr>
                <w:rFonts w:hint="eastAsia" w:ascii="仿宋_GB2312" w:hAnsi="仿宋_GB2312" w:eastAsia="仿宋_GB2312" w:cs="仿宋_GB2312"/>
                <w:kern w:val="0"/>
                <w:sz w:val="24"/>
                <w:szCs w:val="24"/>
                <w:highlight w:val="none"/>
              </w:rPr>
              <w:t>蒸汽冷凝水、高炉煤气余压（TRT）、化工气体余压等</w:t>
            </w:r>
          </w:p>
        </w:tc>
        <w:tc>
          <w:tcPr>
            <w:tcW w:w="984" w:type="pct"/>
            <w:vAlign w:val="center"/>
          </w:tcPr>
          <w:p w14:paraId="57B11D9E">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公司在某生产序列中安装高炉煤气余压透平发电装置（TRT）</w:t>
            </w:r>
          </w:p>
        </w:tc>
        <w:tc>
          <w:tcPr>
            <w:tcW w:w="865" w:type="pct"/>
            <w:vAlign w:val="center"/>
          </w:tcPr>
          <w:p w14:paraId="121243A4">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0" w:firstLineChars="0"/>
              <w:jc w:val="center"/>
              <w:textAlignment w:val="baseline"/>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年发电：XX万千瓦时</w:t>
            </w:r>
          </w:p>
          <w:p w14:paraId="26EEBF64">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减煤：XX吨标煤</w:t>
            </w:r>
          </w:p>
        </w:tc>
      </w:tr>
      <w:tr w14:paraId="5F5E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14:paraId="7FB8CC31">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技术应用</w:t>
            </w:r>
          </w:p>
        </w:tc>
        <w:tc>
          <w:tcPr>
            <w:tcW w:w="2457" w:type="pct"/>
            <w:vAlign w:val="center"/>
          </w:tcPr>
          <w:p w14:paraId="25A38690">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安装余热锅炉产蒸汽发电；热泵技术提升低品位废热；蒸汽冷凝水闭式回收；建设ORC余压发电系统</w:t>
            </w:r>
          </w:p>
        </w:tc>
        <w:tc>
          <w:tcPr>
            <w:tcW w:w="984" w:type="pct"/>
            <w:vAlign w:val="center"/>
          </w:tcPr>
          <w:p w14:paraId="46E1B86A">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某工厂利用某反应器中温废气通过ORC发电</w:t>
            </w:r>
          </w:p>
        </w:tc>
        <w:tc>
          <w:tcPr>
            <w:tcW w:w="865" w:type="pct"/>
            <w:vAlign w:val="center"/>
          </w:tcPr>
          <w:p w14:paraId="7FBC2F39">
            <w:pPr>
              <w:keepNext w:val="0"/>
              <w:keepLines w:val="0"/>
              <w:pageBreakBefore w:val="0"/>
              <w:widowControl/>
              <w:wordWrap/>
              <w:overflowPunct/>
              <w:topLinePunct w:val="0"/>
              <w:bidi w:val="0"/>
              <w:adjustRightInd w:val="0"/>
              <w:snapToGrid w:val="0"/>
              <w:spacing w:line="400" w:lineRule="exact"/>
              <w:ind w:left="0" w:firstLine="0" w:firstLineChars="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年发电：XX万千瓦时</w:t>
            </w:r>
          </w:p>
        </w:tc>
      </w:tr>
    </w:tbl>
    <w:p w14:paraId="1C7A11F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仿宋_GB2312" w:hAnsi="仿宋_GB2312" w:eastAsia="仿宋_GB2312" w:cs="仿宋_GB2312"/>
          <w:snapToGrid w:val="0"/>
          <w:color w:val="8B95A8"/>
          <w:spacing w:val="-1"/>
          <w:kern w:val="0"/>
          <w:sz w:val="24"/>
          <w:szCs w:val="24"/>
          <w:highlight w:val="none"/>
        </w:rPr>
      </w:pPr>
      <w:r>
        <w:rPr>
          <w:rFonts w:hint="eastAsia" w:ascii="仿宋_GB2312" w:hAnsi="仿宋_GB2312" w:eastAsia="仿宋_GB2312" w:cs="仿宋_GB2312"/>
          <w:kern w:val="0"/>
          <w:sz w:val="24"/>
          <w:szCs w:val="24"/>
          <w:highlight w:val="none"/>
        </w:rPr>
        <w:t>注：表格中分类、内容仅供示例参考，公司应</w:t>
      </w:r>
      <w:r>
        <w:rPr>
          <w:rFonts w:hint="eastAsia" w:ascii="仿宋_GB2312" w:hAnsi="仿宋_GB2312" w:eastAsia="仿宋_GB2312" w:cs="仿宋_GB2312"/>
          <w:kern w:val="0"/>
          <w:sz w:val="24"/>
          <w:szCs w:val="24"/>
          <w:highlight w:val="none"/>
          <w:lang w:eastAsia="zh-CN"/>
        </w:rPr>
        <w:t>当</w:t>
      </w:r>
      <w:r>
        <w:rPr>
          <w:rFonts w:hint="eastAsia" w:ascii="仿宋_GB2312" w:hAnsi="仿宋_GB2312" w:eastAsia="仿宋_GB2312" w:cs="仿宋_GB2312"/>
          <w:kern w:val="0"/>
          <w:sz w:val="24"/>
          <w:szCs w:val="24"/>
          <w:highlight w:val="none"/>
        </w:rPr>
        <w:t>结合自身情况确定。量化结果计算可</w:t>
      </w:r>
      <w:r>
        <w:rPr>
          <w:rFonts w:hint="eastAsia" w:ascii="仿宋_GB2312" w:hAnsi="仿宋_GB2312" w:eastAsia="仿宋_GB2312" w:cs="仿宋_GB2312"/>
          <w:kern w:val="0"/>
          <w:sz w:val="24"/>
          <w:szCs w:val="24"/>
          <w:highlight w:val="none"/>
          <w:lang w:eastAsia="zh-CN"/>
        </w:rPr>
        <w:t>以</w:t>
      </w:r>
      <w:r>
        <w:rPr>
          <w:rFonts w:hint="eastAsia" w:ascii="仿宋_GB2312" w:hAnsi="仿宋_GB2312" w:eastAsia="仿宋_GB2312" w:cs="仿宋_GB2312"/>
          <w:kern w:val="0"/>
          <w:sz w:val="24"/>
          <w:szCs w:val="24"/>
          <w:highlight w:val="none"/>
        </w:rPr>
        <w:t>参考《节能量测量和验证实施指南 GB/T32045—2015》等相关标准。</w:t>
      </w:r>
    </w:p>
    <w:p w14:paraId="072CE0C7">
      <w:pPr>
        <w:widowControl/>
        <w:adjustRightInd w:val="0"/>
        <w:snapToGrid w:val="0"/>
        <w:spacing w:line="560" w:lineRule="exact"/>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3．能源使用存在的具体困难（如有）。</w:t>
      </w:r>
    </w:p>
    <w:p w14:paraId="58799A8B">
      <w:pPr>
        <w:widowControl/>
        <w:adjustRightInd w:val="0"/>
        <w:snapToGrid w:val="0"/>
        <w:spacing w:line="560" w:lineRule="exact"/>
        <w:ind w:firstLine="600" w:firstLineChars="200"/>
        <w:rPr>
          <w:rFonts w:hint="default" w:ascii="Times New Roman" w:hAnsi="Times New Roman" w:cs="Times New Roman"/>
          <w:highlight w:val="none"/>
        </w:rPr>
      </w:pPr>
      <w:r>
        <w:rPr>
          <w:rFonts w:hint="eastAsia" w:ascii="仿宋_GB2312" w:hAnsi="仿宋_GB2312" w:eastAsia="仿宋_GB2312" w:cs="仿宋_GB2312"/>
          <w:sz w:val="30"/>
          <w:szCs w:val="30"/>
          <w:highlight w:val="none"/>
        </w:rPr>
        <w:t>披露主体可以结合公司实际情况披露能源使用中存在的困难，如在能源供应集中度、稳定性、能源成本、能源管理与技术、人才与资金投入等方面存在的具体困难</w:t>
      </w:r>
      <w:r>
        <w:rPr>
          <w:rFonts w:hint="eastAsia" w:ascii="仿宋_GB2312" w:hAnsi="仿宋_GB2312" w:eastAsia="仿宋_GB2312" w:cs="仿宋_GB2312"/>
          <w:sz w:val="30"/>
          <w:szCs w:val="30"/>
          <w:highlight w:val="none"/>
          <w:lang w:eastAsia="zh-CN"/>
        </w:rPr>
        <w:t>。</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ource Han Serif CN">
    <w:altName w:val="仿宋_GB2312"/>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汉仪仿宋简">
    <w:altName w:val="仿宋"/>
    <w:panose1 w:val="02010600000101010101"/>
    <w:charset w:val="86"/>
    <w:family w:val="auto"/>
    <w:pitch w:val="default"/>
    <w:sig w:usb0="00000000" w:usb1="00000000" w:usb2="00000002" w:usb3="00000000" w:csb0="00040000" w:csb1="00000000"/>
  </w:font>
  <w:font w:name="Verdana">
    <w:panose1 w:val="020B0604030504040204"/>
    <w:charset w:val="00"/>
    <w:family w:val="swiss"/>
    <w:pitch w:val="default"/>
    <w:sig w:usb0="A00006FF" w:usb1="4000205B" w:usb2="00000010" w:usb3="00000000" w:csb0="2000019F"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EDBB">
    <w:pPr>
      <w:pStyle w:val="12"/>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2597150</wp:posOffset>
              </wp:positionH>
              <wp:positionV relativeFrom="paragraph">
                <wp:posOffset>47625</wp:posOffset>
              </wp:positionV>
              <wp:extent cx="342900" cy="1003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42900" cy="100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5FE54">
                          <w:pPr>
                            <w:pStyle w:val="12"/>
                            <w:ind w:firstLine="360"/>
                            <w:rPr>
                              <w:rFonts w:hint="eastAsia" w:eastAsia="仿宋_GB2312"/>
                              <w:lang w:eastAsia="zh"/>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5pt;margin-top:3.75pt;height:7.9pt;width:27pt;mso-position-horizontal-relative:margin;z-index:251659264;mso-width-relative:page;mso-height-relative:page;" filled="f" stroked="f" coordsize="21600,21600" o:gfxdata="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DpqHjXAAAACAEAAA8AAAAAAAAAAQAgAAAAIgAAAGRycy9kb3ducmV2LnhtbFBL&#10;AQIUABQAAAAIAIdO4kAG178hMAIAAFUEAAAOAAAAAAAAAAEAIAAAACYBAABkcnMvZTJvRG9jLnht&#10;bFBLBQYAAAAABgAGAFkBAADIBQAAAAA=&#10;">
              <v:fill on="f" focussize="0,0"/>
              <v:stroke on="f" weight="0.5pt"/>
              <v:imagedata o:title=""/>
              <o:lock v:ext="edit" aspectratio="f"/>
              <v:textbox inset="0mm,0mm,0mm,0mm">
                <w:txbxContent>
                  <w:p w14:paraId="11C5FE54">
                    <w:pPr>
                      <w:pStyle w:val="12"/>
                      <w:ind w:firstLine="360"/>
                      <w:rPr>
                        <w:rFonts w:hint="eastAsia" w:eastAsia="仿宋_GB2312"/>
                        <w:lang w:eastAsia="zh"/>
                      </w:rPr>
                    </w:pPr>
                  </w:p>
                </w:txbxContent>
              </v:textbox>
            </v:shape>
          </w:pict>
        </mc:Fallback>
      </mc:AlternateContent>
    </w:r>
  </w:p>
  <w:p w14:paraId="2BA56539">
    <w:pPr>
      <w:tabs>
        <w:tab w:val="center" w:pos="4320"/>
        <w:tab w:val="right" w:pos="8640"/>
      </w:tabs>
      <w:rPr>
        <w:rFonts w:ascii="Verdana" w:hAnsi="Verdana"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1C954">
    <w:pPr>
      <w:tabs>
        <w:tab w:val="center" w:pos="4320"/>
        <w:tab w:val="right" w:pos="8640"/>
      </w:tabs>
      <w:jc w:val="center"/>
      <w:rPr>
        <w:rFonts w:ascii="Times New Roman" w:hAnsi="Times New Roman" w:cs="Times New Roman"/>
        <w:sz w:val="21"/>
      </w:rPr>
    </w:pPr>
  </w:p>
  <w:p w14:paraId="1752FFEB">
    <w:pPr>
      <w:tabs>
        <w:tab w:val="center" w:pos="4320"/>
        <w:tab w:val="right" w:pos="8640"/>
      </w:tabs>
      <w:rPr>
        <w:rFonts w:ascii="Verdana" w:hAnsi="Verdana"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Light" w:hAnsi="Calibri Light" w:cs="Times New Roman"/>
      </w:rPr>
      <w:id w:val="147470350"/>
    </w:sdtPr>
    <w:sdtEndPr>
      <w:rPr>
        <w:rFonts w:ascii="Times New Roman" w:hAnsi="Times New Roman" w:cs="Times New Roman"/>
        <w:sz w:val="21"/>
      </w:rPr>
    </w:sdtEndPr>
    <w:sdtContent>
      <w:p w14:paraId="597C5A0E">
        <w:pPr>
          <w:tabs>
            <w:tab w:val="center" w:pos="4320"/>
            <w:tab w:val="right" w:pos="8640"/>
          </w:tabs>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9</w:t>
        </w:r>
        <w:r>
          <w:rPr>
            <w:rFonts w:ascii="Times New Roman" w:hAnsi="Times New Roman" w:cs="Times New Roman"/>
            <w:sz w:val="21"/>
          </w:rPr>
          <w:fldChar w:fldCharType="end"/>
        </w:r>
      </w:p>
    </w:sdtContent>
  </w:sdt>
  <w:p w14:paraId="76DD1E02">
    <w:pPr>
      <w:tabs>
        <w:tab w:val="center" w:pos="4320"/>
        <w:tab w:val="right" w:pos="8640"/>
      </w:tabs>
      <w:rPr>
        <w:rFonts w:ascii="Verdana" w:hAnsi="Verdana"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960381183"/>
    </w:sdtPr>
    <w:sdtEndPr>
      <w:rPr>
        <w:rFonts w:ascii="Times New Roman" w:hAnsi="Times New Roman" w:cs="Times New Roman"/>
      </w:rPr>
    </w:sdtEndPr>
    <w:sdtContent>
      <w:p w14:paraId="3CFC1935">
        <w:pPr>
          <w:pStyle w:val="12"/>
          <w:spacing w:before="120"/>
          <w:ind w:firstLine="360"/>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21</w:t>
        </w:r>
        <w:r>
          <w:rPr>
            <w:rFonts w:ascii="Times New Roman" w:hAnsi="Times New Roman" w:cs="Times New Roman"/>
          </w:rPr>
          <w:fldChar w:fldCharType="end"/>
        </w:r>
      </w:p>
    </w:sdtContent>
  </w:sdt>
  <w:p w14:paraId="2E5FCF63">
    <w:pPr>
      <w:spacing w:before="1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6DF">
    <w:pPr>
      <w:pStyle w:val="12"/>
      <w:spacing w:before="120"/>
      <w:ind w:firstLine="360"/>
      <w:rPr>
        <w:rFonts w:hint="eastAsia"/>
      </w:rPr>
    </w:pPr>
  </w:p>
  <w:p w14:paraId="507E27AE">
    <w:pPr>
      <w:spacing w:before="120"/>
      <w:rPr>
        <w:rFonts w:hint="eastAsia"/>
      </w:rPr>
    </w:pPr>
  </w:p>
  <w:p w14:paraId="12C522FE">
    <w:pPr>
      <w:spacing w:before="120"/>
      <w:rPr>
        <w:rFonts w:hint="eastAsia"/>
      </w:rPr>
    </w:pPr>
  </w:p>
  <w:p w14:paraId="2FDC2984">
    <w:pPr>
      <w:spacing w:before="120"/>
      <w:rPr>
        <w:rFonts w:hint="eastAsia"/>
      </w:rPr>
    </w:pPr>
  </w:p>
  <w:p w14:paraId="2C316C1F">
    <w:pPr>
      <w:spacing w:before="120"/>
      <w:rPr>
        <w:rFonts w:hint="eastAsia"/>
      </w:rPr>
    </w:pPr>
  </w:p>
  <w:p w14:paraId="7F0D9974">
    <w:pPr>
      <w:spacing w:before="120"/>
      <w:rPr>
        <w:rFonts w:hint="eastAsia"/>
      </w:rPr>
    </w:pPr>
  </w:p>
  <w:p w14:paraId="47C5002F">
    <w:pPr>
      <w:spacing w:before="120"/>
      <w:rPr>
        <w:rFonts w:hint="eastAsia"/>
      </w:rPr>
    </w:pPr>
  </w:p>
  <w:p w14:paraId="6BA4ED74">
    <w:pPr>
      <w:spacing w:before="120"/>
      <w:rPr>
        <w:rFonts w:hint="eastAsia"/>
      </w:rPr>
    </w:pPr>
  </w:p>
  <w:p w14:paraId="313667F0">
    <w:pPr>
      <w:spacing w:before="120"/>
      <w:rPr>
        <w:rFonts w:hint="eastAsia"/>
      </w:rPr>
    </w:pPr>
  </w:p>
  <w:p w14:paraId="0F3E3224">
    <w:pPr>
      <w:spacing w:before="120"/>
      <w:rPr>
        <w:rFonts w:hint="eastAsia"/>
      </w:rPr>
    </w:pPr>
  </w:p>
  <w:p w14:paraId="60163B49">
    <w:pPr>
      <w:spacing w:before="120"/>
      <w:rPr>
        <w:rFonts w:hint="eastAsia"/>
      </w:rPr>
    </w:pPr>
  </w:p>
  <w:p w14:paraId="4FED3FCD">
    <w:pPr>
      <w:spacing w:before="120"/>
      <w:rPr>
        <w:rFonts w:hint="eastAsia"/>
      </w:rPr>
    </w:pPr>
  </w:p>
  <w:p w14:paraId="5BB584F8">
    <w:pPr>
      <w:spacing w:before="120"/>
      <w:rPr>
        <w:rFonts w:hint="eastAsia"/>
      </w:rPr>
    </w:pPr>
  </w:p>
  <w:p w14:paraId="5DBB14B4">
    <w:pPr>
      <w:spacing w:before="120"/>
      <w:rPr>
        <w:rFonts w:hint="eastAsia"/>
      </w:rPr>
    </w:pPr>
  </w:p>
  <w:p w14:paraId="6D162BD5">
    <w:pPr>
      <w:spacing w:before="12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84F02">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6AFD">
    <w:pPr>
      <w:tabs>
        <w:tab w:val="center" w:pos="4320"/>
        <w:tab w:val="right" w:pos="8640"/>
      </w:tabs>
      <w:rPr>
        <w:rFonts w:ascii="Calibri Light" w:hAnsi="Calibri Light"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2283">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B156">
    <w:pPr>
      <w:pStyle w:val="13"/>
      <w:spacing w:before="120"/>
      <w:ind w:firstLine="360"/>
      <w:rPr>
        <w:rFonts w:hint="eastAsia"/>
      </w:rPr>
    </w:pPr>
  </w:p>
  <w:p w14:paraId="16BBF9AD">
    <w:pPr>
      <w:spacing w:before="120"/>
      <w:rPr>
        <w:rFonts w:hint="eastAsia"/>
      </w:rPr>
    </w:pPr>
  </w:p>
  <w:p w14:paraId="446615A0">
    <w:pPr>
      <w:spacing w:before="120"/>
      <w:rPr>
        <w:rFonts w:hint="eastAsia"/>
      </w:rPr>
    </w:pPr>
  </w:p>
  <w:p w14:paraId="1B58624F">
    <w:pPr>
      <w:spacing w:before="120"/>
      <w:rPr>
        <w:rFonts w:hint="eastAsia"/>
      </w:rPr>
    </w:pPr>
  </w:p>
  <w:p w14:paraId="28C0399B">
    <w:pPr>
      <w:spacing w:before="120"/>
      <w:rPr>
        <w:rFonts w:hint="eastAsia"/>
      </w:rPr>
    </w:pPr>
  </w:p>
  <w:p w14:paraId="716EBF08">
    <w:pPr>
      <w:spacing w:before="120"/>
      <w:rPr>
        <w:rFonts w:hint="eastAsia"/>
      </w:rPr>
    </w:pPr>
  </w:p>
  <w:p w14:paraId="40A379F0">
    <w:pPr>
      <w:spacing w:before="120"/>
      <w:rPr>
        <w:rFonts w:hint="eastAsia"/>
      </w:rPr>
    </w:pPr>
  </w:p>
  <w:p w14:paraId="5A89B28B">
    <w:pPr>
      <w:spacing w:before="120"/>
      <w:rPr>
        <w:rFonts w:hint="eastAsia"/>
      </w:rPr>
    </w:pPr>
  </w:p>
  <w:p w14:paraId="6F936DD6">
    <w:pPr>
      <w:spacing w:before="120"/>
      <w:rPr>
        <w:rFonts w:hint="eastAsia"/>
      </w:rPr>
    </w:pPr>
  </w:p>
  <w:p w14:paraId="05E9A7CD">
    <w:pPr>
      <w:spacing w:before="120"/>
      <w:rPr>
        <w:rFonts w:hint="eastAsia"/>
      </w:rPr>
    </w:pPr>
  </w:p>
  <w:p w14:paraId="6FD71D17">
    <w:pPr>
      <w:spacing w:before="120"/>
      <w:rPr>
        <w:rFonts w:hint="eastAsia"/>
      </w:rPr>
    </w:pPr>
  </w:p>
  <w:p w14:paraId="2A83EF59">
    <w:pPr>
      <w:spacing w:before="120"/>
      <w:rPr>
        <w:rFonts w:hint="eastAsia"/>
      </w:rPr>
    </w:pPr>
  </w:p>
  <w:p w14:paraId="2281E3B4">
    <w:pPr>
      <w:spacing w:before="120"/>
      <w:rPr>
        <w:rFonts w:hint="eastAsia"/>
      </w:rPr>
    </w:pPr>
  </w:p>
  <w:p w14:paraId="6C0936F9">
    <w:pPr>
      <w:spacing w:before="120"/>
      <w:rPr>
        <w:rFonts w:hint="eastAsia"/>
      </w:rPr>
    </w:pPr>
  </w:p>
  <w:p w14:paraId="388ECC58">
    <w:pPr>
      <w:spacing w:before="1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FA1A">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5D72"/>
    <w:rsid w:val="00007A55"/>
    <w:rsid w:val="000101DA"/>
    <w:rsid w:val="0001095F"/>
    <w:rsid w:val="00011D20"/>
    <w:rsid w:val="0001277D"/>
    <w:rsid w:val="00013288"/>
    <w:rsid w:val="0001449D"/>
    <w:rsid w:val="00014DAF"/>
    <w:rsid w:val="0001575C"/>
    <w:rsid w:val="00015FAA"/>
    <w:rsid w:val="000174D6"/>
    <w:rsid w:val="00020A2A"/>
    <w:rsid w:val="00021F31"/>
    <w:rsid w:val="00022025"/>
    <w:rsid w:val="00022575"/>
    <w:rsid w:val="00022B9C"/>
    <w:rsid w:val="00025A7F"/>
    <w:rsid w:val="00025E74"/>
    <w:rsid w:val="000266D6"/>
    <w:rsid w:val="0003122E"/>
    <w:rsid w:val="00031950"/>
    <w:rsid w:val="00032B3A"/>
    <w:rsid w:val="00035093"/>
    <w:rsid w:val="00035870"/>
    <w:rsid w:val="00036F49"/>
    <w:rsid w:val="000378C3"/>
    <w:rsid w:val="00037913"/>
    <w:rsid w:val="0004101A"/>
    <w:rsid w:val="00042369"/>
    <w:rsid w:val="00044EF2"/>
    <w:rsid w:val="0004618C"/>
    <w:rsid w:val="00047119"/>
    <w:rsid w:val="00047E23"/>
    <w:rsid w:val="000507DB"/>
    <w:rsid w:val="00051F96"/>
    <w:rsid w:val="00052C5D"/>
    <w:rsid w:val="00052CE0"/>
    <w:rsid w:val="00053406"/>
    <w:rsid w:val="00054E9D"/>
    <w:rsid w:val="0005542A"/>
    <w:rsid w:val="00055734"/>
    <w:rsid w:val="00057982"/>
    <w:rsid w:val="00060523"/>
    <w:rsid w:val="00060CF4"/>
    <w:rsid w:val="000631E3"/>
    <w:rsid w:val="000655E1"/>
    <w:rsid w:val="00070744"/>
    <w:rsid w:val="000734FE"/>
    <w:rsid w:val="00073E55"/>
    <w:rsid w:val="00074FFC"/>
    <w:rsid w:val="000772FF"/>
    <w:rsid w:val="00077337"/>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AD4"/>
    <w:rsid w:val="000D0DDE"/>
    <w:rsid w:val="000D1102"/>
    <w:rsid w:val="000D2BCE"/>
    <w:rsid w:val="000D3547"/>
    <w:rsid w:val="000D3744"/>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7DB9"/>
    <w:rsid w:val="001008E1"/>
    <w:rsid w:val="00101649"/>
    <w:rsid w:val="0010246C"/>
    <w:rsid w:val="001035D8"/>
    <w:rsid w:val="0010387C"/>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3AA1"/>
    <w:rsid w:val="00154110"/>
    <w:rsid w:val="001542EA"/>
    <w:rsid w:val="00156A43"/>
    <w:rsid w:val="00160DE9"/>
    <w:rsid w:val="001618E5"/>
    <w:rsid w:val="001658D2"/>
    <w:rsid w:val="0016628E"/>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30F4"/>
    <w:rsid w:val="001D1ACC"/>
    <w:rsid w:val="001D22D6"/>
    <w:rsid w:val="001D276C"/>
    <w:rsid w:val="001D2F20"/>
    <w:rsid w:val="001D4508"/>
    <w:rsid w:val="001D4980"/>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1FAF"/>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A05"/>
    <w:rsid w:val="00227B60"/>
    <w:rsid w:val="00230312"/>
    <w:rsid w:val="00230A09"/>
    <w:rsid w:val="00234874"/>
    <w:rsid w:val="00234977"/>
    <w:rsid w:val="002356A1"/>
    <w:rsid w:val="002420BB"/>
    <w:rsid w:val="002434E9"/>
    <w:rsid w:val="00243D81"/>
    <w:rsid w:val="002444F1"/>
    <w:rsid w:val="00245D72"/>
    <w:rsid w:val="00245F69"/>
    <w:rsid w:val="0024778F"/>
    <w:rsid w:val="00247C00"/>
    <w:rsid w:val="00250652"/>
    <w:rsid w:val="0025246E"/>
    <w:rsid w:val="00252E3B"/>
    <w:rsid w:val="002538C8"/>
    <w:rsid w:val="00255DC7"/>
    <w:rsid w:val="00256CE4"/>
    <w:rsid w:val="002575E9"/>
    <w:rsid w:val="0026217F"/>
    <w:rsid w:val="002627EB"/>
    <w:rsid w:val="00263CDB"/>
    <w:rsid w:val="00266972"/>
    <w:rsid w:val="00267370"/>
    <w:rsid w:val="002702CD"/>
    <w:rsid w:val="0027068B"/>
    <w:rsid w:val="002718AF"/>
    <w:rsid w:val="00271D2E"/>
    <w:rsid w:val="00271D9A"/>
    <w:rsid w:val="002724E1"/>
    <w:rsid w:val="00272E31"/>
    <w:rsid w:val="002731D7"/>
    <w:rsid w:val="00275F6E"/>
    <w:rsid w:val="0027607A"/>
    <w:rsid w:val="002776C1"/>
    <w:rsid w:val="00280695"/>
    <w:rsid w:val="0028423C"/>
    <w:rsid w:val="002845C1"/>
    <w:rsid w:val="00286E75"/>
    <w:rsid w:val="00290914"/>
    <w:rsid w:val="00290A87"/>
    <w:rsid w:val="00290E58"/>
    <w:rsid w:val="002917CB"/>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3C71"/>
    <w:rsid w:val="00315AD7"/>
    <w:rsid w:val="00316F39"/>
    <w:rsid w:val="003200FE"/>
    <w:rsid w:val="0032062A"/>
    <w:rsid w:val="00322C14"/>
    <w:rsid w:val="00325AAD"/>
    <w:rsid w:val="0032727E"/>
    <w:rsid w:val="00330C51"/>
    <w:rsid w:val="00330D8F"/>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089"/>
    <w:rsid w:val="0036060A"/>
    <w:rsid w:val="00360ADC"/>
    <w:rsid w:val="00361AE1"/>
    <w:rsid w:val="00362C59"/>
    <w:rsid w:val="00362E7B"/>
    <w:rsid w:val="00362FFC"/>
    <w:rsid w:val="003664DB"/>
    <w:rsid w:val="003672B2"/>
    <w:rsid w:val="00367E0B"/>
    <w:rsid w:val="00367FB2"/>
    <w:rsid w:val="003704C0"/>
    <w:rsid w:val="00371E88"/>
    <w:rsid w:val="00372061"/>
    <w:rsid w:val="003721D8"/>
    <w:rsid w:val="00372806"/>
    <w:rsid w:val="00374C7B"/>
    <w:rsid w:val="00376B37"/>
    <w:rsid w:val="00376C51"/>
    <w:rsid w:val="00380938"/>
    <w:rsid w:val="00381040"/>
    <w:rsid w:val="00381FA1"/>
    <w:rsid w:val="00383F59"/>
    <w:rsid w:val="00384D21"/>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3867"/>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075D"/>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4178"/>
    <w:rsid w:val="004645D2"/>
    <w:rsid w:val="004647F1"/>
    <w:rsid w:val="00464AE6"/>
    <w:rsid w:val="004666FE"/>
    <w:rsid w:val="00466E6E"/>
    <w:rsid w:val="004670E5"/>
    <w:rsid w:val="0046741B"/>
    <w:rsid w:val="00467C84"/>
    <w:rsid w:val="00470433"/>
    <w:rsid w:val="0047179A"/>
    <w:rsid w:val="004721D3"/>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374D5"/>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1115"/>
    <w:rsid w:val="00573178"/>
    <w:rsid w:val="00574562"/>
    <w:rsid w:val="00577B66"/>
    <w:rsid w:val="005808F2"/>
    <w:rsid w:val="00580D32"/>
    <w:rsid w:val="00580DB2"/>
    <w:rsid w:val="005826A1"/>
    <w:rsid w:val="005829AC"/>
    <w:rsid w:val="00583B93"/>
    <w:rsid w:val="00583D63"/>
    <w:rsid w:val="00583E36"/>
    <w:rsid w:val="00584185"/>
    <w:rsid w:val="005842D8"/>
    <w:rsid w:val="00590214"/>
    <w:rsid w:val="00593F83"/>
    <w:rsid w:val="00594A32"/>
    <w:rsid w:val="00594AA0"/>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10C"/>
    <w:rsid w:val="005D434D"/>
    <w:rsid w:val="005D6333"/>
    <w:rsid w:val="005D66E9"/>
    <w:rsid w:val="005D6B51"/>
    <w:rsid w:val="005D6BDF"/>
    <w:rsid w:val="005D6DE8"/>
    <w:rsid w:val="005E19DC"/>
    <w:rsid w:val="005E2DF5"/>
    <w:rsid w:val="005E31AA"/>
    <w:rsid w:val="005E33C5"/>
    <w:rsid w:val="005E5B25"/>
    <w:rsid w:val="005E7D84"/>
    <w:rsid w:val="005F2249"/>
    <w:rsid w:val="005F240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27046"/>
    <w:rsid w:val="00631042"/>
    <w:rsid w:val="00631C2D"/>
    <w:rsid w:val="00631D3A"/>
    <w:rsid w:val="006407CA"/>
    <w:rsid w:val="006438FA"/>
    <w:rsid w:val="00643DFE"/>
    <w:rsid w:val="006505A8"/>
    <w:rsid w:val="00650E15"/>
    <w:rsid w:val="00651003"/>
    <w:rsid w:val="00651B5F"/>
    <w:rsid w:val="00654772"/>
    <w:rsid w:val="00657F40"/>
    <w:rsid w:val="00660106"/>
    <w:rsid w:val="006639BD"/>
    <w:rsid w:val="0066416E"/>
    <w:rsid w:val="0066542B"/>
    <w:rsid w:val="00665479"/>
    <w:rsid w:val="00665C35"/>
    <w:rsid w:val="006661DB"/>
    <w:rsid w:val="00666382"/>
    <w:rsid w:val="00666DEC"/>
    <w:rsid w:val="00667995"/>
    <w:rsid w:val="00667EC1"/>
    <w:rsid w:val="00675F32"/>
    <w:rsid w:val="006777B8"/>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05F3"/>
    <w:rsid w:val="006A2203"/>
    <w:rsid w:val="006A25FE"/>
    <w:rsid w:val="006A2720"/>
    <w:rsid w:val="006A27C5"/>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3C89"/>
    <w:rsid w:val="006E4893"/>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0C95"/>
    <w:rsid w:val="00762D18"/>
    <w:rsid w:val="00764317"/>
    <w:rsid w:val="00765512"/>
    <w:rsid w:val="00767126"/>
    <w:rsid w:val="007726A4"/>
    <w:rsid w:val="0077578F"/>
    <w:rsid w:val="00776C25"/>
    <w:rsid w:val="00777732"/>
    <w:rsid w:val="007801BF"/>
    <w:rsid w:val="00780531"/>
    <w:rsid w:val="007809E2"/>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E592F"/>
    <w:rsid w:val="007E5DEA"/>
    <w:rsid w:val="007E6522"/>
    <w:rsid w:val="007E6F2E"/>
    <w:rsid w:val="007E7F12"/>
    <w:rsid w:val="007F0593"/>
    <w:rsid w:val="007F10EC"/>
    <w:rsid w:val="007F2716"/>
    <w:rsid w:val="007F2B45"/>
    <w:rsid w:val="007F3383"/>
    <w:rsid w:val="007F4267"/>
    <w:rsid w:val="007F5873"/>
    <w:rsid w:val="007F78C7"/>
    <w:rsid w:val="00800789"/>
    <w:rsid w:val="0080097F"/>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3DE"/>
    <w:rsid w:val="008246CE"/>
    <w:rsid w:val="00825BBC"/>
    <w:rsid w:val="008323CC"/>
    <w:rsid w:val="008341C7"/>
    <w:rsid w:val="008361E8"/>
    <w:rsid w:val="00837857"/>
    <w:rsid w:val="00837B18"/>
    <w:rsid w:val="00842002"/>
    <w:rsid w:val="008421EE"/>
    <w:rsid w:val="008426D3"/>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8E"/>
    <w:rsid w:val="009043E2"/>
    <w:rsid w:val="00904B53"/>
    <w:rsid w:val="00906C5B"/>
    <w:rsid w:val="009104CC"/>
    <w:rsid w:val="0091100B"/>
    <w:rsid w:val="00911F73"/>
    <w:rsid w:val="0091244F"/>
    <w:rsid w:val="009129A9"/>
    <w:rsid w:val="009133DA"/>
    <w:rsid w:val="00913501"/>
    <w:rsid w:val="009140B7"/>
    <w:rsid w:val="00914F63"/>
    <w:rsid w:val="00916AF1"/>
    <w:rsid w:val="00917F29"/>
    <w:rsid w:val="00920C82"/>
    <w:rsid w:val="00920DAF"/>
    <w:rsid w:val="00921DEA"/>
    <w:rsid w:val="009248CE"/>
    <w:rsid w:val="00924C62"/>
    <w:rsid w:val="00925F85"/>
    <w:rsid w:val="00931C7B"/>
    <w:rsid w:val="00933FD8"/>
    <w:rsid w:val="00934B6B"/>
    <w:rsid w:val="00934F1D"/>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67A6"/>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0E69"/>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494"/>
    <w:rsid w:val="00B91D30"/>
    <w:rsid w:val="00B9358E"/>
    <w:rsid w:val="00B94294"/>
    <w:rsid w:val="00B96741"/>
    <w:rsid w:val="00B97114"/>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2E46"/>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8B6"/>
    <w:rsid w:val="00CC7B39"/>
    <w:rsid w:val="00CD0654"/>
    <w:rsid w:val="00CD06B3"/>
    <w:rsid w:val="00CD17BA"/>
    <w:rsid w:val="00CD1944"/>
    <w:rsid w:val="00CD4B13"/>
    <w:rsid w:val="00CE08FA"/>
    <w:rsid w:val="00CE0A11"/>
    <w:rsid w:val="00CE120D"/>
    <w:rsid w:val="00CE4B9B"/>
    <w:rsid w:val="00CE53C2"/>
    <w:rsid w:val="00CE7E4D"/>
    <w:rsid w:val="00CF0E03"/>
    <w:rsid w:val="00CF2327"/>
    <w:rsid w:val="00CF4D23"/>
    <w:rsid w:val="00CF69B5"/>
    <w:rsid w:val="00D0006E"/>
    <w:rsid w:val="00D0059C"/>
    <w:rsid w:val="00D02B22"/>
    <w:rsid w:val="00D02DF4"/>
    <w:rsid w:val="00D046C5"/>
    <w:rsid w:val="00D04F60"/>
    <w:rsid w:val="00D14414"/>
    <w:rsid w:val="00D15DA2"/>
    <w:rsid w:val="00D1602A"/>
    <w:rsid w:val="00D16262"/>
    <w:rsid w:val="00D16F35"/>
    <w:rsid w:val="00D209D9"/>
    <w:rsid w:val="00D2108D"/>
    <w:rsid w:val="00D22127"/>
    <w:rsid w:val="00D243DD"/>
    <w:rsid w:val="00D2516E"/>
    <w:rsid w:val="00D25408"/>
    <w:rsid w:val="00D254FB"/>
    <w:rsid w:val="00D26A4B"/>
    <w:rsid w:val="00D26D10"/>
    <w:rsid w:val="00D277B5"/>
    <w:rsid w:val="00D31C1C"/>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251D"/>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C3EC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40D"/>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823"/>
    <w:rsid w:val="00E76C60"/>
    <w:rsid w:val="00E774E4"/>
    <w:rsid w:val="00E80100"/>
    <w:rsid w:val="00E80406"/>
    <w:rsid w:val="00E80AA5"/>
    <w:rsid w:val="00E81059"/>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09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2EFB"/>
    <w:rsid w:val="00F4741F"/>
    <w:rsid w:val="00F508CF"/>
    <w:rsid w:val="00F512F6"/>
    <w:rsid w:val="00F5420D"/>
    <w:rsid w:val="00F55444"/>
    <w:rsid w:val="00F55A6A"/>
    <w:rsid w:val="00F55B8C"/>
    <w:rsid w:val="00F560F0"/>
    <w:rsid w:val="00F57301"/>
    <w:rsid w:val="00F602D9"/>
    <w:rsid w:val="00F618E4"/>
    <w:rsid w:val="00F6360E"/>
    <w:rsid w:val="00F637BE"/>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7D"/>
    <w:rsid w:val="00F91C96"/>
    <w:rsid w:val="00F92238"/>
    <w:rsid w:val="00F9227E"/>
    <w:rsid w:val="00F95378"/>
    <w:rsid w:val="00F958CC"/>
    <w:rsid w:val="00F9606E"/>
    <w:rsid w:val="00F961D6"/>
    <w:rsid w:val="00F978AA"/>
    <w:rsid w:val="00FA2548"/>
    <w:rsid w:val="00FA2C5A"/>
    <w:rsid w:val="00FA3A27"/>
    <w:rsid w:val="00FA41BD"/>
    <w:rsid w:val="00FA5729"/>
    <w:rsid w:val="00FA65F0"/>
    <w:rsid w:val="00FA744B"/>
    <w:rsid w:val="00FA785C"/>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6A59B3"/>
    <w:rsid w:val="0180792C"/>
    <w:rsid w:val="0183453D"/>
    <w:rsid w:val="01893391"/>
    <w:rsid w:val="01D90ED7"/>
    <w:rsid w:val="01FA65AD"/>
    <w:rsid w:val="021C6183"/>
    <w:rsid w:val="02292983"/>
    <w:rsid w:val="02657057"/>
    <w:rsid w:val="02780A9B"/>
    <w:rsid w:val="028832B4"/>
    <w:rsid w:val="02931780"/>
    <w:rsid w:val="02944733"/>
    <w:rsid w:val="029B5D53"/>
    <w:rsid w:val="02AD7C71"/>
    <w:rsid w:val="02D432A2"/>
    <w:rsid w:val="02D768EE"/>
    <w:rsid w:val="039C332F"/>
    <w:rsid w:val="03BC0EB4"/>
    <w:rsid w:val="03CE5F43"/>
    <w:rsid w:val="03EE0393"/>
    <w:rsid w:val="03F429F8"/>
    <w:rsid w:val="04591348"/>
    <w:rsid w:val="046441B2"/>
    <w:rsid w:val="046D0B07"/>
    <w:rsid w:val="04770389"/>
    <w:rsid w:val="04A942BA"/>
    <w:rsid w:val="04B07740"/>
    <w:rsid w:val="04F95D2B"/>
    <w:rsid w:val="050078CE"/>
    <w:rsid w:val="050463C4"/>
    <w:rsid w:val="053B5B26"/>
    <w:rsid w:val="054F4E62"/>
    <w:rsid w:val="055A55B4"/>
    <w:rsid w:val="05B76F44"/>
    <w:rsid w:val="05BA38B3"/>
    <w:rsid w:val="06140942"/>
    <w:rsid w:val="065906F6"/>
    <w:rsid w:val="065B276A"/>
    <w:rsid w:val="065F7326"/>
    <w:rsid w:val="06AD62E4"/>
    <w:rsid w:val="06B07B82"/>
    <w:rsid w:val="06E34177"/>
    <w:rsid w:val="06EC66E0"/>
    <w:rsid w:val="06F01EEF"/>
    <w:rsid w:val="06FD1204"/>
    <w:rsid w:val="07117EA5"/>
    <w:rsid w:val="071D508F"/>
    <w:rsid w:val="071F2A3E"/>
    <w:rsid w:val="072858CC"/>
    <w:rsid w:val="0737322B"/>
    <w:rsid w:val="075D7DCE"/>
    <w:rsid w:val="079106EB"/>
    <w:rsid w:val="07990616"/>
    <w:rsid w:val="07EA70C4"/>
    <w:rsid w:val="0802440D"/>
    <w:rsid w:val="08201CBA"/>
    <w:rsid w:val="083B358D"/>
    <w:rsid w:val="088F310A"/>
    <w:rsid w:val="088F6118"/>
    <w:rsid w:val="08AC25CB"/>
    <w:rsid w:val="08B1373D"/>
    <w:rsid w:val="08E43623"/>
    <w:rsid w:val="08F724F0"/>
    <w:rsid w:val="08F74237"/>
    <w:rsid w:val="09216B15"/>
    <w:rsid w:val="092A0515"/>
    <w:rsid w:val="093A4032"/>
    <w:rsid w:val="09417EA6"/>
    <w:rsid w:val="09542451"/>
    <w:rsid w:val="09D0518B"/>
    <w:rsid w:val="09EF7E0C"/>
    <w:rsid w:val="09F50B88"/>
    <w:rsid w:val="0A0E1B3D"/>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6127B1"/>
    <w:rsid w:val="0C827AA6"/>
    <w:rsid w:val="0C927091"/>
    <w:rsid w:val="0C9A023C"/>
    <w:rsid w:val="0CB42FE4"/>
    <w:rsid w:val="0CBD0903"/>
    <w:rsid w:val="0D0943F8"/>
    <w:rsid w:val="0D2941EA"/>
    <w:rsid w:val="0D796057"/>
    <w:rsid w:val="0D8B7E99"/>
    <w:rsid w:val="0D9E67E5"/>
    <w:rsid w:val="0DA43871"/>
    <w:rsid w:val="0DBE1AA2"/>
    <w:rsid w:val="0DBE4FEB"/>
    <w:rsid w:val="0E242B7E"/>
    <w:rsid w:val="0E3F636E"/>
    <w:rsid w:val="0E6940FD"/>
    <w:rsid w:val="0E747874"/>
    <w:rsid w:val="0E773F4A"/>
    <w:rsid w:val="0EA77CB0"/>
    <w:rsid w:val="0ECC12D1"/>
    <w:rsid w:val="0ED50710"/>
    <w:rsid w:val="0ED84814"/>
    <w:rsid w:val="0EFF5B55"/>
    <w:rsid w:val="0F0D5446"/>
    <w:rsid w:val="0F1B4A58"/>
    <w:rsid w:val="0F2147E6"/>
    <w:rsid w:val="0F497624"/>
    <w:rsid w:val="0F5710B1"/>
    <w:rsid w:val="0F5F0397"/>
    <w:rsid w:val="0F897E70"/>
    <w:rsid w:val="0FBC3605"/>
    <w:rsid w:val="0FDD12BC"/>
    <w:rsid w:val="10257C82"/>
    <w:rsid w:val="103E2154"/>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8498E"/>
    <w:rsid w:val="12A738C8"/>
    <w:rsid w:val="12B50183"/>
    <w:rsid w:val="12BF0D99"/>
    <w:rsid w:val="12ED1BFE"/>
    <w:rsid w:val="12F640D9"/>
    <w:rsid w:val="12FE7BB6"/>
    <w:rsid w:val="13057541"/>
    <w:rsid w:val="13083D49"/>
    <w:rsid w:val="13095F47"/>
    <w:rsid w:val="13106C9B"/>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A81DE2"/>
    <w:rsid w:val="14B67942"/>
    <w:rsid w:val="151E111F"/>
    <w:rsid w:val="155E4C4D"/>
    <w:rsid w:val="158212AB"/>
    <w:rsid w:val="158775E0"/>
    <w:rsid w:val="15A43EE9"/>
    <w:rsid w:val="15BB4F2C"/>
    <w:rsid w:val="15C63D1D"/>
    <w:rsid w:val="15C727F2"/>
    <w:rsid w:val="15C771B1"/>
    <w:rsid w:val="15E433A4"/>
    <w:rsid w:val="15F1161D"/>
    <w:rsid w:val="15FC1CF2"/>
    <w:rsid w:val="16551E01"/>
    <w:rsid w:val="165E3157"/>
    <w:rsid w:val="1672312F"/>
    <w:rsid w:val="168E1562"/>
    <w:rsid w:val="16DA6555"/>
    <w:rsid w:val="170A0918"/>
    <w:rsid w:val="1714006B"/>
    <w:rsid w:val="171A4173"/>
    <w:rsid w:val="172F1E41"/>
    <w:rsid w:val="173C59AC"/>
    <w:rsid w:val="173E0EAF"/>
    <w:rsid w:val="175C4F96"/>
    <w:rsid w:val="178766DD"/>
    <w:rsid w:val="17A51A0B"/>
    <w:rsid w:val="17BD20FF"/>
    <w:rsid w:val="17CA65CA"/>
    <w:rsid w:val="17E92839"/>
    <w:rsid w:val="180C3FE1"/>
    <w:rsid w:val="181810E3"/>
    <w:rsid w:val="182E0907"/>
    <w:rsid w:val="183630E7"/>
    <w:rsid w:val="183E42D5"/>
    <w:rsid w:val="186D2F3B"/>
    <w:rsid w:val="18B16F26"/>
    <w:rsid w:val="18D1616E"/>
    <w:rsid w:val="18D46CB8"/>
    <w:rsid w:val="18E84F59"/>
    <w:rsid w:val="18F26EAB"/>
    <w:rsid w:val="18FF1D76"/>
    <w:rsid w:val="190855FC"/>
    <w:rsid w:val="19193365"/>
    <w:rsid w:val="191E6EEF"/>
    <w:rsid w:val="192835A8"/>
    <w:rsid w:val="192F0DDA"/>
    <w:rsid w:val="198763F5"/>
    <w:rsid w:val="19A35324"/>
    <w:rsid w:val="19D17B11"/>
    <w:rsid w:val="19FC4CD9"/>
    <w:rsid w:val="1A2227A0"/>
    <w:rsid w:val="1A2B27FC"/>
    <w:rsid w:val="1A423B81"/>
    <w:rsid w:val="1A5345A4"/>
    <w:rsid w:val="1A631AAF"/>
    <w:rsid w:val="1A67585D"/>
    <w:rsid w:val="1A7F342E"/>
    <w:rsid w:val="1A8F0467"/>
    <w:rsid w:val="1A9B5FFB"/>
    <w:rsid w:val="1AB64BE3"/>
    <w:rsid w:val="1B2D117A"/>
    <w:rsid w:val="1B306444"/>
    <w:rsid w:val="1B354DDE"/>
    <w:rsid w:val="1B6A60FA"/>
    <w:rsid w:val="1B854CE1"/>
    <w:rsid w:val="1B9B2757"/>
    <w:rsid w:val="1BAF4E1B"/>
    <w:rsid w:val="1BB70009"/>
    <w:rsid w:val="1BBF6318"/>
    <w:rsid w:val="1BC9004E"/>
    <w:rsid w:val="1BCF4E3C"/>
    <w:rsid w:val="1BE20386"/>
    <w:rsid w:val="1BFB1448"/>
    <w:rsid w:val="1C0334B8"/>
    <w:rsid w:val="1C0A168B"/>
    <w:rsid w:val="1C101580"/>
    <w:rsid w:val="1C252021"/>
    <w:rsid w:val="1C857CD7"/>
    <w:rsid w:val="1C94144C"/>
    <w:rsid w:val="1CA65B7D"/>
    <w:rsid w:val="1CCA0615"/>
    <w:rsid w:val="1CE56278"/>
    <w:rsid w:val="1D027BEA"/>
    <w:rsid w:val="1D687B7F"/>
    <w:rsid w:val="1D7E755C"/>
    <w:rsid w:val="1D8E253F"/>
    <w:rsid w:val="1DAA72BB"/>
    <w:rsid w:val="1DC55869"/>
    <w:rsid w:val="1DD57E18"/>
    <w:rsid w:val="1DDA2008"/>
    <w:rsid w:val="1DE226F6"/>
    <w:rsid w:val="1E0740D4"/>
    <w:rsid w:val="1E4A4B1F"/>
    <w:rsid w:val="1ECB5F13"/>
    <w:rsid w:val="1EE12B77"/>
    <w:rsid w:val="1F02599A"/>
    <w:rsid w:val="1F1160DC"/>
    <w:rsid w:val="1F5514F4"/>
    <w:rsid w:val="1F7C13B4"/>
    <w:rsid w:val="1FA50D5F"/>
    <w:rsid w:val="1FBF9CF6"/>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0790"/>
    <w:rsid w:val="213848B6"/>
    <w:rsid w:val="21780E44"/>
    <w:rsid w:val="21867A05"/>
    <w:rsid w:val="2193710C"/>
    <w:rsid w:val="21A038AF"/>
    <w:rsid w:val="21A24D84"/>
    <w:rsid w:val="21CD2DCA"/>
    <w:rsid w:val="223074F9"/>
    <w:rsid w:val="22350AE4"/>
    <w:rsid w:val="224F7DF7"/>
    <w:rsid w:val="226E6C73"/>
    <w:rsid w:val="227F6529"/>
    <w:rsid w:val="229B25D6"/>
    <w:rsid w:val="22A0025D"/>
    <w:rsid w:val="22A2261D"/>
    <w:rsid w:val="22B9698F"/>
    <w:rsid w:val="22C03B22"/>
    <w:rsid w:val="22D60519"/>
    <w:rsid w:val="22E01A46"/>
    <w:rsid w:val="22E5535D"/>
    <w:rsid w:val="22FF4360"/>
    <w:rsid w:val="23103009"/>
    <w:rsid w:val="234D336A"/>
    <w:rsid w:val="23517A57"/>
    <w:rsid w:val="23647308"/>
    <w:rsid w:val="2365630E"/>
    <w:rsid w:val="23700030"/>
    <w:rsid w:val="237346E5"/>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AD398E"/>
    <w:rsid w:val="24C26212"/>
    <w:rsid w:val="24CE347D"/>
    <w:rsid w:val="253F23A5"/>
    <w:rsid w:val="25500059"/>
    <w:rsid w:val="256C6F12"/>
    <w:rsid w:val="25CA52B4"/>
    <w:rsid w:val="25D133E1"/>
    <w:rsid w:val="25F460EE"/>
    <w:rsid w:val="25F56309"/>
    <w:rsid w:val="262B20C6"/>
    <w:rsid w:val="262F59B5"/>
    <w:rsid w:val="26600D09"/>
    <w:rsid w:val="2661324C"/>
    <w:rsid w:val="26631EC1"/>
    <w:rsid w:val="266938DF"/>
    <w:rsid w:val="26844978"/>
    <w:rsid w:val="26B13621"/>
    <w:rsid w:val="26EE1FC0"/>
    <w:rsid w:val="27156F2D"/>
    <w:rsid w:val="272E3D10"/>
    <w:rsid w:val="273309CB"/>
    <w:rsid w:val="273D46C2"/>
    <w:rsid w:val="275F3B4D"/>
    <w:rsid w:val="27634AAD"/>
    <w:rsid w:val="276C31F9"/>
    <w:rsid w:val="27726B79"/>
    <w:rsid w:val="277976C4"/>
    <w:rsid w:val="27846795"/>
    <w:rsid w:val="279454BD"/>
    <w:rsid w:val="27A21EAF"/>
    <w:rsid w:val="27B41158"/>
    <w:rsid w:val="27B74C71"/>
    <w:rsid w:val="27BF5A1F"/>
    <w:rsid w:val="286B151B"/>
    <w:rsid w:val="28834C45"/>
    <w:rsid w:val="2892191C"/>
    <w:rsid w:val="289A78F2"/>
    <w:rsid w:val="289B1FE8"/>
    <w:rsid w:val="28C8445F"/>
    <w:rsid w:val="28C84E77"/>
    <w:rsid w:val="28D66E8F"/>
    <w:rsid w:val="28F17CF9"/>
    <w:rsid w:val="29123BA5"/>
    <w:rsid w:val="294778BF"/>
    <w:rsid w:val="29585AF1"/>
    <w:rsid w:val="29620A37"/>
    <w:rsid w:val="29714AF7"/>
    <w:rsid w:val="2971760E"/>
    <w:rsid w:val="299C3663"/>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B36041"/>
    <w:rsid w:val="2BD00D45"/>
    <w:rsid w:val="2BE91584"/>
    <w:rsid w:val="2C13735F"/>
    <w:rsid w:val="2C291503"/>
    <w:rsid w:val="2C477D91"/>
    <w:rsid w:val="2C4C6FA3"/>
    <w:rsid w:val="2C87484C"/>
    <w:rsid w:val="2CB76CC5"/>
    <w:rsid w:val="2CDB1CEB"/>
    <w:rsid w:val="2D1660E1"/>
    <w:rsid w:val="2D3C7E15"/>
    <w:rsid w:val="2D5375D5"/>
    <w:rsid w:val="2D6C73C2"/>
    <w:rsid w:val="2D9E48E8"/>
    <w:rsid w:val="2DB925F5"/>
    <w:rsid w:val="2DED4030"/>
    <w:rsid w:val="2DF56CBA"/>
    <w:rsid w:val="2DFD4901"/>
    <w:rsid w:val="2E02278E"/>
    <w:rsid w:val="2E135F1B"/>
    <w:rsid w:val="2E522A7E"/>
    <w:rsid w:val="2E6C30BE"/>
    <w:rsid w:val="2EAB7223"/>
    <w:rsid w:val="2EC952CF"/>
    <w:rsid w:val="2EDB7876"/>
    <w:rsid w:val="2EE73D55"/>
    <w:rsid w:val="2F0712A4"/>
    <w:rsid w:val="2F0D5F48"/>
    <w:rsid w:val="2F1877C3"/>
    <w:rsid w:val="2F292AD6"/>
    <w:rsid w:val="2F376C15"/>
    <w:rsid w:val="2F414F6C"/>
    <w:rsid w:val="2F8172D4"/>
    <w:rsid w:val="2FA05B57"/>
    <w:rsid w:val="2FA450DE"/>
    <w:rsid w:val="2FCC2A87"/>
    <w:rsid w:val="2FD51F89"/>
    <w:rsid w:val="30240B15"/>
    <w:rsid w:val="303D06B3"/>
    <w:rsid w:val="30473E46"/>
    <w:rsid w:val="306B2C29"/>
    <w:rsid w:val="30972047"/>
    <w:rsid w:val="309E19D2"/>
    <w:rsid w:val="30B6433C"/>
    <w:rsid w:val="30C71F6A"/>
    <w:rsid w:val="30D00B18"/>
    <w:rsid w:val="30FF4EEE"/>
    <w:rsid w:val="31021E52"/>
    <w:rsid w:val="3105339B"/>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A90701"/>
    <w:rsid w:val="32F04CDF"/>
    <w:rsid w:val="33284C22"/>
    <w:rsid w:val="332B7336"/>
    <w:rsid w:val="33305F0C"/>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861555"/>
    <w:rsid w:val="3797DC2C"/>
    <w:rsid w:val="37B214EF"/>
    <w:rsid w:val="37B620F4"/>
    <w:rsid w:val="37B96B0F"/>
    <w:rsid w:val="37BA6FC1"/>
    <w:rsid w:val="37E07842"/>
    <w:rsid w:val="37F86794"/>
    <w:rsid w:val="37FD52FF"/>
    <w:rsid w:val="38145D11"/>
    <w:rsid w:val="3882287D"/>
    <w:rsid w:val="38A05623"/>
    <w:rsid w:val="38DB4455"/>
    <w:rsid w:val="38FF492E"/>
    <w:rsid w:val="39194863"/>
    <w:rsid w:val="39315CF4"/>
    <w:rsid w:val="39446C3B"/>
    <w:rsid w:val="39457729"/>
    <w:rsid w:val="39504541"/>
    <w:rsid w:val="395B09E4"/>
    <w:rsid w:val="396E5901"/>
    <w:rsid w:val="39945689"/>
    <w:rsid w:val="39965D61"/>
    <w:rsid w:val="39D83EE5"/>
    <w:rsid w:val="39E840D9"/>
    <w:rsid w:val="39F374A0"/>
    <w:rsid w:val="3A347611"/>
    <w:rsid w:val="3A3F1D10"/>
    <w:rsid w:val="3A49242D"/>
    <w:rsid w:val="3A5925EE"/>
    <w:rsid w:val="3AA27206"/>
    <w:rsid w:val="3AA96157"/>
    <w:rsid w:val="3AC33BEE"/>
    <w:rsid w:val="3AD96499"/>
    <w:rsid w:val="3ADF4F1E"/>
    <w:rsid w:val="3AFF08D7"/>
    <w:rsid w:val="3AFF6407"/>
    <w:rsid w:val="3B0D21A6"/>
    <w:rsid w:val="3B134ED2"/>
    <w:rsid w:val="3B1B329B"/>
    <w:rsid w:val="3B2D013E"/>
    <w:rsid w:val="3B4521AB"/>
    <w:rsid w:val="3B4535CA"/>
    <w:rsid w:val="3B554279"/>
    <w:rsid w:val="3B660234"/>
    <w:rsid w:val="3B6E5F20"/>
    <w:rsid w:val="3B7C7A57"/>
    <w:rsid w:val="3B7F07CA"/>
    <w:rsid w:val="3B96663F"/>
    <w:rsid w:val="3BBF665E"/>
    <w:rsid w:val="3BF70B2D"/>
    <w:rsid w:val="3C1C32AB"/>
    <w:rsid w:val="3C7704C4"/>
    <w:rsid w:val="3C9E57AB"/>
    <w:rsid w:val="3CA359B5"/>
    <w:rsid w:val="3CD13DD3"/>
    <w:rsid w:val="3D0D2931"/>
    <w:rsid w:val="3D245222"/>
    <w:rsid w:val="3D536C64"/>
    <w:rsid w:val="3D5D04C1"/>
    <w:rsid w:val="3D725EAD"/>
    <w:rsid w:val="3D8C47FC"/>
    <w:rsid w:val="3D986795"/>
    <w:rsid w:val="3DC76F84"/>
    <w:rsid w:val="3DCA646D"/>
    <w:rsid w:val="3E2E57F7"/>
    <w:rsid w:val="3E595383"/>
    <w:rsid w:val="3E6B5ABF"/>
    <w:rsid w:val="3E774506"/>
    <w:rsid w:val="3EAA7506"/>
    <w:rsid w:val="3EEF8672"/>
    <w:rsid w:val="3F055FB6"/>
    <w:rsid w:val="3F065835"/>
    <w:rsid w:val="3F3A3478"/>
    <w:rsid w:val="3F5E56C6"/>
    <w:rsid w:val="3F6031EC"/>
    <w:rsid w:val="3F6FAD7D"/>
    <w:rsid w:val="3F7722E4"/>
    <w:rsid w:val="3F777706"/>
    <w:rsid w:val="3F7BF5FB"/>
    <w:rsid w:val="3FB86B84"/>
    <w:rsid w:val="3FD6525C"/>
    <w:rsid w:val="3FF16DA3"/>
    <w:rsid w:val="3FFFC8BE"/>
    <w:rsid w:val="400F0D79"/>
    <w:rsid w:val="40BC00EF"/>
    <w:rsid w:val="40C5242F"/>
    <w:rsid w:val="40C73FD6"/>
    <w:rsid w:val="40D8674A"/>
    <w:rsid w:val="40F070FB"/>
    <w:rsid w:val="412D79B9"/>
    <w:rsid w:val="41415E2F"/>
    <w:rsid w:val="419158DF"/>
    <w:rsid w:val="419E29B4"/>
    <w:rsid w:val="41AD2FCF"/>
    <w:rsid w:val="41F96B86"/>
    <w:rsid w:val="42051E29"/>
    <w:rsid w:val="42577756"/>
    <w:rsid w:val="428F2423"/>
    <w:rsid w:val="42BD64A5"/>
    <w:rsid w:val="42CA46A0"/>
    <w:rsid w:val="42D27D5B"/>
    <w:rsid w:val="42DF0BC8"/>
    <w:rsid w:val="430B368A"/>
    <w:rsid w:val="430C79A2"/>
    <w:rsid w:val="430E275F"/>
    <w:rsid w:val="431F542F"/>
    <w:rsid w:val="43853E67"/>
    <w:rsid w:val="439816DD"/>
    <w:rsid w:val="43A85BF8"/>
    <w:rsid w:val="43CD276B"/>
    <w:rsid w:val="43DD43D5"/>
    <w:rsid w:val="43E77A38"/>
    <w:rsid w:val="43EE71E8"/>
    <w:rsid w:val="444B6B67"/>
    <w:rsid w:val="44544A76"/>
    <w:rsid w:val="446B6FE1"/>
    <w:rsid w:val="449A3F1C"/>
    <w:rsid w:val="44AB4F09"/>
    <w:rsid w:val="44AC2A30"/>
    <w:rsid w:val="44B85941"/>
    <w:rsid w:val="44ED5522"/>
    <w:rsid w:val="44EE43A5"/>
    <w:rsid w:val="44F77F5D"/>
    <w:rsid w:val="44FC7513"/>
    <w:rsid w:val="44FE0DBC"/>
    <w:rsid w:val="45375026"/>
    <w:rsid w:val="454B049A"/>
    <w:rsid w:val="45670D13"/>
    <w:rsid w:val="457B36D4"/>
    <w:rsid w:val="45A33E32"/>
    <w:rsid w:val="45C16976"/>
    <w:rsid w:val="45C5024D"/>
    <w:rsid w:val="46455BF2"/>
    <w:rsid w:val="46715BF1"/>
    <w:rsid w:val="46947F59"/>
    <w:rsid w:val="46B4285A"/>
    <w:rsid w:val="46BD2CD2"/>
    <w:rsid w:val="46E666CD"/>
    <w:rsid w:val="46EE37D3"/>
    <w:rsid w:val="46F11B84"/>
    <w:rsid w:val="46FA5CD4"/>
    <w:rsid w:val="4721166A"/>
    <w:rsid w:val="472E0158"/>
    <w:rsid w:val="473236C0"/>
    <w:rsid w:val="476B1717"/>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BB3201"/>
    <w:rsid w:val="48C2156E"/>
    <w:rsid w:val="48E07B1F"/>
    <w:rsid w:val="48FC21D7"/>
    <w:rsid w:val="491237A9"/>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3E582D"/>
    <w:rsid w:val="4C4E1A90"/>
    <w:rsid w:val="4C614E6E"/>
    <w:rsid w:val="4C6F0F12"/>
    <w:rsid w:val="4CE56483"/>
    <w:rsid w:val="4CF756AD"/>
    <w:rsid w:val="4CFC1B5C"/>
    <w:rsid w:val="4D160508"/>
    <w:rsid w:val="4D31441A"/>
    <w:rsid w:val="4D3267B3"/>
    <w:rsid w:val="4D446692"/>
    <w:rsid w:val="4D7056EA"/>
    <w:rsid w:val="4D8D78A2"/>
    <w:rsid w:val="4D92009F"/>
    <w:rsid w:val="4DE15652"/>
    <w:rsid w:val="4E0F71D8"/>
    <w:rsid w:val="4E137126"/>
    <w:rsid w:val="4E157897"/>
    <w:rsid w:val="4E5B45A0"/>
    <w:rsid w:val="4E776E4B"/>
    <w:rsid w:val="4E78174A"/>
    <w:rsid w:val="4E8869A3"/>
    <w:rsid w:val="4EB5692F"/>
    <w:rsid w:val="4EC63BC9"/>
    <w:rsid w:val="4ECA4512"/>
    <w:rsid w:val="4EF120B3"/>
    <w:rsid w:val="4EF43100"/>
    <w:rsid w:val="4F2272E3"/>
    <w:rsid w:val="4F250268"/>
    <w:rsid w:val="4F2F8E1B"/>
    <w:rsid w:val="4F6F4D85"/>
    <w:rsid w:val="4F94330D"/>
    <w:rsid w:val="4FCE12A5"/>
    <w:rsid w:val="4FFB9245"/>
    <w:rsid w:val="4FFFD637"/>
    <w:rsid w:val="50914F3C"/>
    <w:rsid w:val="50AC1F47"/>
    <w:rsid w:val="50B67110"/>
    <w:rsid w:val="50E101BE"/>
    <w:rsid w:val="50FB7BED"/>
    <w:rsid w:val="50FD0CF5"/>
    <w:rsid w:val="5102131E"/>
    <w:rsid w:val="5114220C"/>
    <w:rsid w:val="51493AE0"/>
    <w:rsid w:val="51513CF5"/>
    <w:rsid w:val="517E631C"/>
    <w:rsid w:val="51917235"/>
    <w:rsid w:val="51935A63"/>
    <w:rsid w:val="51B20896"/>
    <w:rsid w:val="51BA2C30"/>
    <w:rsid w:val="51E42E36"/>
    <w:rsid w:val="51F46D81"/>
    <w:rsid w:val="51F96A8C"/>
    <w:rsid w:val="51FC6379"/>
    <w:rsid w:val="52087682"/>
    <w:rsid w:val="521045FE"/>
    <w:rsid w:val="521A5E3F"/>
    <w:rsid w:val="522030C9"/>
    <w:rsid w:val="52390072"/>
    <w:rsid w:val="525A3ACB"/>
    <w:rsid w:val="526112FD"/>
    <w:rsid w:val="526712BE"/>
    <w:rsid w:val="526A0045"/>
    <w:rsid w:val="52774F79"/>
    <w:rsid w:val="527F4767"/>
    <w:rsid w:val="52A631B4"/>
    <w:rsid w:val="52B0193D"/>
    <w:rsid w:val="52DA2A4C"/>
    <w:rsid w:val="52E448CC"/>
    <w:rsid w:val="52FF1A0D"/>
    <w:rsid w:val="53080E48"/>
    <w:rsid w:val="5311062D"/>
    <w:rsid w:val="53484FFE"/>
    <w:rsid w:val="53540C8B"/>
    <w:rsid w:val="53566988"/>
    <w:rsid w:val="53620E89"/>
    <w:rsid w:val="5379714E"/>
    <w:rsid w:val="53806002"/>
    <w:rsid w:val="53E03C54"/>
    <w:rsid w:val="540A3EEE"/>
    <w:rsid w:val="54130285"/>
    <w:rsid w:val="54170DFE"/>
    <w:rsid w:val="542045AD"/>
    <w:rsid w:val="54236053"/>
    <w:rsid w:val="5428129F"/>
    <w:rsid w:val="545339CC"/>
    <w:rsid w:val="54B73456"/>
    <w:rsid w:val="54C04048"/>
    <w:rsid w:val="54C52422"/>
    <w:rsid w:val="54DE1F99"/>
    <w:rsid w:val="54F621D1"/>
    <w:rsid w:val="54FA4A5B"/>
    <w:rsid w:val="551133F2"/>
    <w:rsid w:val="5573008A"/>
    <w:rsid w:val="557A0C4C"/>
    <w:rsid w:val="55D23EFC"/>
    <w:rsid w:val="5604532D"/>
    <w:rsid w:val="560F1140"/>
    <w:rsid w:val="56204D1B"/>
    <w:rsid w:val="563E640C"/>
    <w:rsid w:val="564A5AA2"/>
    <w:rsid w:val="56567336"/>
    <w:rsid w:val="56574EF1"/>
    <w:rsid w:val="565D6CC1"/>
    <w:rsid w:val="56607558"/>
    <w:rsid w:val="56780AB5"/>
    <w:rsid w:val="567A07EF"/>
    <w:rsid w:val="56AE57C6"/>
    <w:rsid w:val="56C20BE3"/>
    <w:rsid w:val="56C941F2"/>
    <w:rsid w:val="570A1F63"/>
    <w:rsid w:val="571132F2"/>
    <w:rsid w:val="57154464"/>
    <w:rsid w:val="57174680"/>
    <w:rsid w:val="5720458B"/>
    <w:rsid w:val="57497BC3"/>
    <w:rsid w:val="575823DC"/>
    <w:rsid w:val="57692E38"/>
    <w:rsid w:val="57AC1E66"/>
    <w:rsid w:val="57B984B2"/>
    <w:rsid w:val="57E427B4"/>
    <w:rsid w:val="57F483A0"/>
    <w:rsid w:val="57FF05EB"/>
    <w:rsid w:val="58044C05"/>
    <w:rsid w:val="5826141A"/>
    <w:rsid w:val="584119B5"/>
    <w:rsid w:val="58767330"/>
    <w:rsid w:val="588E7646"/>
    <w:rsid w:val="58C470AF"/>
    <w:rsid w:val="58D63D1E"/>
    <w:rsid w:val="59140133"/>
    <w:rsid w:val="59376F65"/>
    <w:rsid w:val="59487306"/>
    <w:rsid w:val="595D3DAB"/>
    <w:rsid w:val="595E0345"/>
    <w:rsid w:val="59617E35"/>
    <w:rsid w:val="596B0E28"/>
    <w:rsid w:val="59955D26"/>
    <w:rsid w:val="59DF59A9"/>
    <w:rsid w:val="59DF76D7"/>
    <w:rsid w:val="5A0D28C9"/>
    <w:rsid w:val="5A1804F3"/>
    <w:rsid w:val="5A226FEB"/>
    <w:rsid w:val="5A450696"/>
    <w:rsid w:val="5A6951F3"/>
    <w:rsid w:val="5A7C1BE0"/>
    <w:rsid w:val="5A833B8D"/>
    <w:rsid w:val="5A9E3699"/>
    <w:rsid w:val="5AAD63E9"/>
    <w:rsid w:val="5AB04BD0"/>
    <w:rsid w:val="5AC16DDD"/>
    <w:rsid w:val="5ACC12DE"/>
    <w:rsid w:val="5AD57298"/>
    <w:rsid w:val="5ADF3707"/>
    <w:rsid w:val="5AEA735D"/>
    <w:rsid w:val="5AF1280C"/>
    <w:rsid w:val="5AF34724"/>
    <w:rsid w:val="5B1F58B2"/>
    <w:rsid w:val="5B305D11"/>
    <w:rsid w:val="5B3D11BB"/>
    <w:rsid w:val="5B3E042E"/>
    <w:rsid w:val="5B432AC3"/>
    <w:rsid w:val="5B6854AA"/>
    <w:rsid w:val="5B6D2AA4"/>
    <w:rsid w:val="5B7025B1"/>
    <w:rsid w:val="5B713816"/>
    <w:rsid w:val="5B871DD5"/>
    <w:rsid w:val="5BDB1EAB"/>
    <w:rsid w:val="5BEF797A"/>
    <w:rsid w:val="5BEFB374"/>
    <w:rsid w:val="5C29310B"/>
    <w:rsid w:val="5C34392E"/>
    <w:rsid w:val="5C3D5E61"/>
    <w:rsid w:val="5C7E485A"/>
    <w:rsid w:val="5C836B56"/>
    <w:rsid w:val="5C88775A"/>
    <w:rsid w:val="5CC11316"/>
    <w:rsid w:val="5CC26E3C"/>
    <w:rsid w:val="5CCE2780"/>
    <w:rsid w:val="5CEC5DBD"/>
    <w:rsid w:val="5CF214D0"/>
    <w:rsid w:val="5D111C3D"/>
    <w:rsid w:val="5D123920"/>
    <w:rsid w:val="5D433711"/>
    <w:rsid w:val="5D495CFE"/>
    <w:rsid w:val="5D6C3A2F"/>
    <w:rsid w:val="5D7630E5"/>
    <w:rsid w:val="5D7A5DE9"/>
    <w:rsid w:val="5D7F2AAE"/>
    <w:rsid w:val="5DA1584D"/>
    <w:rsid w:val="5DAC78BD"/>
    <w:rsid w:val="5DB84C35"/>
    <w:rsid w:val="5DE97722"/>
    <w:rsid w:val="5DF04B2E"/>
    <w:rsid w:val="5DF4733F"/>
    <w:rsid w:val="5E2A6A47"/>
    <w:rsid w:val="5E2D4B90"/>
    <w:rsid w:val="5E364898"/>
    <w:rsid w:val="5E39312E"/>
    <w:rsid w:val="5E4A0E97"/>
    <w:rsid w:val="5E4B12BE"/>
    <w:rsid w:val="5E6C4478"/>
    <w:rsid w:val="5E7B54F5"/>
    <w:rsid w:val="5E8575A0"/>
    <w:rsid w:val="5EBE0317"/>
    <w:rsid w:val="5EEEE9C0"/>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EF3616"/>
    <w:rsid w:val="5FF31D8F"/>
    <w:rsid w:val="5FFDC6A0"/>
    <w:rsid w:val="5FFFF41C"/>
    <w:rsid w:val="60152297"/>
    <w:rsid w:val="601B10C3"/>
    <w:rsid w:val="602755FE"/>
    <w:rsid w:val="604E1113"/>
    <w:rsid w:val="60777FDD"/>
    <w:rsid w:val="609154A7"/>
    <w:rsid w:val="60B21FAC"/>
    <w:rsid w:val="60DB04CD"/>
    <w:rsid w:val="60F17CF0"/>
    <w:rsid w:val="60F560A0"/>
    <w:rsid w:val="61136DE7"/>
    <w:rsid w:val="612956DC"/>
    <w:rsid w:val="61355E2F"/>
    <w:rsid w:val="61483DB4"/>
    <w:rsid w:val="615C6D49"/>
    <w:rsid w:val="616D55C9"/>
    <w:rsid w:val="616E6368"/>
    <w:rsid w:val="617A1A94"/>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3E1998"/>
    <w:rsid w:val="634B7B8C"/>
    <w:rsid w:val="63624A92"/>
    <w:rsid w:val="636E387A"/>
    <w:rsid w:val="63B1721D"/>
    <w:rsid w:val="63B53631"/>
    <w:rsid w:val="63E022EB"/>
    <w:rsid w:val="63FE15F1"/>
    <w:rsid w:val="641649C3"/>
    <w:rsid w:val="641A7B46"/>
    <w:rsid w:val="642108EC"/>
    <w:rsid w:val="64356146"/>
    <w:rsid w:val="647C3834"/>
    <w:rsid w:val="64DE058B"/>
    <w:rsid w:val="6505464C"/>
    <w:rsid w:val="65196F30"/>
    <w:rsid w:val="65295CAB"/>
    <w:rsid w:val="65442AE4"/>
    <w:rsid w:val="65775B6D"/>
    <w:rsid w:val="659550EE"/>
    <w:rsid w:val="65AF6E4B"/>
    <w:rsid w:val="65B0017A"/>
    <w:rsid w:val="65D61121"/>
    <w:rsid w:val="65DC0944"/>
    <w:rsid w:val="65DE1DB1"/>
    <w:rsid w:val="65F31D9F"/>
    <w:rsid w:val="65F3F1B8"/>
    <w:rsid w:val="66040139"/>
    <w:rsid w:val="660D37F9"/>
    <w:rsid w:val="66240220"/>
    <w:rsid w:val="662705F6"/>
    <w:rsid w:val="6663200A"/>
    <w:rsid w:val="668E12A5"/>
    <w:rsid w:val="66C22023"/>
    <w:rsid w:val="66E015D3"/>
    <w:rsid w:val="66E0199B"/>
    <w:rsid w:val="6703088E"/>
    <w:rsid w:val="6726007A"/>
    <w:rsid w:val="675C7F54"/>
    <w:rsid w:val="67701963"/>
    <w:rsid w:val="678455BD"/>
    <w:rsid w:val="67AC2BC3"/>
    <w:rsid w:val="67BD66F9"/>
    <w:rsid w:val="680B583D"/>
    <w:rsid w:val="683A01CF"/>
    <w:rsid w:val="68582049"/>
    <w:rsid w:val="685F2D49"/>
    <w:rsid w:val="688A7EDC"/>
    <w:rsid w:val="68A31EA7"/>
    <w:rsid w:val="68AD1096"/>
    <w:rsid w:val="68B00491"/>
    <w:rsid w:val="68CD4B9F"/>
    <w:rsid w:val="68D20407"/>
    <w:rsid w:val="68D75A1D"/>
    <w:rsid w:val="68E17E1F"/>
    <w:rsid w:val="68EC3499"/>
    <w:rsid w:val="68EFAA12"/>
    <w:rsid w:val="68FC6194"/>
    <w:rsid w:val="69025DD5"/>
    <w:rsid w:val="69236EB5"/>
    <w:rsid w:val="692E7D33"/>
    <w:rsid w:val="693C2467"/>
    <w:rsid w:val="69872FA0"/>
    <w:rsid w:val="698C6808"/>
    <w:rsid w:val="699D0A15"/>
    <w:rsid w:val="69D17E84"/>
    <w:rsid w:val="69EF0C1D"/>
    <w:rsid w:val="6A072332"/>
    <w:rsid w:val="6A0C050A"/>
    <w:rsid w:val="6A0E2D79"/>
    <w:rsid w:val="6A126304"/>
    <w:rsid w:val="6A257F5C"/>
    <w:rsid w:val="6A3165A6"/>
    <w:rsid w:val="6A415045"/>
    <w:rsid w:val="6A512476"/>
    <w:rsid w:val="6A5B639A"/>
    <w:rsid w:val="6A7B4D5B"/>
    <w:rsid w:val="6A8E0C62"/>
    <w:rsid w:val="6A90057A"/>
    <w:rsid w:val="6A9B2674"/>
    <w:rsid w:val="6ABF03CB"/>
    <w:rsid w:val="6ADB5852"/>
    <w:rsid w:val="6B034621"/>
    <w:rsid w:val="6B0D5727"/>
    <w:rsid w:val="6B2018FE"/>
    <w:rsid w:val="6B3F3181"/>
    <w:rsid w:val="6B4D26D9"/>
    <w:rsid w:val="6B7604F0"/>
    <w:rsid w:val="6B95409A"/>
    <w:rsid w:val="6BA8732E"/>
    <w:rsid w:val="6BAA2A50"/>
    <w:rsid w:val="6BAA4A2F"/>
    <w:rsid w:val="6BAB7077"/>
    <w:rsid w:val="6BC046CC"/>
    <w:rsid w:val="6BC40E5C"/>
    <w:rsid w:val="6BCD9DA2"/>
    <w:rsid w:val="6BDF7C4D"/>
    <w:rsid w:val="6BE7626E"/>
    <w:rsid w:val="6C10197F"/>
    <w:rsid w:val="6C5C4853"/>
    <w:rsid w:val="6C845EBC"/>
    <w:rsid w:val="6CBF2379"/>
    <w:rsid w:val="6CED0BD3"/>
    <w:rsid w:val="6D164380"/>
    <w:rsid w:val="6D5502EE"/>
    <w:rsid w:val="6D6D6796"/>
    <w:rsid w:val="6D841277"/>
    <w:rsid w:val="6D9A1F25"/>
    <w:rsid w:val="6DA6691C"/>
    <w:rsid w:val="6DAB3112"/>
    <w:rsid w:val="6DB93944"/>
    <w:rsid w:val="6DC5053A"/>
    <w:rsid w:val="6DD6E9D1"/>
    <w:rsid w:val="6DE16E31"/>
    <w:rsid w:val="6E5D6DFE"/>
    <w:rsid w:val="6E5F4EBB"/>
    <w:rsid w:val="6E606222"/>
    <w:rsid w:val="6E9717B7"/>
    <w:rsid w:val="6EA14A8D"/>
    <w:rsid w:val="6EAE7B1F"/>
    <w:rsid w:val="6EB26D11"/>
    <w:rsid w:val="6EC6436A"/>
    <w:rsid w:val="6ECA17BE"/>
    <w:rsid w:val="6ECF9374"/>
    <w:rsid w:val="6EE5683D"/>
    <w:rsid w:val="6EE75201"/>
    <w:rsid w:val="6EF67E1B"/>
    <w:rsid w:val="6EFFFEFA"/>
    <w:rsid w:val="6F045092"/>
    <w:rsid w:val="6F1A5974"/>
    <w:rsid w:val="6F273184"/>
    <w:rsid w:val="6F946416"/>
    <w:rsid w:val="6F9F49B0"/>
    <w:rsid w:val="6FC35A69"/>
    <w:rsid w:val="6FCE2BBA"/>
    <w:rsid w:val="6FE7389E"/>
    <w:rsid w:val="6FE93B2A"/>
    <w:rsid w:val="6FF5FFD9"/>
    <w:rsid w:val="702A28D7"/>
    <w:rsid w:val="703800AB"/>
    <w:rsid w:val="70422316"/>
    <w:rsid w:val="70776C11"/>
    <w:rsid w:val="7080699B"/>
    <w:rsid w:val="70EE1B56"/>
    <w:rsid w:val="70EF1F9B"/>
    <w:rsid w:val="71025602"/>
    <w:rsid w:val="7104316D"/>
    <w:rsid w:val="710F390D"/>
    <w:rsid w:val="711256D8"/>
    <w:rsid w:val="711D2DA0"/>
    <w:rsid w:val="711F3BA7"/>
    <w:rsid w:val="712F05BE"/>
    <w:rsid w:val="71336E8A"/>
    <w:rsid w:val="71483915"/>
    <w:rsid w:val="715C7408"/>
    <w:rsid w:val="717209D9"/>
    <w:rsid w:val="717A0634"/>
    <w:rsid w:val="719E6674"/>
    <w:rsid w:val="71AE2C00"/>
    <w:rsid w:val="71B71FA3"/>
    <w:rsid w:val="71D40D4C"/>
    <w:rsid w:val="71EB6773"/>
    <w:rsid w:val="71F3736D"/>
    <w:rsid w:val="71F64B04"/>
    <w:rsid w:val="720E3BC4"/>
    <w:rsid w:val="723253FE"/>
    <w:rsid w:val="72357CE5"/>
    <w:rsid w:val="723B526F"/>
    <w:rsid w:val="723C5278"/>
    <w:rsid w:val="72535141"/>
    <w:rsid w:val="725A64D5"/>
    <w:rsid w:val="725F1E7E"/>
    <w:rsid w:val="725F7DDF"/>
    <w:rsid w:val="72866D36"/>
    <w:rsid w:val="72A801AB"/>
    <w:rsid w:val="72BE56A3"/>
    <w:rsid w:val="72D90C61"/>
    <w:rsid w:val="72FF1A9C"/>
    <w:rsid w:val="72FF2B36"/>
    <w:rsid w:val="7309711B"/>
    <w:rsid w:val="73261A7B"/>
    <w:rsid w:val="734463A5"/>
    <w:rsid w:val="734844B1"/>
    <w:rsid w:val="735D7D1C"/>
    <w:rsid w:val="738A200A"/>
    <w:rsid w:val="739923BF"/>
    <w:rsid w:val="739E743E"/>
    <w:rsid w:val="73A02941"/>
    <w:rsid w:val="73A87D4E"/>
    <w:rsid w:val="73A905BB"/>
    <w:rsid w:val="73BFB280"/>
    <w:rsid w:val="73CE71BA"/>
    <w:rsid w:val="73FF3515"/>
    <w:rsid w:val="744C085C"/>
    <w:rsid w:val="74822CE1"/>
    <w:rsid w:val="748A69A7"/>
    <w:rsid w:val="74A42250"/>
    <w:rsid w:val="74C0557B"/>
    <w:rsid w:val="74C652C4"/>
    <w:rsid w:val="74C77C00"/>
    <w:rsid w:val="74D34F68"/>
    <w:rsid w:val="74E27C24"/>
    <w:rsid w:val="74E977FD"/>
    <w:rsid w:val="74FB9E44"/>
    <w:rsid w:val="751122B7"/>
    <w:rsid w:val="75397782"/>
    <w:rsid w:val="75526B58"/>
    <w:rsid w:val="755D1755"/>
    <w:rsid w:val="756D63B5"/>
    <w:rsid w:val="756E6BB3"/>
    <w:rsid w:val="756F1996"/>
    <w:rsid w:val="75713E19"/>
    <w:rsid w:val="75866801"/>
    <w:rsid w:val="75941C40"/>
    <w:rsid w:val="75947E51"/>
    <w:rsid w:val="75C838B8"/>
    <w:rsid w:val="75CCDD95"/>
    <w:rsid w:val="75E83C06"/>
    <w:rsid w:val="75F4182A"/>
    <w:rsid w:val="760044E6"/>
    <w:rsid w:val="761E3FC2"/>
    <w:rsid w:val="762D3121"/>
    <w:rsid w:val="763172F6"/>
    <w:rsid w:val="76466A0A"/>
    <w:rsid w:val="76615A97"/>
    <w:rsid w:val="767174B1"/>
    <w:rsid w:val="7687373D"/>
    <w:rsid w:val="76A07D97"/>
    <w:rsid w:val="76A84548"/>
    <w:rsid w:val="76AF5AC7"/>
    <w:rsid w:val="76B10FCA"/>
    <w:rsid w:val="76B353B8"/>
    <w:rsid w:val="76B77D6E"/>
    <w:rsid w:val="76CB247B"/>
    <w:rsid w:val="770C71DA"/>
    <w:rsid w:val="775F04E3"/>
    <w:rsid w:val="7777E01C"/>
    <w:rsid w:val="777C8A46"/>
    <w:rsid w:val="7796596B"/>
    <w:rsid w:val="77AB3A8F"/>
    <w:rsid w:val="77BE04D4"/>
    <w:rsid w:val="77BF424C"/>
    <w:rsid w:val="77C1097B"/>
    <w:rsid w:val="77C3210C"/>
    <w:rsid w:val="77CF26E1"/>
    <w:rsid w:val="77D53A70"/>
    <w:rsid w:val="77D63117"/>
    <w:rsid w:val="77DA64AE"/>
    <w:rsid w:val="77DF669D"/>
    <w:rsid w:val="77E45A61"/>
    <w:rsid w:val="77F3EABD"/>
    <w:rsid w:val="77F7766F"/>
    <w:rsid w:val="77F96C8E"/>
    <w:rsid w:val="77FC3B0D"/>
    <w:rsid w:val="77FD5EA1"/>
    <w:rsid w:val="77FF2E6B"/>
    <w:rsid w:val="77FF442D"/>
    <w:rsid w:val="781F6A99"/>
    <w:rsid w:val="785D35A9"/>
    <w:rsid w:val="78B673FD"/>
    <w:rsid w:val="79156236"/>
    <w:rsid w:val="793D7B1F"/>
    <w:rsid w:val="79504A7B"/>
    <w:rsid w:val="79535D1B"/>
    <w:rsid w:val="795D24DE"/>
    <w:rsid w:val="796E6F4C"/>
    <w:rsid w:val="797F9238"/>
    <w:rsid w:val="79853F6B"/>
    <w:rsid w:val="79B77FBE"/>
    <w:rsid w:val="79BA116F"/>
    <w:rsid w:val="79C066CF"/>
    <w:rsid w:val="79C31852"/>
    <w:rsid w:val="79C54D55"/>
    <w:rsid w:val="79E122CF"/>
    <w:rsid w:val="79EB767A"/>
    <w:rsid w:val="79FEA69E"/>
    <w:rsid w:val="7A1C6139"/>
    <w:rsid w:val="7A3A5781"/>
    <w:rsid w:val="7A747570"/>
    <w:rsid w:val="7A756308"/>
    <w:rsid w:val="7A79346F"/>
    <w:rsid w:val="7A7C0831"/>
    <w:rsid w:val="7AB91427"/>
    <w:rsid w:val="7ACF7B29"/>
    <w:rsid w:val="7AE55D78"/>
    <w:rsid w:val="7AF5BE47"/>
    <w:rsid w:val="7AF81F4F"/>
    <w:rsid w:val="7AFF1FEC"/>
    <w:rsid w:val="7B051247"/>
    <w:rsid w:val="7B114938"/>
    <w:rsid w:val="7B3466AF"/>
    <w:rsid w:val="7B38059E"/>
    <w:rsid w:val="7B4414B7"/>
    <w:rsid w:val="7B5B066E"/>
    <w:rsid w:val="7B7D40A6"/>
    <w:rsid w:val="7B885CBA"/>
    <w:rsid w:val="7BC65BA9"/>
    <w:rsid w:val="7BCD347D"/>
    <w:rsid w:val="7BEFEA01"/>
    <w:rsid w:val="7C0C783B"/>
    <w:rsid w:val="7C3010F9"/>
    <w:rsid w:val="7C3D0C61"/>
    <w:rsid w:val="7C575210"/>
    <w:rsid w:val="7C6236D0"/>
    <w:rsid w:val="7C7A784D"/>
    <w:rsid w:val="7CA64E0D"/>
    <w:rsid w:val="7CBE14B7"/>
    <w:rsid w:val="7CC77E2B"/>
    <w:rsid w:val="7CD75B94"/>
    <w:rsid w:val="7CD9572C"/>
    <w:rsid w:val="7CDDB730"/>
    <w:rsid w:val="7CED360A"/>
    <w:rsid w:val="7CF60710"/>
    <w:rsid w:val="7D08068B"/>
    <w:rsid w:val="7D3632ED"/>
    <w:rsid w:val="7D521127"/>
    <w:rsid w:val="7D5D30F7"/>
    <w:rsid w:val="7D6A6A08"/>
    <w:rsid w:val="7D879275"/>
    <w:rsid w:val="7D8D62C7"/>
    <w:rsid w:val="7D96563A"/>
    <w:rsid w:val="7DB6516E"/>
    <w:rsid w:val="7DC10D1E"/>
    <w:rsid w:val="7DCE343B"/>
    <w:rsid w:val="7DEC38C1"/>
    <w:rsid w:val="7DF62030"/>
    <w:rsid w:val="7DF8049A"/>
    <w:rsid w:val="7E3620A1"/>
    <w:rsid w:val="7E404BAE"/>
    <w:rsid w:val="7E423935"/>
    <w:rsid w:val="7E526C39"/>
    <w:rsid w:val="7E5D1997"/>
    <w:rsid w:val="7E5FB6B3"/>
    <w:rsid w:val="7E5FE481"/>
    <w:rsid w:val="7E7A465F"/>
    <w:rsid w:val="7E7F4735"/>
    <w:rsid w:val="7E834226"/>
    <w:rsid w:val="7EBE0DBA"/>
    <w:rsid w:val="7EC6A73B"/>
    <w:rsid w:val="7EC90EF2"/>
    <w:rsid w:val="7ECF2F14"/>
    <w:rsid w:val="7F0026A0"/>
    <w:rsid w:val="7F1B445E"/>
    <w:rsid w:val="7F392BC8"/>
    <w:rsid w:val="7F4B7FF1"/>
    <w:rsid w:val="7F6F528F"/>
    <w:rsid w:val="7F7363FD"/>
    <w:rsid w:val="7F7E7D9E"/>
    <w:rsid w:val="7F7F2608"/>
    <w:rsid w:val="7F7F3881"/>
    <w:rsid w:val="7FA7FBEC"/>
    <w:rsid w:val="7FC535C7"/>
    <w:rsid w:val="7FC6022D"/>
    <w:rsid w:val="7FD32DC6"/>
    <w:rsid w:val="7FDC5C54"/>
    <w:rsid w:val="7FDF78FE"/>
    <w:rsid w:val="7FDF7FEC"/>
    <w:rsid w:val="7FE42AA2"/>
    <w:rsid w:val="7FE774CC"/>
    <w:rsid w:val="7FE874E8"/>
    <w:rsid w:val="7FF6719F"/>
    <w:rsid w:val="7FFE97D7"/>
    <w:rsid w:val="7FFF75C0"/>
    <w:rsid w:val="8EED5F34"/>
    <w:rsid w:val="97E9587E"/>
    <w:rsid w:val="97F717A9"/>
    <w:rsid w:val="995D3A66"/>
    <w:rsid w:val="9DAA1935"/>
    <w:rsid w:val="9F5F8845"/>
    <w:rsid w:val="9FB3F550"/>
    <w:rsid w:val="9FBE757B"/>
    <w:rsid w:val="9FD04709"/>
    <w:rsid w:val="A7ED86DA"/>
    <w:rsid w:val="AB7BEE5B"/>
    <w:rsid w:val="AF2F263B"/>
    <w:rsid w:val="AF43A8E4"/>
    <w:rsid w:val="B1368836"/>
    <w:rsid w:val="B1FB2DBA"/>
    <w:rsid w:val="B4A552F3"/>
    <w:rsid w:val="B6F97B75"/>
    <w:rsid w:val="B78FBE1B"/>
    <w:rsid w:val="B7CDDA5C"/>
    <w:rsid w:val="B897F9CF"/>
    <w:rsid w:val="BBBECFD4"/>
    <w:rsid w:val="BBFFB1FE"/>
    <w:rsid w:val="BEFB510E"/>
    <w:rsid w:val="BF2DC10F"/>
    <w:rsid w:val="BFAD7680"/>
    <w:rsid w:val="BFBB1089"/>
    <w:rsid w:val="BFBF08B6"/>
    <w:rsid w:val="BFDBF886"/>
    <w:rsid w:val="C1EFDFA6"/>
    <w:rsid w:val="C2FF3019"/>
    <w:rsid w:val="CDD5BBFC"/>
    <w:rsid w:val="CFBF633A"/>
    <w:rsid w:val="CFFD3768"/>
    <w:rsid w:val="D1FE6C0B"/>
    <w:rsid w:val="D2EFBE08"/>
    <w:rsid w:val="D3FDD461"/>
    <w:rsid w:val="D47D4FCB"/>
    <w:rsid w:val="DBEDE611"/>
    <w:rsid w:val="DC7E51A5"/>
    <w:rsid w:val="DDFFFB39"/>
    <w:rsid w:val="DEBD5046"/>
    <w:rsid w:val="DEFFF365"/>
    <w:rsid w:val="DFDEB630"/>
    <w:rsid w:val="DFE70C7C"/>
    <w:rsid w:val="DFEDFB64"/>
    <w:rsid w:val="DFF2A6D6"/>
    <w:rsid w:val="DFFD90FD"/>
    <w:rsid w:val="E5B2289F"/>
    <w:rsid w:val="E5FEDC03"/>
    <w:rsid w:val="E7B74090"/>
    <w:rsid w:val="E7B896DE"/>
    <w:rsid w:val="EB7B3F8A"/>
    <w:rsid w:val="EB9F36BC"/>
    <w:rsid w:val="EF8F60B1"/>
    <w:rsid w:val="EFE54C3F"/>
    <w:rsid w:val="EFECA999"/>
    <w:rsid w:val="EFFE181F"/>
    <w:rsid w:val="F19629FB"/>
    <w:rsid w:val="F67FFB63"/>
    <w:rsid w:val="F7BB8573"/>
    <w:rsid w:val="F7DFCD0E"/>
    <w:rsid w:val="F7F71EDD"/>
    <w:rsid w:val="F7FF26AE"/>
    <w:rsid w:val="F9FD3BE0"/>
    <w:rsid w:val="FA7E6D20"/>
    <w:rsid w:val="FAAF0C12"/>
    <w:rsid w:val="FABF0F5E"/>
    <w:rsid w:val="FBDF2BFC"/>
    <w:rsid w:val="FBFFA5D4"/>
    <w:rsid w:val="FC6BF223"/>
    <w:rsid w:val="FC9FBA9C"/>
    <w:rsid w:val="FCE0E817"/>
    <w:rsid w:val="FD579A1C"/>
    <w:rsid w:val="FED91587"/>
    <w:rsid w:val="FEFF1E4B"/>
    <w:rsid w:val="FEFF35DF"/>
    <w:rsid w:val="FF5BCBF8"/>
    <w:rsid w:val="FF5F35A1"/>
    <w:rsid w:val="FF773ACF"/>
    <w:rsid w:val="FF9620D3"/>
    <w:rsid w:val="FF9FE0CE"/>
    <w:rsid w:val="FFCE8A13"/>
    <w:rsid w:val="FFDFA611"/>
    <w:rsid w:val="FFE2B4EC"/>
    <w:rsid w:val="FFEE54B0"/>
    <w:rsid w:val="FFF932F6"/>
    <w:rsid w:val="FFFAE9EE"/>
    <w:rsid w:val="FFFF8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表格2"/>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66">
    <w:name w:val="表格3"/>
    <w:qFormat/>
    <w:uiPriority w:val="39"/>
    <w:pPr>
      <w:widowControl w:val="0"/>
      <w:jc w:val="both"/>
    </w:pPr>
    <w:rPr>
      <w:rFonts w:ascii="华文仿宋" w:hAnsi="华文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67">
    <w:name w:val="表格标题"/>
    <w:basedOn w:val="1"/>
    <w:qFormat/>
    <w:uiPriority w:val="0"/>
    <w:pPr>
      <w:widowControl/>
      <w:spacing w:line="400" w:lineRule="exact"/>
      <w:ind w:firstLine="0" w:firstLineChars="0"/>
      <w:jc w:val="center"/>
    </w:pPr>
    <w:rPr>
      <w:rFonts w:hint="eastAsia"/>
      <w:bCs/>
      <w:color w:val="000000"/>
      <w:sz w:val="28"/>
      <w:szCs w:val="32"/>
    </w:rPr>
  </w:style>
  <w:style w:type="paragraph" w:customStyle="1" w:styleId="68">
    <w:name w:val="Revision"/>
    <w:hidden/>
    <w:unhideWhenUsed/>
    <w:qFormat/>
    <w:uiPriority w:val="99"/>
    <w:rPr>
      <w:rFonts w:ascii="仿宋" w:hAnsi="仿宋"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3679</Words>
  <Characters>3772</Characters>
  <Lines>168</Lines>
  <Paragraphs>175</Paragraphs>
  <TotalTime>8</TotalTime>
  <ScaleCrop>false</ScaleCrop>
  <LinksUpToDate>false</LinksUpToDate>
  <CharactersWithSpaces>3861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2025-12-24T02:09:00Z</dcterms:created>
  <dc:creator>sse</dc:creator>
  <cp:lastModifiedBy>whxu</cp:lastModifiedBy>
  <cp:lastPrinted>2024-10-08T00:54:00Z</cp:lastPrinted>
  <dcterms:modified xsi:type="dcterms:W3CDTF">2026-01-30T11:08:57Z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70FBCF48F4D649B5ACE87718B511D00A_13</vt:lpwstr>
  </property>
  <property fmtid="{D5CDD505-2E9C-101B-9397-08002B2CF9AE}" pid="4" name="KSOTemplateDocerSaveRecord">
    <vt:lpwstr>eyJoZGlkIjoiMzkyMDA3YjgzOGJiZWQ3MDQzODIyNWZlMDExMGViMDYiLCJ1c2VySWQiOiI0MTAwNTg2ODQifQ==</vt:lpwstr>
  </property>
</Properties>
</file>