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jc w:val="left"/>
        <w:rPr>
          <w:rFonts w:hint="eastAsia" w:ascii="黑体" w:hAnsi="黑体" w:eastAsia="黑体" w:cs="黑体"/>
          <w:sz w:val="32"/>
          <w:szCs w:val="32"/>
        </w:rPr>
      </w:pPr>
      <w:bookmarkStart w:id="0" w:name="_Toc513792074"/>
      <w:bookmarkStart w:id="1" w:name="_Toc513791788"/>
      <w:bookmarkStart w:id="2" w:name="_Toc513792041"/>
      <w:bookmarkStart w:id="3" w:name="_Toc519177306"/>
      <w:bookmarkStart w:id="759" w:name="_GoBack"/>
      <w:bookmarkEnd w:id="759"/>
      <w:r>
        <w:rPr>
          <w:rFonts w:hint="eastAsia" w:ascii="黑体" w:hAnsi="黑体" w:eastAsia="黑体" w:cs="黑体"/>
          <w:bCs/>
          <w:sz w:val="32"/>
          <w:szCs w:val="32"/>
        </w:rPr>
        <w:t>附件</w:t>
      </w: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方正小标宋简体" w:hAnsi="方正小标宋简体" w:eastAsia="方正小标宋简体" w:cs="方正小标宋简体"/>
          <w:sz w:val="32"/>
          <w:szCs w:val="32"/>
        </w:rPr>
      </w:pP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深圳证券交易所债券发行业务指南</w:t>
      </w:r>
    </w:p>
    <w:p>
      <w:pPr>
        <w:adjustRightInd w:val="0"/>
        <w:snapToGrid w:val="0"/>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第1号——公司债券（含企业债券）</w:t>
      </w:r>
    </w:p>
    <w:p>
      <w:pPr>
        <w:adjustRightInd w:val="0"/>
        <w:snapToGrid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和资产支持证券发行上市挂牌</w:t>
      </w:r>
    </w:p>
    <w:p>
      <w:pPr>
        <w:adjustRightInd w:val="0"/>
        <w:snapToGrid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业务指南</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val="en-US"/>
        </w:rPr>
        <w:t>202</w:t>
      </w:r>
      <w:r>
        <w:rPr>
          <w:rFonts w:hint="eastAsia" w:ascii="方正小标宋简体" w:hAnsi="方正小标宋简体" w:eastAsia="方正小标宋简体" w:cs="方正小标宋简体"/>
          <w:sz w:val="44"/>
          <w:szCs w:val="44"/>
          <w:lang w:val="en-US" w:eastAsia="zh"/>
        </w:rPr>
        <w:t>5</w:t>
      </w:r>
      <w:r>
        <w:rPr>
          <w:rFonts w:hint="eastAsia" w:ascii="方正小标宋简体" w:hAnsi="方正小标宋简体" w:eastAsia="方正小标宋简体" w:cs="方正小标宋简体"/>
          <w:sz w:val="44"/>
          <w:szCs w:val="44"/>
          <w:lang w:val="en-US" w:eastAsia="zh-CN"/>
        </w:rPr>
        <w:t>年修订）</w:t>
      </w:r>
    </w:p>
    <w:p>
      <w:pPr>
        <w:adjustRightInd w:val="0"/>
        <w:snapToGrid w:val="0"/>
        <w:jc w:val="center"/>
        <w:rPr>
          <w:rFonts w:hint="eastAsia" w:ascii="方正小标宋简体" w:hAnsi="方正小标宋简体" w:eastAsia="方正小标宋简体" w:cs="方正小标宋简体"/>
          <w:sz w:val="44"/>
          <w:szCs w:val="44"/>
        </w:rPr>
      </w:pPr>
    </w:p>
    <w:p>
      <w:pPr>
        <w:adjustRightInd w:val="0"/>
        <w:snapToGrid w:val="0"/>
        <w:jc w:val="center"/>
        <w:rPr>
          <w:rFonts w:hint="eastAsia" w:ascii="方正小标宋简体" w:hAnsi="方正小标宋简体" w:eastAsia="方正小标宋简体" w:cs="方正小标宋简体"/>
          <w:sz w:val="44"/>
          <w:szCs w:val="44"/>
        </w:rPr>
      </w:pPr>
    </w:p>
    <w:p>
      <w:pPr>
        <w:adjustRightInd w:val="0"/>
        <w:snapToGrid w:val="0"/>
        <w:jc w:val="center"/>
        <w:rPr>
          <w:rFonts w:hint="eastAsia" w:ascii="方正小标宋简体" w:hAnsi="方正小标宋简体" w:eastAsia="方正小标宋简体" w:cs="方正小标宋简体"/>
          <w:sz w:val="44"/>
          <w:szCs w:val="44"/>
        </w:rPr>
      </w:pPr>
    </w:p>
    <w:p>
      <w:pPr>
        <w:adjustRightInd w:val="0"/>
        <w:snapToGrid w:val="0"/>
        <w:jc w:val="center"/>
        <w:rPr>
          <w:rFonts w:hint="eastAsia" w:ascii="方正小标宋简体" w:hAnsi="方正小标宋简体" w:eastAsia="方正小标宋简体" w:cs="方正小标宋简体"/>
          <w:sz w:val="48"/>
          <w:szCs w:val="48"/>
          <w:highlight w:val="none"/>
        </w:rPr>
      </w:pPr>
      <w:r>
        <w:rPr>
          <w:rFonts w:hint="eastAsia" w:ascii="仿宋" w:hAnsi="仿宋" w:eastAsia="仿宋" w:cs="仿宋"/>
          <w:sz w:val="36"/>
          <w:szCs w:val="36"/>
        </w:rPr>
        <w:t>二○二</w:t>
      </w:r>
      <w:r>
        <w:rPr>
          <w:rFonts w:hint="eastAsia" w:ascii="仿宋" w:hAnsi="仿宋" w:eastAsia="仿宋" w:cs="仿宋"/>
          <w:sz w:val="36"/>
          <w:szCs w:val="36"/>
          <w:lang w:eastAsia="zh"/>
        </w:rPr>
        <w:t>五</w:t>
      </w:r>
      <w:r>
        <w:rPr>
          <w:rFonts w:hint="eastAsia" w:ascii="仿宋" w:hAnsi="仿宋" w:eastAsia="仿宋" w:cs="仿宋"/>
          <w:sz w:val="36"/>
          <w:szCs w:val="36"/>
          <w:highlight w:val="none"/>
        </w:rPr>
        <w:t>年</w:t>
      </w:r>
      <w:r>
        <w:rPr>
          <w:rFonts w:hint="eastAsia" w:ascii="仿宋" w:hAnsi="仿宋" w:eastAsia="仿宋" w:cs="仿宋"/>
          <w:sz w:val="36"/>
          <w:szCs w:val="36"/>
          <w:highlight w:val="none"/>
          <w:lang w:eastAsia="zh-CN"/>
        </w:rPr>
        <w:t>七</w:t>
      </w:r>
      <w:r>
        <w:rPr>
          <w:rFonts w:hint="eastAsia" w:ascii="仿宋" w:hAnsi="仿宋" w:eastAsia="仿宋" w:cs="仿宋"/>
          <w:sz w:val="36"/>
          <w:szCs w:val="36"/>
          <w:highlight w:val="none"/>
        </w:rPr>
        <w:t>月</w:t>
      </w: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bCs/>
          <w:sz w:val="32"/>
          <w:szCs w:val="32"/>
        </w:rPr>
        <w:sectPr>
          <w:footerReference r:id="rId4" w:type="default"/>
          <w:pgSz w:w="11906" w:h="16838"/>
          <w:pgMar w:top="2098" w:right="1474" w:bottom="1984" w:left="1587" w:header="851" w:footer="992" w:gutter="0"/>
          <w:pgNumType w:fmt="decimal" w:start="1"/>
          <w:cols w:space="720" w:num="1"/>
          <w:formProt w:val="1"/>
          <w:docGrid w:type="lines" w:linePitch="312" w:charSpace="0"/>
        </w:sectPr>
      </w:pPr>
    </w:p>
    <w:p>
      <w:pPr>
        <w:adjustRightInd w:val="0"/>
        <w:snapToGrid w:val="0"/>
        <w:jc w:val="center"/>
        <w:rPr>
          <w:rFonts w:hint="eastAsia" w:ascii="仿宋" w:hAnsi="仿宋" w:eastAsia="仿宋" w:cs="仿宋"/>
          <w:b/>
          <w:bCs w:val="0"/>
          <w:sz w:val="32"/>
          <w:szCs w:val="32"/>
        </w:rPr>
      </w:pPr>
      <w:r>
        <w:rPr>
          <w:rFonts w:hint="eastAsia" w:ascii="仿宋" w:hAnsi="仿宋" w:eastAsia="仿宋" w:cs="仿宋"/>
          <w:b/>
          <w:bCs w:val="0"/>
          <w:sz w:val="32"/>
          <w:szCs w:val="32"/>
        </w:rPr>
        <w:t>版本及修订说明</w:t>
      </w:r>
    </w:p>
    <w:p>
      <w:pPr>
        <w:adjustRightInd w:val="0"/>
        <w:snapToGrid w:val="0"/>
        <w:jc w:val="center"/>
        <w:rPr>
          <w:rFonts w:hint="eastAsia" w:ascii="仿宋" w:hAnsi="仿宋" w:eastAsia="仿宋" w:cs="仿宋"/>
          <w:bCs/>
          <w:sz w:val="32"/>
          <w:szCs w:val="32"/>
        </w:rPr>
      </w:pP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rPr>
            </w:pPr>
            <w:r>
              <w:rPr>
                <w:rFonts w:hint="eastAsia" w:ascii="仿宋" w:hAnsi="仿宋" w:eastAsia="仿宋" w:cs="仿宋"/>
                <w:bCs/>
                <w:sz w:val="32"/>
                <w:szCs w:val="32"/>
              </w:rPr>
              <w:t>修改日期</w:t>
            </w:r>
          </w:p>
        </w:tc>
        <w:tc>
          <w:tcPr>
            <w:tcW w:w="345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rPr>
            </w:pPr>
            <w:r>
              <w:rPr>
                <w:rFonts w:hint="eastAsia" w:ascii="仿宋" w:hAnsi="仿宋" w:eastAsia="仿宋" w:cs="仿宋"/>
                <w:bCs/>
                <w:sz w:val="32"/>
                <w:szCs w:val="32"/>
              </w:rPr>
              <w:t>版本及主要修订内容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rPr>
            </w:pPr>
            <w:r>
              <w:rPr>
                <w:rFonts w:hint="eastAsia" w:ascii="仿宋" w:hAnsi="仿宋" w:eastAsia="仿宋" w:cs="仿宋"/>
                <w:bCs/>
                <w:sz w:val="32"/>
                <w:szCs w:val="32"/>
              </w:rPr>
              <w:t>2023/10/20</w:t>
            </w:r>
          </w:p>
        </w:tc>
        <w:tc>
          <w:tcPr>
            <w:tcW w:w="3453"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rPr>
            </w:pPr>
            <w:r>
              <w:rPr>
                <w:rFonts w:hint="eastAsia" w:ascii="仿宋" w:hAnsi="仿宋" w:eastAsia="仿宋" w:cs="仿宋"/>
                <w:bCs/>
                <w:sz w:val="32"/>
                <w:szCs w:val="32"/>
              </w:rPr>
              <w:t>首次发布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2023/11/27</w:t>
            </w:r>
          </w:p>
        </w:tc>
        <w:tc>
          <w:tcPr>
            <w:tcW w:w="3453" w:type="pct"/>
            <w:vAlign w:val="center"/>
          </w:tcPr>
          <w:p>
            <w:pPr>
              <w:keepNext w:val="0"/>
              <w:keepLines w:val="0"/>
              <w:suppressLineNumbers w:val="0"/>
              <w:adjustRightInd w:val="0"/>
              <w:snapToGrid w:val="0"/>
              <w:spacing w:before="0" w:beforeAutospacing="0" w:after="0" w:afterAutospacing="0"/>
              <w:ind w:left="0" w:right="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明确簿记建档系统代为录入时间、上传原始认购凭证及邮件传真记录并修订部分附件模板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pct"/>
            <w:vAlign w:val="center"/>
          </w:tcPr>
          <w:p>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2024/1/26</w:t>
            </w:r>
          </w:p>
        </w:tc>
        <w:tc>
          <w:tcPr>
            <w:tcW w:w="3453" w:type="pct"/>
            <w:vAlign w:val="center"/>
          </w:tcPr>
          <w:p>
            <w:pPr>
              <w:keepNext w:val="0"/>
              <w:keepLines w:val="0"/>
              <w:suppressLineNumbers w:val="0"/>
              <w:adjustRightInd w:val="0"/>
              <w:snapToGrid w:val="0"/>
              <w:spacing w:before="0" w:beforeAutospacing="0" w:after="0" w:afterAutospacing="0"/>
              <w:ind w:left="0" w:right="0"/>
              <w:jc w:val="left"/>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明确簿记建档系统故障时的应急处置措施，根据《关于进一步规范债券发行业务有关事项的通知》相应更新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6" w:type="pct"/>
            <w:vAlign w:val="center"/>
          </w:tcPr>
          <w:p>
            <w:pPr>
              <w:keepNext w:val="0"/>
              <w:keepLines w:val="0"/>
              <w:suppressLineNumbers w:val="0"/>
              <w:adjustRightInd w:val="0"/>
              <w:snapToGrid w:val="0"/>
              <w:spacing w:before="0" w:beforeAutospacing="0" w:after="0" w:afterAutospacing="0"/>
              <w:ind w:left="0" w:leftChars="0" w:right="0" w:firstLine="0" w:firstLineChars="0"/>
              <w:jc w:val="center"/>
              <w:rPr>
                <w:rFonts w:hint="default" w:ascii="仿宋" w:hAnsi="仿宋" w:eastAsia="仿宋" w:cs="仿宋"/>
                <w:bCs/>
                <w:sz w:val="32"/>
                <w:szCs w:val="32"/>
                <w:lang w:val="en-US" w:eastAsia="zh-CN"/>
              </w:rPr>
            </w:pPr>
            <w:r>
              <w:rPr>
                <w:rFonts w:hint="eastAsia" w:ascii="仿宋" w:hAnsi="仿宋" w:eastAsia="仿宋" w:cs="仿宋"/>
                <w:bCs/>
                <w:sz w:val="32"/>
                <w:szCs w:val="32"/>
                <w:highlight w:val="none"/>
                <w:lang w:val="en-US" w:eastAsia="zh-CN"/>
              </w:rPr>
              <w:t>2025/7/18</w:t>
            </w:r>
          </w:p>
        </w:tc>
        <w:tc>
          <w:tcPr>
            <w:tcW w:w="3453" w:type="pct"/>
            <w:vAlign w:val="center"/>
          </w:tcPr>
          <w:p>
            <w:pPr>
              <w:keepNext w:val="0"/>
              <w:keepLines w:val="0"/>
              <w:widowControl/>
              <w:suppressLineNumbers w:val="0"/>
              <w:adjustRightInd w:val="0"/>
              <w:snapToGrid w:val="0"/>
              <w:spacing w:before="0" w:beforeAutospacing="1" w:after="0" w:afterAutospacing="1"/>
              <w:ind w:left="0" w:leftChars="0" w:right="0" w:firstLine="0" w:firstLineChars="0"/>
              <w:jc w:val="left"/>
              <w:rPr>
                <w:rFonts w:hint="default" w:ascii="仿宋" w:hAnsi="仿宋" w:eastAsia="仿宋" w:cs="仿宋"/>
                <w:bCs/>
                <w:sz w:val="32"/>
                <w:szCs w:val="32"/>
                <w:lang w:val="en-US" w:eastAsia="zh-CN"/>
              </w:rPr>
            </w:pPr>
            <w:r>
              <w:rPr>
                <w:rFonts w:hint="default" w:ascii="仿宋" w:hAnsi="仿宋" w:eastAsia="仿宋" w:cs="仿宋"/>
                <w:bCs/>
                <w:kern w:val="2"/>
                <w:sz w:val="32"/>
                <w:szCs w:val="32"/>
                <w:lang w:val="en-US" w:eastAsia="zh-CN" w:bidi="ar"/>
              </w:rPr>
              <w:t>根据</w:t>
            </w:r>
            <w:r>
              <w:rPr>
                <w:rFonts w:hint="eastAsia" w:ascii="仿宋" w:hAnsi="仿宋" w:eastAsia="仿宋" w:cs="仿宋"/>
                <w:bCs/>
                <w:kern w:val="2"/>
                <w:sz w:val="32"/>
                <w:szCs w:val="32"/>
                <w:lang w:val="en-US" w:eastAsia="zh-CN" w:bidi="ar"/>
              </w:rPr>
              <w:t>《关于试点公司债券续发行和资产支持证券扩募业务有关事项的通知》《关于中国铁路建设债券发行上市交易有关事项的通知》相应更新</w:t>
            </w:r>
          </w:p>
        </w:tc>
      </w:tr>
    </w:tbl>
    <w:p>
      <w:pPr>
        <w:adjustRightInd w:val="0"/>
        <w:snapToGrid w:val="0"/>
        <w:jc w:val="center"/>
        <w:rPr>
          <w:rFonts w:hint="eastAsia" w:ascii="仿宋" w:hAnsi="仿宋" w:eastAsia="仿宋" w:cs="仿宋"/>
          <w:sz w:val="32"/>
          <w:szCs w:val="32"/>
        </w:rPr>
      </w:pPr>
    </w:p>
    <w:p>
      <w:pPr>
        <w:adjustRightInd w:val="0"/>
        <w:snapToGrid w:val="0"/>
        <w:jc w:val="center"/>
        <w:rPr>
          <w:rFonts w:hint="eastAsia" w:ascii="仿宋" w:hAnsi="仿宋" w:eastAsia="仿宋" w:cs="仿宋"/>
          <w:sz w:val="32"/>
          <w:szCs w:val="32"/>
        </w:rPr>
      </w:pPr>
    </w:p>
    <w:bookmarkEnd w:id="0"/>
    <w:bookmarkEnd w:id="1"/>
    <w:bookmarkEnd w:id="2"/>
    <w:bookmarkEnd w:id="3"/>
    <w:p>
      <w:pPr>
        <w:pStyle w:val="2"/>
        <w:keepNext w:val="0"/>
        <w:keepLines w:val="0"/>
        <w:adjustRightInd w:val="0"/>
        <w:snapToGrid w:val="0"/>
        <w:spacing w:before="156" w:beforeLines="50" w:after="156" w:afterLines="50" w:line="560" w:lineRule="exact"/>
        <w:jc w:val="center"/>
        <w:outlineLvl w:val="9"/>
        <w:rPr>
          <w:rFonts w:hint="eastAsia" w:ascii="仿宋" w:hAnsi="仿宋" w:eastAsia="仿宋" w:cs="仿宋"/>
          <w:sz w:val="32"/>
          <w:szCs w:val="32"/>
        </w:rPr>
        <w:sectPr>
          <w:footerReference r:id="rId5" w:type="default"/>
          <w:pgSz w:w="11906" w:h="16838"/>
          <w:pgMar w:top="1440" w:right="1800" w:bottom="1440" w:left="1800" w:header="851" w:footer="992" w:gutter="0"/>
          <w:pgNumType w:fmt="decimal" w:start="1"/>
          <w:cols w:space="720" w:num="1"/>
          <w:formProt w:val="1"/>
          <w:docGrid w:type="lines" w:linePitch="312" w:charSpace="0"/>
        </w:sectPr>
      </w:pPr>
      <w:bookmarkStart w:id="4" w:name="_Toc1659772352"/>
      <w:bookmarkStart w:id="5" w:name="_Toc378540967"/>
      <w:bookmarkStart w:id="6" w:name="_Toc2742"/>
    </w:p>
    <w:p>
      <w:pPr>
        <w:adjustRightInd w:val="0"/>
        <w:snapToGrid w:val="0"/>
        <w:ind w:firstLine="3534" w:firstLineChars="1100"/>
        <w:rPr>
          <w:rFonts w:hint="eastAsia" w:ascii="仿宋" w:hAnsi="仿宋" w:eastAsia="仿宋" w:cs="仿宋"/>
          <w:b/>
          <w:bCs/>
          <w:sz w:val="32"/>
          <w:szCs w:val="32"/>
        </w:rPr>
      </w:pPr>
      <w:bookmarkStart w:id="7" w:name="_Toc28071"/>
      <w:bookmarkStart w:id="8" w:name="_Toc24261"/>
      <w:bookmarkStart w:id="9" w:name="_Toc20937"/>
      <w:r>
        <w:rPr>
          <w:rFonts w:hint="eastAsia" w:ascii="仿宋" w:hAnsi="仿宋" w:eastAsia="仿宋" w:cs="仿宋"/>
          <w:b/>
          <w:bCs/>
          <w:sz w:val="32"/>
          <w:szCs w:val="32"/>
        </w:rPr>
        <w:t>目   录</w:t>
      </w:r>
      <w:bookmarkEnd w:id="4"/>
      <w:bookmarkEnd w:id="5"/>
      <w:bookmarkEnd w:id="7"/>
      <w:bookmarkEnd w:id="8"/>
      <w:bookmarkEnd w:id="9"/>
    </w:p>
    <w:p>
      <w:pPr>
        <w:adjustRightInd w:val="0"/>
        <w:snapToGrid w:val="0"/>
        <w:ind w:firstLine="3534" w:firstLineChars="1100"/>
        <w:rPr>
          <w:rFonts w:hint="eastAsia" w:ascii="仿宋" w:hAnsi="仿宋" w:eastAsia="仿宋" w:cs="仿宋"/>
          <w:b/>
          <w:bCs/>
          <w:sz w:val="32"/>
          <w:szCs w:val="32"/>
        </w:rPr>
      </w:pPr>
    </w:p>
    <w:p>
      <w:pPr>
        <w:pStyle w:val="20"/>
        <w:tabs>
          <w:tab w:val="right" w:leader="dot" w:pos="8306"/>
        </w:tabs>
        <w:adjustRightInd w:val="0"/>
        <w:snapToGrid w:val="0"/>
        <w:rPr>
          <w:rFonts w:hint="eastAsia" w:cs="仿宋"/>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_Toc10322 </w:instrText>
      </w:r>
      <w:r>
        <w:rPr>
          <w:rFonts w:hint="eastAsia" w:ascii="仿宋" w:hAnsi="仿宋" w:eastAsia="仿宋" w:cs="仿宋"/>
          <w:szCs w:val="32"/>
        </w:rPr>
        <w:fldChar w:fldCharType="separate"/>
      </w:r>
      <w:r>
        <w:rPr>
          <w:rFonts w:hint="eastAsia" w:ascii="仿宋" w:hAnsi="仿宋" w:eastAsia="仿宋" w:cs="仿宋"/>
          <w:szCs w:val="44"/>
        </w:rPr>
        <w:t>重要提示</w:t>
      </w:r>
      <w:r>
        <w:rPr>
          <w:rFonts w:hint="eastAsia" w:cs="仿宋"/>
        </w:rPr>
        <w:tab/>
      </w:r>
      <w:r>
        <w:rPr>
          <w:rFonts w:hint="eastAsia" w:cs="仿宋"/>
        </w:rPr>
        <w:fldChar w:fldCharType="begin"/>
      </w:r>
      <w:r>
        <w:rPr>
          <w:rFonts w:hint="eastAsia" w:cs="仿宋"/>
        </w:rPr>
        <w:instrText xml:space="preserve"> PAGEREF _Toc10322 \h </w:instrText>
      </w:r>
      <w:r>
        <w:rPr>
          <w:rFonts w:hint="eastAsia" w:cs="仿宋"/>
        </w:rPr>
        <w:fldChar w:fldCharType="separate"/>
      </w:r>
      <w:r>
        <w:rPr>
          <w:rFonts w:hint="eastAsia" w:cs="仿宋"/>
        </w:rPr>
        <w:t>1</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_Toc837 </w:instrText>
      </w:r>
      <w:r>
        <w:rPr>
          <w:rFonts w:hint="eastAsia" w:ascii="仿宋" w:hAnsi="仿宋" w:eastAsia="仿宋" w:cs="仿宋"/>
          <w:szCs w:val="32"/>
        </w:rPr>
        <w:fldChar w:fldCharType="separate"/>
      </w:r>
      <w:r>
        <w:rPr>
          <w:rFonts w:hint="eastAsia" w:ascii="仿宋" w:hAnsi="仿宋" w:eastAsia="仿宋" w:cs="仿宋"/>
          <w:szCs w:val="32"/>
        </w:rPr>
        <w:t>第一章 业务办理准备</w:t>
      </w:r>
      <w:r>
        <w:rPr>
          <w:rFonts w:hint="eastAsia" w:cs="仿宋"/>
        </w:rPr>
        <w:tab/>
      </w:r>
      <w:r>
        <w:rPr>
          <w:rFonts w:hint="eastAsia" w:cs="仿宋"/>
        </w:rPr>
        <w:fldChar w:fldCharType="begin"/>
      </w:r>
      <w:r>
        <w:rPr>
          <w:rFonts w:hint="eastAsia" w:cs="仿宋"/>
        </w:rPr>
        <w:instrText xml:space="preserve"> PAGEREF _Toc837 \h </w:instrText>
      </w:r>
      <w:r>
        <w:rPr>
          <w:rFonts w:hint="eastAsia" w:cs="仿宋"/>
        </w:rPr>
        <w:fldChar w:fldCharType="separate"/>
      </w:r>
      <w:r>
        <w:rPr>
          <w:rFonts w:hint="eastAsia" w:cs="仿宋"/>
        </w:rPr>
        <w:t>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_Toc15507 </w:instrText>
      </w:r>
      <w:r>
        <w:rPr>
          <w:rFonts w:hint="eastAsia" w:ascii="仿宋" w:hAnsi="仿宋" w:eastAsia="仿宋" w:cs="仿宋"/>
          <w:szCs w:val="32"/>
        </w:rPr>
        <w:fldChar w:fldCharType="separate"/>
      </w:r>
      <w:r>
        <w:rPr>
          <w:rFonts w:hint="eastAsia" w:ascii="仿宋" w:hAnsi="仿宋" w:eastAsia="仿宋" w:cs="仿宋"/>
        </w:rPr>
        <w:t>一、申请系统权限</w:t>
      </w:r>
      <w:r>
        <w:rPr>
          <w:rFonts w:hint="eastAsia" w:cs="仿宋"/>
        </w:rPr>
        <w:tab/>
      </w:r>
      <w:r>
        <w:rPr>
          <w:rFonts w:hint="eastAsia" w:cs="仿宋"/>
        </w:rPr>
        <w:fldChar w:fldCharType="begin"/>
      </w:r>
      <w:r>
        <w:rPr>
          <w:rFonts w:hint="eastAsia" w:cs="仿宋"/>
        </w:rPr>
        <w:instrText xml:space="preserve"> PAGEREF _Toc15507 \h </w:instrText>
      </w:r>
      <w:r>
        <w:rPr>
          <w:rFonts w:hint="eastAsia" w:cs="仿宋"/>
        </w:rPr>
        <w:fldChar w:fldCharType="separate"/>
      </w:r>
      <w:r>
        <w:rPr>
          <w:rFonts w:hint="eastAsia" w:cs="仿宋"/>
        </w:rPr>
        <w:t>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_Toc27687 </w:instrText>
      </w:r>
      <w:r>
        <w:rPr>
          <w:rFonts w:hint="eastAsia" w:ascii="仿宋" w:hAnsi="仿宋" w:eastAsia="仿宋" w:cs="仿宋"/>
          <w:szCs w:val="32"/>
        </w:rPr>
        <w:fldChar w:fldCharType="separate"/>
      </w:r>
      <w:r>
        <w:rPr>
          <w:rFonts w:hint="eastAsia" w:ascii="仿宋" w:hAnsi="仿宋" w:eastAsia="仿宋" w:cs="仿宋"/>
        </w:rPr>
        <w:t>二、固收专区使用说明</w:t>
      </w:r>
      <w:r>
        <w:rPr>
          <w:rFonts w:hint="eastAsia" w:cs="仿宋"/>
        </w:rPr>
        <w:tab/>
      </w:r>
      <w:r>
        <w:rPr>
          <w:rFonts w:hint="eastAsia" w:cs="仿宋"/>
        </w:rPr>
        <w:fldChar w:fldCharType="begin"/>
      </w:r>
      <w:r>
        <w:rPr>
          <w:rFonts w:hint="eastAsia" w:cs="仿宋"/>
        </w:rPr>
        <w:instrText xml:space="preserve"> PAGEREF _Toc27687 \h </w:instrText>
      </w:r>
      <w:r>
        <w:rPr>
          <w:rFonts w:hint="eastAsia" w:cs="仿宋"/>
        </w:rPr>
        <w:fldChar w:fldCharType="separate"/>
      </w:r>
      <w:r>
        <w:rPr>
          <w:rFonts w:hint="eastAsia" w:cs="仿宋"/>
        </w:rPr>
        <w:t>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_Toc23839 </w:instrText>
      </w:r>
      <w:r>
        <w:rPr>
          <w:rFonts w:hint="eastAsia" w:ascii="仿宋" w:hAnsi="仿宋" w:eastAsia="仿宋" w:cs="仿宋"/>
          <w:szCs w:val="32"/>
        </w:rPr>
        <w:fldChar w:fldCharType="separate"/>
      </w:r>
      <w:r>
        <w:rPr>
          <w:rFonts w:hint="eastAsia" w:ascii="仿宋" w:hAnsi="仿宋" w:eastAsia="仿宋" w:cs="仿宋"/>
          <w:szCs w:val="32"/>
          <w:lang w:eastAsia="zh" w:bidi="ar"/>
        </w:rPr>
        <w:t>三、簿记系统使用说明</w:t>
      </w:r>
      <w:r>
        <w:rPr>
          <w:rFonts w:hint="eastAsia" w:cs="仿宋"/>
        </w:rPr>
        <w:tab/>
      </w:r>
      <w:r>
        <w:rPr>
          <w:rFonts w:hint="eastAsia" w:cs="仿宋"/>
        </w:rPr>
        <w:fldChar w:fldCharType="begin"/>
      </w:r>
      <w:r>
        <w:rPr>
          <w:rFonts w:hint="eastAsia" w:cs="仿宋"/>
        </w:rPr>
        <w:instrText xml:space="preserve"> PAGEREF _Toc23839 \h </w:instrText>
      </w:r>
      <w:r>
        <w:rPr>
          <w:rFonts w:hint="eastAsia" w:cs="仿宋"/>
        </w:rPr>
        <w:fldChar w:fldCharType="separate"/>
      </w:r>
      <w:r>
        <w:rPr>
          <w:rFonts w:hint="eastAsia" w:cs="仿宋"/>
        </w:rPr>
        <w:t>3</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_Toc5260 </w:instrText>
      </w:r>
      <w:r>
        <w:rPr>
          <w:rFonts w:hint="eastAsia" w:ascii="仿宋" w:hAnsi="仿宋" w:eastAsia="仿宋" w:cs="仿宋"/>
          <w:szCs w:val="32"/>
        </w:rPr>
        <w:fldChar w:fldCharType="separate"/>
      </w:r>
      <w:r>
        <w:rPr>
          <w:rFonts w:hint="eastAsia" w:ascii="仿宋" w:hAnsi="仿宋" w:eastAsia="仿宋" w:cs="仿宋"/>
          <w:szCs w:val="32"/>
          <w:lang w:eastAsia="zh" w:bidi="ar"/>
        </w:rPr>
        <w:t>四、簿记建档场所使用说明</w:t>
      </w:r>
      <w:r>
        <w:rPr>
          <w:rFonts w:hint="eastAsia" w:cs="仿宋"/>
        </w:rPr>
        <w:tab/>
      </w:r>
      <w:r>
        <w:rPr>
          <w:rFonts w:hint="eastAsia" w:cs="仿宋"/>
        </w:rPr>
        <w:fldChar w:fldCharType="begin"/>
      </w:r>
      <w:r>
        <w:rPr>
          <w:rFonts w:hint="eastAsia" w:cs="仿宋"/>
        </w:rPr>
        <w:instrText xml:space="preserve"> PAGEREF _Toc5260 \h </w:instrText>
      </w:r>
      <w:r>
        <w:rPr>
          <w:rFonts w:hint="eastAsia" w:cs="仿宋"/>
        </w:rPr>
        <w:fldChar w:fldCharType="separate"/>
      </w:r>
      <w:r>
        <w:rPr>
          <w:rFonts w:hint="eastAsia" w:cs="仿宋"/>
        </w:rPr>
        <w:t>4</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_Toc29432 </w:instrText>
      </w:r>
      <w:r>
        <w:rPr>
          <w:rFonts w:hint="eastAsia" w:ascii="仿宋" w:hAnsi="仿宋" w:eastAsia="仿宋" w:cs="仿宋"/>
          <w:szCs w:val="32"/>
        </w:rPr>
        <w:fldChar w:fldCharType="separate"/>
      </w:r>
      <w:r>
        <w:rPr>
          <w:rFonts w:hint="eastAsia" w:ascii="仿宋" w:hAnsi="仿宋" w:eastAsia="仿宋" w:cs="仿宋"/>
          <w:kern w:val="2"/>
          <w:szCs w:val="32"/>
          <w:lang w:val="en-US" w:eastAsia="zh" w:bidi="ar"/>
        </w:rPr>
        <w:t>五、</w:t>
      </w:r>
      <w:r>
        <w:rPr>
          <w:rFonts w:hint="eastAsia" w:ascii="仿宋" w:hAnsi="仿宋" w:eastAsia="仿宋" w:cs="仿宋"/>
          <w:kern w:val="2"/>
          <w:szCs w:val="32"/>
          <w:lang w:val="en-US" w:eastAsia="zh-CN" w:bidi="ar"/>
        </w:rPr>
        <w:t>本所发行上市业务专用邮箱</w:t>
      </w:r>
      <w:r>
        <w:rPr>
          <w:rFonts w:hint="eastAsia" w:cs="仿宋"/>
        </w:rPr>
        <w:tab/>
      </w:r>
      <w:r>
        <w:rPr>
          <w:rFonts w:hint="eastAsia" w:cs="仿宋"/>
        </w:rPr>
        <w:fldChar w:fldCharType="begin"/>
      </w:r>
      <w:r>
        <w:rPr>
          <w:rFonts w:hint="eastAsia" w:cs="仿宋"/>
        </w:rPr>
        <w:instrText xml:space="preserve"> PAGEREF _Toc29432 \h </w:instrText>
      </w:r>
      <w:r>
        <w:rPr>
          <w:rFonts w:hint="eastAsia" w:cs="仿宋"/>
        </w:rPr>
        <w:fldChar w:fldCharType="separate"/>
      </w:r>
      <w:r>
        <w:rPr>
          <w:rFonts w:hint="eastAsia" w:cs="仿宋"/>
        </w:rPr>
        <w:t>4</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_Toc7826 </w:instrText>
      </w:r>
      <w:r>
        <w:rPr>
          <w:rFonts w:hint="eastAsia" w:ascii="仿宋" w:hAnsi="仿宋" w:eastAsia="仿宋" w:cs="仿宋"/>
          <w:szCs w:val="32"/>
        </w:rPr>
        <w:fldChar w:fldCharType="separate"/>
      </w:r>
      <w:r>
        <w:rPr>
          <w:rFonts w:hint="eastAsia" w:ascii="仿宋" w:hAnsi="仿宋" w:eastAsia="仿宋" w:cs="仿宋"/>
          <w:bCs/>
          <w:kern w:val="2"/>
          <w:szCs w:val="32"/>
          <w:lang w:eastAsia="zh" w:bidi="ar"/>
        </w:rPr>
        <w:t>六、通用质押式回购业务申请</w:t>
      </w:r>
      <w:r>
        <w:rPr>
          <w:rFonts w:hint="eastAsia" w:cs="仿宋"/>
        </w:rPr>
        <w:tab/>
      </w:r>
      <w:r>
        <w:rPr>
          <w:rFonts w:hint="eastAsia" w:cs="仿宋"/>
        </w:rPr>
        <w:fldChar w:fldCharType="begin"/>
      </w:r>
      <w:r>
        <w:rPr>
          <w:rFonts w:hint="eastAsia" w:cs="仿宋"/>
        </w:rPr>
        <w:instrText xml:space="preserve"> PAGEREF _Toc7826 \h </w:instrText>
      </w:r>
      <w:r>
        <w:rPr>
          <w:rFonts w:hint="eastAsia" w:cs="仿宋"/>
        </w:rPr>
        <w:fldChar w:fldCharType="separate"/>
      </w:r>
      <w:r>
        <w:rPr>
          <w:rFonts w:hint="eastAsia" w:cs="仿宋"/>
        </w:rPr>
        <w:t>5</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_Toc2136 </w:instrText>
      </w:r>
      <w:r>
        <w:rPr>
          <w:rFonts w:hint="eastAsia" w:ascii="仿宋" w:hAnsi="仿宋" w:eastAsia="仿宋" w:cs="仿宋"/>
          <w:szCs w:val="32"/>
        </w:rPr>
        <w:fldChar w:fldCharType="separate"/>
      </w:r>
      <w:r>
        <w:rPr>
          <w:rFonts w:hint="eastAsia" w:ascii="仿宋" w:hAnsi="仿宋" w:eastAsia="仿宋" w:cs="仿宋"/>
          <w:szCs w:val="32"/>
        </w:rPr>
        <w:t>第二章 公司债券（含企业债券）发行业务</w:t>
      </w:r>
      <w:r>
        <w:rPr>
          <w:rFonts w:hint="eastAsia" w:cs="仿宋"/>
        </w:rPr>
        <w:tab/>
      </w:r>
      <w:r>
        <w:rPr>
          <w:rFonts w:hint="eastAsia" w:cs="仿宋"/>
        </w:rPr>
        <w:fldChar w:fldCharType="begin"/>
      </w:r>
      <w:r>
        <w:rPr>
          <w:rFonts w:hint="eastAsia" w:cs="仿宋"/>
        </w:rPr>
        <w:instrText xml:space="preserve"> PAGEREF _Toc2136 \h </w:instrText>
      </w:r>
      <w:r>
        <w:rPr>
          <w:rFonts w:hint="eastAsia" w:cs="仿宋"/>
        </w:rPr>
        <w:fldChar w:fldCharType="separate"/>
      </w:r>
      <w:r>
        <w:rPr>
          <w:rFonts w:hint="eastAsia" w:cs="仿宋"/>
        </w:rPr>
        <w:t>5</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_Toc440 </w:instrText>
      </w:r>
      <w:r>
        <w:rPr>
          <w:rFonts w:hint="eastAsia" w:ascii="仿宋" w:hAnsi="仿宋" w:eastAsia="仿宋" w:cs="仿宋"/>
          <w:szCs w:val="32"/>
        </w:rPr>
        <w:fldChar w:fldCharType="separate"/>
      </w:r>
      <w:r>
        <w:rPr>
          <w:rFonts w:hint="eastAsia" w:ascii="仿宋" w:hAnsi="仿宋" w:eastAsia="仿宋" w:cs="仿宋"/>
        </w:rPr>
        <w:t>一、发行方式</w:t>
      </w:r>
      <w:r>
        <w:rPr>
          <w:rFonts w:hint="eastAsia" w:cs="仿宋"/>
        </w:rPr>
        <w:tab/>
      </w:r>
      <w:r>
        <w:rPr>
          <w:rFonts w:hint="eastAsia" w:cs="仿宋"/>
        </w:rPr>
        <w:fldChar w:fldCharType="begin"/>
      </w:r>
      <w:r>
        <w:rPr>
          <w:rFonts w:hint="eastAsia" w:cs="仿宋"/>
        </w:rPr>
        <w:instrText xml:space="preserve"> PAGEREF _Toc440 \h </w:instrText>
      </w:r>
      <w:r>
        <w:rPr>
          <w:rFonts w:hint="eastAsia" w:cs="仿宋"/>
        </w:rPr>
        <w:fldChar w:fldCharType="separate"/>
      </w:r>
      <w:r>
        <w:rPr>
          <w:rFonts w:hint="eastAsia" w:cs="仿宋"/>
        </w:rPr>
        <w:t>5</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_Toc15407 </w:instrText>
      </w:r>
      <w:r>
        <w:rPr>
          <w:rFonts w:hint="eastAsia" w:ascii="仿宋" w:hAnsi="仿宋" w:eastAsia="仿宋" w:cs="仿宋"/>
          <w:szCs w:val="32"/>
        </w:rPr>
        <w:fldChar w:fldCharType="separate"/>
      </w:r>
      <w:r>
        <w:rPr>
          <w:rFonts w:hint="eastAsia" w:ascii="仿宋" w:hAnsi="仿宋" w:eastAsia="仿宋" w:cs="仿宋"/>
        </w:rPr>
        <w:t>二、网下发行流程</w:t>
      </w:r>
      <w:r>
        <w:rPr>
          <w:rFonts w:hint="eastAsia" w:cs="仿宋"/>
        </w:rPr>
        <w:tab/>
      </w:r>
      <w:r>
        <w:rPr>
          <w:rFonts w:hint="eastAsia" w:cs="仿宋"/>
        </w:rPr>
        <w:fldChar w:fldCharType="begin"/>
      </w:r>
      <w:r>
        <w:rPr>
          <w:rFonts w:hint="eastAsia" w:cs="仿宋"/>
        </w:rPr>
        <w:instrText xml:space="preserve"> PAGEREF _Toc15407 \h </w:instrText>
      </w:r>
      <w:r>
        <w:rPr>
          <w:rFonts w:hint="eastAsia" w:cs="仿宋"/>
        </w:rPr>
        <w:fldChar w:fldCharType="separate"/>
      </w:r>
      <w:r>
        <w:rPr>
          <w:rFonts w:hint="eastAsia" w:cs="仿宋"/>
        </w:rPr>
        <w:t>5</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_Toc30963 </w:instrText>
      </w:r>
      <w:r>
        <w:rPr>
          <w:rFonts w:hint="eastAsia" w:ascii="仿宋" w:hAnsi="仿宋" w:eastAsia="仿宋" w:cs="仿宋"/>
          <w:szCs w:val="32"/>
        </w:rPr>
        <w:fldChar w:fldCharType="separate"/>
      </w:r>
      <w:r>
        <w:rPr>
          <w:rFonts w:hint="eastAsia" w:ascii="仿宋" w:hAnsi="仿宋" w:eastAsia="仿宋" w:cs="仿宋"/>
          <w:bCs w:val="0"/>
          <w:highlight w:val="none"/>
          <w:lang w:bidi="ar"/>
        </w:rPr>
        <w:t>三、网上发行+网下发行流程</w:t>
      </w:r>
      <w:r>
        <w:rPr>
          <w:rFonts w:hint="eastAsia" w:cs="仿宋"/>
        </w:rPr>
        <w:tab/>
      </w:r>
      <w:r>
        <w:rPr>
          <w:rFonts w:hint="eastAsia" w:cs="仿宋"/>
        </w:rPr>
        <w:fldChar w:fldCharType="begin"/>
      </w:r>
      <w:r>
        <w:rPr>
          <w:rFonts w:hint="eastAsia" w:cs="仿宋"/>
        </w:rPr>
        <w:instrText xml:space="preserve"> PAGEREF _Toc30963 \h </w:instrText>
      </w:r>
      <w:r>
        <w:rPr>
          <w:rFonts w:hint="eastAsia" w:cs="仿宋"/>
        </w:rPr>
        <w:fldChar w:fldCharType="separate"/>
      </w:r>
      <w:r>
        <w:rPr>
          <w:rFonts w:hint="eastAsia" w:cs="仿宋"/>
        </w:rPr>
        <w:t>16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_Toc7769 </w:instrText>
      </w:r>
      <w:r>
        <w:rPr>
          <w:rFonts w:hint="eastAsia" w:ascii="仿宋" w:hAnsi="仿宋" w:eastAsia="仿宋" w:cs="仿宋"/>
          <w:szCs w:val="32"/>
        </w:rPr>
        <w:fldChar w:fldCharType="separate"/>
      </w:r>
      <w:r>
        <w:rPr>
          <w:rFonts w:hint="eastAsia" w:ascii="仿宋" w:hAnsi="仿宋" w:eastAsia="仿宋" w:cs="仿宋"/>
          <w:bCs w:val="0"/>
          <w:lang w:bidi="ar"/>
        </w:rPr>
        <w:t>四、可交债网上发行+网下发行流程</w:t>
      </w:r>
      <w:r>
        <w:rPr>
          <w:rFonts w:hint="eastAsia" w:cs="仿宋"/>
        </w:rPr>
        <w:tab/>
      </w:r>
      <w:r>
        <w:rPr>
          <w:rFonts w:hint="eastAsia" w:cs="仿宋"/>
        </w:rPr>
        <w:fldChar w:fldCharType="begin"/>
      </w:r>
      <w:r>
        <w:rPr>
          <w:rFonts w:hint="eastAsia" w:cs="仿宋"/>
        </w:rPr>
        <w:instrText xml:space="preserve"> PAGEREF _Toc7769 \h </w:instrText>
      </w:r>
      <w:r>
        <w:rPr>
          <w:rFonts w:hint="eastAsia" w:cs="仿宋"/>
        </w:rPr>
        <w:fldChar w:fldCharType="separate"/>
      </w:r>
      <w:r>
        <w:rPr>
          <w:rFonts w:hint="eastAsia" w:cs="仿宋"/>
        </w:rPr>
        <w:t>17</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_Toc31363 </w:instrText>
      </w:r>
      <w:r>
        <w:rPr>
          <w:rFonts w:hint="eastAsia" w:ascii="仿宋" w:hAnsi="仿宋" w:eastAsia="仿宋" w:cs="仿宋"/>
          <w:szCs w:val="32"/>
        </w:rPr>
        <w:fldChar w:fldCharType="separate"/>
      </w:r>
      <w:r>
        <w:rPr>
          <w:rFonts w:hint="eastAsia" w:ascii="仿宋" w:hAnsi="仿宋" w:eastAsia="仿宋" w:cs="仿宋"/>
          <w:bCs w:val="0"/>
          <w:kern w:val="2"/>
          <w:szCs w:val="32"/>
          <w:lang w:bidi="ar"/>
        </w:rPr>
        <w:t>五、公司债券续发行（试点）</w:t>
      </w:r>
      <w:r>
        <w:rPr>
          <w:rFonts w:hint="eastAsia" w:cs="仿宋"/>
        </w:rPr>
        <w:tab/>
      </w:r>
      <w:r>
        <w:rPr>
          <w:rFonts w:hint="eastAsia" w:cs="仿宋"/>
        </w:rPr>
        <w:fldChar w:fldCharType="begin"/>
      </w:r>
      <w:r>
        <w:rPr>
          <w:rFonts w:hint="eastAsia" w:cs="仿宋"/>
        </w:rPr>
        <w:instrText xml:space="preserve"> PAGEREF _Toc31363 \h </w:instrText>
      </w:r>
      <w:r>
        <w:rPr>
          <w:rFonts w:hint="eastAsia" w:cs="仿宋"/>
        </w:rPr>
        <w:fldChar w:fldCharType="separate"/>
      </w:r>
      <w:r>
        <w:rPr>
          <w:rFonts w:hint="eastAsia" w:cs="仿宋"/>
        </w:rPr>
        <w:t>17</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_Toc8863 </w:instrText>
      </w:r>
      <w:r>
        <w:rPr>
          <w:rFonts w:hint="eastAsia" w:ascii="仿宋" w:hAnsi="仿宋" w:eastAsia="仿宋" w:cs="仿宋"/>
          <w:szCs w:val="32"/>
        </w:rPr>
        <w:fldChar w:fldCharType="separate"/>
      </w:r>
      <w:r>
        <w:rPr>
          <w:rFonts w:hint="eastAsia" w:ascii="仿宋" w:hAnsi="仿宋" w:eastAsia="仿宋" w:cs="仿宋"/>
          <w:szCs w:val="32"/>
          <w:highlight w:val="none"/>
          <w:lang w:eastAsia="zh-CN" w:bidi="ar"/>
        </w:rPr>
        <w:t>第三章</w:t>
      </w:r>
      <w:r>
        <w:rPr>
          <w:rFonts w:hint="eastAsia" w:ascii="仿宋" w:hAnsi="仿宋" w:eastAsia="仿宋" w:cs="仿宋"/>
          <w:szCs w:val="32"/>
          <w:highlight w:val="none"/>
          <w:lang w:eastAsia="zh" w:bidi="ar"/>
        </w:rPr>
        <w:t xml:space="preserve"> </w:t>
      </w:r>
      <w:r>
        <w:rPr>
          <w:rFonts w:hint="eastAsia" w:ascii="仿宋" w:hAnsi="仿宋" w:eastAsia="仿宋" w:cs="仿宋"/>
          <w:kern w:val="44"/>
          <w:szCs w:val="32"/>
          <w:highlight w:val="none"/>
          <w:lang w:bidi="ar"/>
        </w:rPr>
        <w:t>公司债券登记与上市挂牌业务</w:t>
      </w:r>
      <w:r>
        <w:rPr>
          <w:rFonts w:hint="eastAsia" w:cs="仿宋"/>
        </w:rPr>
        <w:tab/>
      </w:r>
      <w:r>
        <w:rPr>
          <w:rFonts w:hint="eastAsia" w:cs="仿宋"/>
        </w:rPr>
        <w:fldChar w:fldCharType="begin"/>
      </w:r>
      <w:r>
        <w:rPr>
          <w:rFonts w:hint="eastAsia" w:cs="仿宋"/>
        </w:rPr>
        <w:instrText xml:space="preserve"> PAGEREF _Toc8863 \h </w:instrText>
      </w:r>
      <w:r>
        <w:rPr>
          <w:rFonts w:hint="eastAsia" w:cs="仿宋"/>
        </w:rPr>
        <w:fldChar w:fldCharType="separate"/>
      </w:r>
      <w:r>
        <w:rPr>
          <w:rFonts w:hint="eastAsia" w:cs="仿宋"/>
        </w:rPr>
        <w:t>19</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_Toc20334 </w:instrText>
      </w:r>
      <w:r>
        <w:rPr>
          <w:rFonts w:hint="eastAsia" w:ascii="仿宋" w:hAnsi="仿宋" w:eastAsia="仿宋" w:cs="仿宋"/>
          <w:szCs w:val="32"/>
        </w:rPr>
        <w:fldChar w:fldCharType="separate"/>
      </w:r>
      <w:r>
        <w:rPr>
          <w:rFonts w:hint="eastAsia" w:ascii="仿宋" w:hAnsi="仿宋" w:eastAsia="仿宋" w:cs="仿宋"/>
          <w:bCs w:val="0"/>
          <w:highlight w:val="none"/>
          <w:lang w:bidi="ar"/>
        </w:rPr>
        <w:t>一、债券登记申请</w:t>
      </w:r>
      <w:r>
        <w:rPr>
          <w:rFonts w:hint="eastAsia" w:cs="仿宋"/>
        </w:rPr>
        <w:tab/>
      </w:r>
      <w:r>
        <w:rPr>
          <w:rFonts w:hint="eastAsia" w:cs="仿宋"/>
        </w:rPr>
        <w:fldChar w:fldCharType="begin"/>
      </w:r>
      <w:r>
        <w:rPr>
          <w:rFonts w:hint="eastAsia" w:cs="仿宋"/>
        </w:rPr>
        <w:instrText xml:space="preserve"> PAGEREF _Toc20334 \h </w:instrText>
      </w:r>
      <w:r>
        <w:rPr>
          <w:rFonts w:hint="eastAsia" w:cs="仿宋"/>
        </w:rPr>
        <w:fldChar w:fldCharType="separate"/>
      </w:r>
      <w:r>
        <w:rPr>
          <w:rFonts w:hint="eastAsia" w:cs="仿宋"/>
        </w:rPr>
        <w:t>19</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_Toc2252 </w:instrText>
      </w:r>
      <w:r>
        <w:rPr>
          <w:rFonts w:hint="eastAsia" w:ascii="仿宋" w:hAnsi="仿宋" w:eastAsia="仿宋" w:cs="仿宋"/>
          <w:szCs w:val="32"/>
        </w:rPr>
        <w:fldChar w:fldCharType="separate"/>
      </w:r>
      <w:r>
        <w:rPr>
          <w:rFonts w:hint="eastAsia" w:ascii="仿宋" w:hAnsi="仿宋" w:eastAsia="仿宋" w:cs="仿宋"/>
          <w:bCs w:val="0"/>
          <w:lang w:bidi="ar"/>
        </w:rPr>
        <w:t>二、债券上市挂牌申请</w:t>
      </w:r>
      <w:r>
        <w:rPr>
          <w:rFonts w:hint="eastAsia" w:cs="仿宋"/>
        </w:rPr>
        <w:tab/>
      </w:r>
      <w:r>
        <w:rPr>
          <w:rFonts w:hint="eastAsia" w:cs="仿宋"/>
        </w:rPr>
        <w:fldChar w:fldCharType="begin"/>
      </w:r>
      <w:r>
        <w:rPr>
          <w:rFonts w:hint="eastAsia" w:cs="仿宋"/>
        </w:rPr>
        <w:instrText xml:space="preserve"> PAGEREF _Toc2252 \h </w:instrText>
      </w:r>
      <w:r>
        <w:rPr>
          <w:rFonts w:hint="eastAsia" w:cs="仿宋"/>
        </w:rPr>
        <w:fldChar w:fldCharType="separate"/>
      </w:r>
      <w:r>
        <w:rPr>
          <w:rFonts w:hint="eastAsia" w:cs="仿宋"/>
        </w:rPr>
        <w:t>22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_Toc20418 </w:instrText>
      </w:r>
      <w:r>
        <w:rPr>
          <w:rFonts w:hint="eastAsia" w:ascii="仿宋" w:hAnsi="仿宋" w:eastAsia="仿宋" w:cs="仿宋"/>
          <w:szCs w:val="32"/>
        </w:rPr>
        <w:fldChar w:fldCharType="separate"/>
      </w:r>
      <w:r>
        <w:rPr>
          <w:rFonts w:hint="eastAsia" w:ascii="仿宋" w:hAnsi="仿宋" w:eastAsia="仿宋" w:cs="仿宋"/>
          <w:bCs w:val="0"/>
          <w:highlight w:val="none"/>
          <w:lang w:bidi="ar"/>
        </w:rPr>
        <w:t>三、债券上市后事项</w:t>
      </w:r>
      <w:r>
        <w:rPr>
          <w:rFonts w:hint="eastAsia" w:cs="仿宋"/>
        </w:rPr>
        <w:tab/>
      </w:r>
      <w:r>
        <w:rPr>
          <w:rFonts w:hint="eastAsia" w:cs="仿宋"/>
        </w:rPr>
        <w:fldChar w:fldCharType="begin"/>
      </w:r>
      <w:r>
        <w:rPr>
          <w:rFonts w:hint="eastAsia" w:cs="仿宋"/>
        </w:rPr>
        <w:instrText xml:space="preserve"> PAGEREF _Toc20418 \h </w:instrText>
      </w:r>
      <w:r>
        <w:rPr>
          <w:rFonts w:hint="eastAsia" w:cs="仿宋"/>
        </w:rPr>
        <w:fldChar w:fldCharType="separate"/>
      </w:r>
      <w:r>
        <w:rPr>
          <w:rFonts w:hint="eastAsia" w:cs="仿宋"/>
        </w:rPr>
        <w:t>23</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_Toc19034 </w:instrText>
      </w:r>
      <w:r>
        <w:rPr>
          <w:rFonts w:hint="eastAsia" w:ascii="仿宋" w:hAnsi="仿宋" w:eastAsia="仿宋" w:cs="仿宋"/>
          <w:szCs w:val="32"/>
        </w:rPr>
        <w:fldChar w:fldCharType="separate"/>
      </w:r>
      <w:r>
        <w:rPr>
          <w:rFonts w:hint="eastAsia" w:ascii="仿宋" w:hAnsi="仿宋" w:eastAsia="仿宋" w:cs="仿宋"/>
          <w:bCs/>
          <w:kern w:val="2"/>
          <w:szCs w:val="32"/>
        </w:rPr>
        <w:t>第四章 铁道债发行、登记及上市业务</w:t>
      </w:r>
      <w:r>
        <w:rPr>
          <w:rFonts w:hint="eastAsia" w:cs="仿宋"/>
        </w:rPr>
        <w:tab/>
      </w:r>
      <w:r>
        <w:rPr>
          <w:rFonts w:hint="eastAsia" w:cs="仿宋"/>
        </w:rPr>
        <w:fldChar w:fldCharType="begin"/>
      </w:r>
      <w:r>
        <w:rPr>
          <w:rFonts w:hint="eastAsia" w:cs="仿宋"/>
        </w:rPr>
        <w:instrText xml:space="preserve"> PAGEREF _Toc19034 \h </w:instrText>
      </w:r>
      <w:r>
        <w:rPr>
          <w:rFonts w:hint="eastAsia" w:cs="仿宋"/>
        </w:rPr>
        <w:fldChar w:fldCharType="separate"/>
      </w:r>
      <w:r>
        <w:rPr>
          <w:rFonts w:hint="eastAsia" w:cs="仿宋"/>
        </w:rPr>
        <w:t>26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_Toc12825 </w:instrText>
      </w:r>
      <w:r>
        <w:rPr>
          <w:rFonts w:hint="eastAsia" w:ascii="仿宋" w:hAnsi="仿宋" w:eastAsia="仿宋" w:cs="仿宋"/>
          <w:szCs w:val="32"/>
        </w:rPr>
        <w:fldChar w:fldCharType="separate"/>
      </w:r>
      <w:r>
        <w:rPr>
          <w:rFonts w:hint="eastAsia" w:ascii="仿宋" w:hAnsi="仿宋" w:eastAsia="仿宋" w:cs="仿宋"/>
          <w:bCs w:val="0"/>
          <w:kern w:val="2"/>
          <w:szCs w:val="32"/>
        </w:rPr>
        <w:t>一、铁道债发行、招标业务</w:t>
      </w:r>
      <w:r>
        <w:rPr>
          <w:rFonts w:hint="eastAsia" w:cs="仿宋"/>
        </w:rPr>
        <w:tab/>
      </w:r>
      <w:r>
        <w:rPr>
          <w:rFonts w:hint="eastAsia" w:cs="仿宋"/>
        </w:rPr>
        <w:fldChar w:fldCharType="begin"/>
      </w:r>
      <w:r>
        <w:rPr>
          <w:rFonts w:hint="eastAsia" w:cs="仿宋"/>
        </w:rPr>
        <w:instrText xml:space="preserve"> PAGEREF _Toc12825 \h </w:instrText>
      </w:r>
      <w:r>
        <w:rPr>
          <w:rFonts w:hint="eastAsia" w:cs="仿宋"/>
        </w:rPr>
        <w:fldChar w:fldCharType="separate"/>
      </w:r>
      <w:r>
        <w:rPr>
          <w:rFonts w:hint="eastAsia" w:cs="仿宋"/>
        </w:rPr>
        <w:t>26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_Toc4072 </w:instrText>
      </w:r>
      <w:r>
        <w:rPr>
          <w:rFonts w:hint="eastAsia" w:ascii="仿宋" w:hAnsi="仿宋" w:eastAsia="仿宋" w:cs="仿宋"/>
          <w:szCs w:val="32"/>
        </w:rPr>
        <w:fldChar w:fldCharType="separate"/>
      </w:r>
      <w:r>
        <w:rPr>
          <w:rFonts w:hint="eastAsia" w:ascii="仿宋" w:hAnsi="仿宋" w:eastAsia="仿宋" w:cs="仿宋"/>
          <w:bCs w:val="0"/>
          <w:kern w:val="2"/>
          <w:szCs w:val="32"/>
        </w:rPr>
        <w:t>二、铁道债登记及上市业务</w:t>
      </w:r>
      <w:r>
        <w:rPr>
          <w:rFonts w:hint="eastAsia" w:cs="仿宋"/>
        </w:rPr>
        <w:tab/>
      </w:r>
      <w:r>
        <w:rPr>
          <w:rFonts w:hint="eastAsia" w:cs="仿宋"/>
        </w:rPr>
        <w:fldChar w:fldCharType="begin"/>
      </w:r>
      <w:r>
        <w:rPr>
          <w:rFonts w:hint="eastAsia" w:cs="仿宋"/>
        </w:rPr>
        <w:instrText xml:space="preserve"> PAGEREF _Toc4072 \h </w:instrText>
      </w:r>
      <w:r>
        <w:rPr>
          <w:rFonts w:hint="eastAsia" w:cs="仿宋"/>
        </w:rPr>
        <w:fldChar w:fldCharType="separate"/>
      </w:r>
      <w:r>
        <w:rPr>
          <w:rFonts w:hint="eastAsia" w:cs="仿宋"/>
        </w:rPr>
        <w:t>29</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_Toc11156 </w:instrText>
      </w:r>
      <w:r>
        <w:rPr>
          <w:rFonts w:hint="eastAsia" w:ascii="仿宋" w:hAnsi="仿宋" w:eastAsia="仿宋" w:cs="仿宋"/>
          <w:szCs w:val="32"/>
        </w:rPr>
        <w:fldChar w:fldCharType="separate"/>
      </w:r>
      <w:r>
        <w:rPr>
          <w:rFonts w:hint="eastAsia" w:ascii="仿宋" w:hAnsi="仿宋" w:eastAsia="仿宋" w:cs="仿宋"/>
          <w:kern w:val="2"/>
          <w:szCs w:val="32"/>
          <w:lang w:bidi="ar"/>
        </w:rPr>
        <w:t>第</w:t>
      </w:r>
      <w:r>
        <w:rPr>
          <w:rFonts w:hint="eastAsia" w:ascii="仿宋" w:hAnsi="仿宋" w:eastAsia="仿宋" w:cs="仿宋"/>
          <w:kern w:val="2"/>
          <w:szCs w:val="32"/>
          <w:lang w:eastAsia="zh" w:bidi="ar"/>
        </w:rPr>
        <w:t>五</w:t>
      </w:r>
      <w:r>
        <w:rPr>
          <w:rFonts w:hint="eastAsia" w:ascii="仿宋" w:hAnsi="仿宋" w:eastAsia="仿宋" w:cs="仿宋"/>
          <w:kern w:val="2"/>
          <w:szCs w:val="32"/>
          <w:lang w:bidi="ar"/>
        </w:rPr>
        <w:t>章 资产支持证券发行业务</w:t>
      </w:r>
      <w:r>
        <w:rPr>
          <w:rFonts w:hint="eastAsia" w:cs="仿宋"/>
        </w:rPr>
        <w:tab/>
      </w:r>
      <w:r>
        <w:rPr>
          <w:rFonts w:hint="eastAsia" w:cs="仿宋"/>
        </w:rPr>
        <w:fldChar w:fldCharType="begin"/>
      </w:r>
      <w:r>
        <w:rPr>
          <w:rFonts w:hint="eastAsia" w:cs="仿宋"/>
        </w:rPr>
        <w:instrText xml:space="preserve"> PAGEREF _Toc11156 \h </w:instrText>
      </w:r>
      <w:r>
        <w:rPr>
          <w:rFonts w:hint="eastAsia" w:cs="仿宋"/>
        </w:rPr>
        <w:fldChar w:fldCharType="separate"/>
      </w:r>
      <w:r>
        <w:rPr>
          <w:rFonts w:hint="eastAsia" w:cs="仿宋"/>
        </w:rPr>
        <w:t>31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_Toc3493 </w:instrText>
      </w:r>
      <w:r>
        <w:rPr>
          <w:rFonts w:hint="eastAsia" w:ascii="仿宋" w:hAnsi="仿宋" w:eastAsia="仿宋" w:cs="仿宋"/>
          <w:szCs w:val="32"/>
        </w:rPr>
        <w:fldChar w:fldCharType="separate"/>
      </w:r>
      <w:r>
        <w:rPr>
          <w:rFonts w:hint="eastAsia" w:ascii="仿宋" w:hAnsi="仿宋" w:eastAsia="仿宋" w:cs="仿宋"/>
        </w:rPr>
        <w:t>一、发行方式</w:t>
      </w:r>
      <w:r>
        <w:rPr>
          <w:rFonts w:hint="eastAsia" w:cs="仿宋"/>
        </w:rPr>
        <w:tab/>
      </w:r>
      <w:r>
        <w:rPr>
          <w:rFonts w:hint="eastAsia" w:cs="仿宋"/>
        </w:rPr>
        <w:fldChar w:fldCharType="begin"/>
      </w:r>
      <w:r>
        <w:rPr>
          <w:rFonts w:hint="eastAsia" w:cs="仿宋"/>
        </w:rPr>
        <w:instrText xml:space="preserve"> PAGEREF _Toc3493 \h </w:instrText>
      </w:r>
      <w:r>
        <w:rPr>
          <w:rFonts w:hint="eastAsia" w:cs="仿宋"/>
        </w:rPr>
        <w:fldChar w:fldCharType="separate"/>
      </w:r>
      <w:r>
        <w:rPr>
          <w:rFonts w:hint="eastAsia" w:cs="仿宋"/>
        </w:rPr>
        <w:t>31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_Toc9570 </w:instrText>
      </w:r>
      <w:r>
        <w:rPr>
          <w:rFonts w:hint="eastAsia" w:ascii="仿宋" w:hAnsi="仿宋" w:eastAsia="仿宋" w:cs="仿宋"/>
          <w:szCs w:val="32"/>
        </w:rPr>
        <w:fldChar w:fldCharType="separate"/>
      </w:r>
      <w:r>
        <w:rPr>
          <w:rFonts w:hint="eastAsia" w:ascii="仿宋" w:hAnsi="仿宋" w:eastAsia="仿宋" w:cs="仿宋"/>
        </w:rPr>
        <w:t>二、 发行流程</w:t>
      </w:r>
      <w:r>
        <w:rPr>
          <w:rFonts w:hint="eastAsia" w:cs="仿宋"/>
        </w:rPr>
        <w:tab/>
      </w:r>
      <w:r>
        <w:rPr>
          <w:rFonts w:hint="eastAsia" w:cs="仿宋"/>
        </w:rPr>
        <w:fldChar w:fldCharType="begin"/>
      </w:r>
      <w:r>
        <w:rPr>
          <w:rFonts w:hint="eastAsia" w:cs="仿宋"/>
        </w:rPr>
        <w:instrText xml:space="preserve"> PAGEREF _Toc9570 \h </w:instrText>
      </w:r>
      <w:r>
        <w:rPr>
          <w:rFonts w:hint="eastAsia" w:cs="仿宋"/>
        </w:rPr>
        <w:fldChar w:fldCharType="separate"/>
      </w:r>
      <w:r>
        <w:rPr>
          <w:rFonts w:hint="eastAsia" w:cs="仿宋"/>
        </w:rPr>
        <w:t>31</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_Toc19660 </w:instrText>
      </w:r>
      <w:r>
        <w:rPr>
          <w:rFonts w:hint="eastAsia" w:ascii="仿宋" w:hAnsi="仿宋" w:eastAsia="仿宋" w:cs="仿宋"/>
          <w:szCs w:val="32"/>
        </w:rPr>
        <w:fldChar w:fldCharType="separate"/>
      </w:r>
      <w:r>
        <w:rPr>
          <w:rFonts w:hint="eastAsia" w:ascii="仿宋" w:hAnsi="仿宋" w:eastAsia="仿宋" w:cs="仿宋"/>
          <w:kern w:val="2"/>
          <w:szCs w:val="32"/>
          <w:lang w:bidi="ar"/>
        </w:rPr>
        <w:t>第</w:t>
      </w:r>
      <w:r>
        <w:rPr>
          <w:rFonts w:hint="eastAsia" w:ascii="仿宋" w:hAnsi="仿宋" w:eastAsia="仿宋" w:cs="仿宋"/>
          <w:kern w:val="2"/>
          <w:szCs w:val="32"/>
          <w:lang w:eastAsia="zh" w:bidi="ar"/>
        </w:rPr>
        <w:t>六</w:t>
      </w:r>
      <w:r>
        <w:rPr>
          <w:rFonts w:hint="eastAsia" w:ascii="仿宋" w:hAnsi="仿宋" w:eastAsia="仿宋" w:cs="仿宋"/>
          <w:kern w:val="2"/>
          <w:szCs w:val="32"/>
          <w:lang w:bidi="ar"/>
        </w:rPr>
        <w:t>章 资产支持证券登记与挂牌业务</w:t>
      </w:r>
      <w:r>
        <w:rPr>
          <w:rFonts w:hint="eastAsia" w:cs="仿宋"/>
        </w:rPr>
        <w:tab/>
      </w:r>
      <w:r>
        <w:rPr>
          <w:rFonts w:hint="eastAsia" w:cs="仿宋"/>
        </w:rPr>
        <w:fldChar w:fldCharType="begin"/>
      </w:r>
      <w:r>
        <w:rPr>
          <w:rFonts w:hint="eastAsia" w:cs="仿宋"/>
        </w:rPr>
        <w:instrText xml:space="preserve"> PAGEREF _Toc19660 \h </w:instrText>
      </w:r>
      <w:r>
        <w:rPr>
          <w:rFonts w:hint="eastAsia" w:cs="仿宋"/>
        </w:rPr>
        <w:fldChar w:fldCharType="separate"/>
      </w:r>
      <w:r>
        <w:rPr>
          <w:rFonts w:hint="eastAsia" w:cs="仿宋"/>
        </w:rPr>
        <w:t>41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_Toc20826 </w:instrText>
      </w:r>
      <w:r>
        <w:rPr>
          <w:rFonts w:hint="eastAsia" w:ascii="仿宋" w:hAnsi="仿宋" w:eastAsia="仿宋" w:cs="仿宋"/>
          <w:szCs w:val="32"/>
        </w:rPr>
        <w:fldChar w:fldCharType="separate"/>
      </w:r>
      <w:r>
        <w:rPr>
          <w:rFonts w:hint="eastAsia" w:ascii="仿宋" w:hAnsi="仿宋" w:eastAsia="仿宋" w:cs="仿宋"/>
          <w:bCs/>
          <w:szCs w:val="32"/>
          <w:lang w:bidi="ar"/>
        </w:rPr>
        <w:t>一、登记挂牌申请文件</w:t>
      </w:r>
      <w:r>
        <w:rPr>
          <w:rFonts w:hint="eastAsia" w:cs="仿宋"/>
        </w:rPr>
        <w:tab/>
      </w:r>
      <w:r>
        <w:rPr>
          <w:rFonts w:hint="eastAsia" w:cs="仿宋"/>
        </w:rPr>
        <w:fldChar w:fldCharType="begin"/>
      </w:r>
      <w:r>
        <w:rPr>
          <w:rFonts w:hint="eastAsia" w:cs="仿宋"/>
        </w:rPr>
        <w:instrText xml:space="preserve"> PAGEREF _Toc20826 \h </w:instrText>
      </w:r>
      <w:r>
        <w:rPr>
          <w:rFonts w:hint="eastAsia" w:cs="仿宋"/>
        </w:rPr>
        <w:fldChar w:fldCharType="separate"/>
      </w:r>
      <w:r>
        <w:rPr>
          <w:rFonts w:hint="eastAsia" w:cs="仿宋"/>
        </w:rPr>
        <w:t>41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_Toc16193 </w:instrText>
      </w:r>
      <w:r>
        <w:rPr>
          <w:rFonts w:hint="eastAsia" w:ascii="仿宋" w:hAnsi="仿宋" w:eastAsia="仿宋" w:cs="仿宋"/>
          <w:szCs w:val="32"/>
        </w:rPr>
        <w:fldChar w:fldCharType="separate"/>
      </w:r>
      <w:r>
        <w:rPr>
          <w:rFonts w:hint="eastAsia" w:ascii="仿宋" w:hAnsi="仿宋" w:eastAsia="仿宋" w:cs="仿宋"/>
          <w:bCs/>
          <w:szCs w:val="32"/>
          <w:lang w:bidi="ar"/>
        </w:rPr>
        <w:t>二、登记挂牌办理流程</w:t>
      </w:r>
      <w:r>
        <w:rPr>
          <w:rFonts w:hint="eastAsia" w:cs="仿宋"/>
        </w:rPr>
        <w:tab/>
      </w:r>
      <w:r>
        <w:rPr>
          <w:rFonts w:hint="eastAsia" w:cs="仿宋"/>
        </w:rPr>
        <w:fldChar w:fldCharType="begin"/>
      </w:r>
      <w:r>
        <w:rPr>
          <w:rFonts w:hint="eastAsia" w:cs="仿宋"/>
        </w:rPr>
        <w:instrText xml:space="preserve"> PAGEREF _Toc16193 \h </w:instrText>
      </w:r>
      <w:r>
        <w:rPr>
          <w:rFonts w:hint="eastAsia" w:cs="仿宋"/>
        </w:rPr>
        <w:fldChar w:fldCharType="separate"/>
      </w:r>
      <w:r>
        <w:rPr>
          <w:rFonts w:hint="eastAsia" w:cs="仿宋"/>
        </w:rPr>
        <w:t>42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_Toc32521 </w:instrText>
      </w:r>
      <w:r>
        <w:rPr>
          <w:rFonts w:hint="eastAsia" w:ascii="仿宋" w:hAnsi="仿宋" w:eastAsia="仿宋" w:cs="仿宋"/>
          <w:szCs w:val="32"/>
        </w:rPr>
        <w:fldChar w:fldCharType="separate"/>
      </w:r>
      <w:r>
        <w:rPr>
          <w:rFonts w:hint="eastAsia" w:ascii="仿宋" w:hAnsi="仿宋" w:eastAsia="仿宋" w:cs="仿宋"/>
          <w:bCs/>
          <w:szCs w:val="32"/>
          <w:lang w:bidi="ar"/>
        </w:rPr>
        <w:t>三、挂牌后事项</w:t>
      </w:r>
      <w:r>
        <w:rPr>
          <w:rFonts w:hint="eastAsia" w:cs="仿宋"/>
        </w:rPr>
        <w:tab/>
      </w:r>
      <w:r>
        <w:rPr>
          <w:rFonts w:hint="eastAsia" w:cs="仿宋"/>
        </w:rPr>
        <w:fldChar w:fldCharType="begin"/>
      </w:r>
      <w:r>
        <w:rPr>
          <w:rFonts w:hint="eastAsia" w:cs="仿宋"/>
        </w:rPr>
        <w:instrText xml:space="preserve"> PAGEREF _Toc32521 \h </w:instrText>
      </w:r>
      <w:r>
        <w:rPr>
          <w:rFonts w:hint="eastAsia" w:cs="仿宋"/>
        </w:rPr>
        <w:fldChar w:fldCharType="separate"/>
      </w:r>
      <w:r>
        <w:rPr>
          <w:rFonts w:hint="eastAsia" w:cs="仿宋"/>
        </w:rPr>
        <w:t>44</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_Toc28332 </w:instrText>
      </w:r>
      <w:r>
        <w:rPr>
          <w:rFonts w:hint="eastAsia" w:ascii="仿宋" w:hAnsi="仿宋" w:eastAsia="仿宋" w:cs="仿宋"/>
          <w:szCs w:val="32"/>
        </w:rPr>
        <w:fldChar w:fldCharType="separate"/>
      </w:r>
      <w:r>
        <w:rPr>
          <w:rFonts w:hint="eastAsia" w:ascii="仿宋" w:hAnsi="仿宋" w:eastAsia="仿宋" w:cs="仿宋"/>
          <w:bCs w:val="0"/>
          <w:szCs w:val="32"/>
          <w:lang w:eastAsia="zh" w:bidi="ar"/>
        </w:rPr>
        <w:t>四</w:t>
      </w:r>
      <w:r>
        <w:rPr>
          <w:rFonts w:hint="eastAsia" w:ascii="仿宋" w:hAnsi="仿宋" w:eastAsia="仿宋" w:cs="仿宋"/>
          <w:bCs w:val="0"/>
          <w:szCs w:val="32"/>
          <w:lang w:bidi="ar"/>
        </w:rPr>
        <w:t>、</w:t>
      </w:r>
      <w:r>
        <w:rPr>
          <w:rFonts w:hint="eastAsia" w:ascii="仿宋" w:hAnsi="仿宋" w:eastAsia="仿宋" w:cs="仿宋"/>
          <w:bCs w:val="0"/>
          <w:highlight w:val="none"/>
          <w:lang w:bidi="ar"/>
        </w:rPr>
        <w:t>资产支持证券扩募登记与挂牌（试点）</w:t>
      </w:r>
      <w:r>
        <w:rPr>
          <w:rFonts w:hint="eastAsia" w:cs="仿宋"/>
        </w:rPr>
        <w:tab/>
      </w:r>
      <w:r>
        <w:rPr>
          <w:rFonts w:hint="eastAsia" w:cs="仿宋"/>
        </w:rPr>
        <w:fldChar w:fldCharType="begin"/>
      </w:r>
      <w:r>
        <w:rPr>
          <w:rFonts w:hint="eastAsia" w:cs="仿宋"/>
        </w:rPr>
        <w:instrText xml:space="preserve"> PAGEREF _Toc28332 \h </w:instrText>
      </w:r>
      <w:r>
        <w:rPr>
          <w:rFonts w:hint="eastAsia" w:cs="仿宋"/>
        </w:rPr>
        <w:fldChar w:fldCharType="separate"/>
      </w:r>
      <w:r>
        <w:rPr>
          <w:rFonts w:hint="eastAsia" w:cs="仿宋"/>
        </w:rPr>
        <w:t>45</w:t>
      </w:r>
      <w:r>
        <w:rPr>
          <w:rFonts w:hint="eastAsia" w:cs="仿宋"/>
        </w:rPr>
        <w:fldChar w:fldCharType="end"/>
      </w:r>
      <w:r>
        <w:rPr>
          <w:rFonts w:hint="eastAsia" w:ascii="仿宋" w:hAnsi="仿宋" w:eastAsia="仿宋" w:cs="仿宋"/>
          <w:szCs w:val="32"/>
        </w:rPr>
        <w:fldChar w:fldCharType="end"/>
      </w:r>
    </w:p>
    <w:p>
      <w:pPr>
        <w:pStyle w:val="20"/>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_Toc28801 </w:instrText>
      </w:r>
      <w:r>
        <w:rPr>
          <w:rFonts w:hint="eastAsia" w:ascii="仿宋" w:hAnsi="仿宋" w:eastAsia="仿宋" w:cs="仿宋"/>
          <w:szCs w:val="32"/>
        </w:rPr>
        <w:fldChar w:fldCharType="separate"/>
      </w:r>
      <w:r>
        <w:rPr>
          <w:rFonts w:hint="eastAsia" w:ascii="仿宋" w:hAnsi="仿宋" w:eastAsia="仿宋" w:cs="仿宋"/>
          <w:bCs/>
          <w:szCs w:val="44"/>
          <w:lang w:val="en-US" w:eastAsia="zh-CN"/>
        </w:rPr>
        <w:t>附件</w:t>
      </w:r>
      <w:r>
        <w:rPr>
          <w:rFonts w:hint="eastAsia" w:cs="仿宋"/>
        </w:rPr>
        <w:tab/>
      </w:r>
      <w:r>
        <w:rPr>
          <w:rFonts w:hint="eastAsia" w:cs="仿宋"/>
        </w:rPr>
        <w:fldChar w:fldCharType="begin"/>
      </w:r>
      <w:r>
        <w:rPr>
          <w:rFonts w:hint="eastAsia" w:cs="仿宋"/>
        </w:rPr>
        <w:instrText xml:space="preserve"> PAGEREF _Toc28801 \h </w:instrText>
      </w:r>
      <w:r>
        <w:rPr>
          <w:rFonts w:hint="eastAsia" w:cs="仿宋"/>
        </w:rPr>
        <w:fldChar w:fldCharType="separate"/>
      </w:r>
      <w:r>
        <w:rPr>
          <w:rFonts w:hint="eastAsia" w:cs="仿宋"/>
        </w:rPr>
        <w:t>46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_Toc8123 </w:instrText>
      </w:r>
      <w:r>
        <w:rPr>
          <w:rFonts w:hint="eastAsia" w:ascii="仿宋" w:hAnsi="仿宋" w:eastAsia="仿宋" w:cs="仿宋"/>
          <w:szCs w:val="32"/>
        </w:rPr>
        <w:fldChar w:fldCharType="separate"/>
      </w:r>
      <w:r>
        <w:rPr>
          <w:rFonts w:hint="eastAsia" w:ascii="仿宋" w:hAnsi="仿宋" w:eastAsia="仿宋" w:cs="仿宋"/>
          <w:bCs w:val="0"/>
          <w:szCs w:val="32"/>
        </w:rPr>
        <w:t>附件1 公募债发行公告</w:t>
      </w:r>
      <w:r>
        <w:rPr>
          <w:rFonts w:hint="eastAsia" w:cs="仿宋"/>
        </w:rPr>
        <w:tab/>
      </w:r>
      <w:r>
        <w:rPr>
          <w:rFonts w:hint="eastAsia" w:cs="仿宋"/>
        </w:rPr>
        <w:fldChar w:fldCharType="begin"/>
      </w:r>
      <w:r>
        <w:rPr>
          <w:rFonts w:hint="eastAsia" w:cs="仿宋"/>
        </w:rPr>
        <w:instrText xml:space="preserve"> PAGEREF _Toc8123 \h </w:instrText>
      </w:r>
      <w:r>
        <w:rPr>
          <w:rFonts w:hint="eastAsia" w:cs="仿宋"/>
        </w:rPr>
        <w:fldChar w:fldCharType="separate"/>
      </w:r>
      <w:r>
        <w:rPr>
          <w:rFonts w:hint="eastAsia" w:cs="仿宋"/>
        </w:rPr>
        <w:t>46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ascii="仿宋" w:hAnsi="仿宋" w:eastAsia="仿宋" w:cs="仿宋"/>
          <w:szCs w:val="32"/>
        </w:rPr>
        <w:sectPr>
          <w:footerReference r:id="rId6" w:type="default"/>
          <w:pgSz w:w="11906" w:h="16838"/>
          <w:pgMar w:top="1440" w:right="1800" w:bottom="1440" w:left="1800" w:header="851" w:footer="992" w:gutter="0"/>
          <w:pgNumType w:fmt="decimal" w:start="1"/>
          <w:cols w:space="720" w:num="1"/>
          <w:formProt w:val="1"/>
          <w:docGrid w:type="lines" w:linePitch="312" w:charSpace="0"/>
        </w:sectPr>
      </w:pP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_Toc14449 </w:instrText>
      </w:r>
      <w:r>
        <w:rPr>
          <w:rFonts w:hint="eastAsia" w:ascii="仿宋" w:hAnsi="仿宋" w:eastAsia="仿宋" w:cs="仿宋"/>
          <w:szCs w:val="32"/>
        </w:rPr>
        <w:fldChar w:fldCharType="separate"/>
      </w:r>
      <w:r>
        <w:rPr>
          <w:rFonts w:hint="eastAsia" w:ascii="仿宋" w:hAnsi="仿宋" w:eastAsia="仿宋" w:cs="仿宋"/>
          <w:bCs w:val="0"/>
          <w:szCs w:val="32"/>
        </w:rPr>
        <w:t>附件2 私募债发行公告</w:t>
      </w:r>
      <w:r>
        <w:rPr>
          <w:rFonts w:hint="eastAsia" w:cs="仿宋"/>
        </w:rPr>
        <w:tab/>
      </w:r>
      <w:r>
        <w:rPr>
          <w:rFonts w:hint="eastAsia" w:cs="仿宋"/>
        </w:rPr>
        <w:fldChar w:fldCharType="begin"/>
      </w:r>
      <w:r>
        <w:rPr>
          <w:rFonts w:hint="eastAsia" w:cs="仿宋"/>
        </w:rPr>
        <w:instrText xml:space="preserve"> PAGEREF _Toc14449 \h </w:instrText>
      </w:r>
      <w:r>
        <w:rPr>
          <w:rFonts w:hint="eastAsia" w:cs="仿宋"/>
        </w:rPr>
        <w:fldChar w:fldCharType="separate"/>
      </w:r>
      <w:r>
        <w:rPr>
          <w:rFonts w:hint="eastAsia" w:cs="仿宋"/>
        </w:rPr>
        <w:t>65</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_Toc27356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3</w:t>
      </w:r>
      <w:r>
        <w:rPr>
          <w:rFonts w:hint="eastAsia" w:ascii="仿宋" w:hAnsi="仿宋" w:eastAsia="仿宋" w:cs="仿宋"/>
          <w:bCs w:val="0"/>
          <w:szCs w:val="32"/>
        </w:rPr>
        <w:t xml:space="preserve"> 公募债期后重大事项说明</w:t>
      </w:r>
      <w:r>
        <w:rPr>
          <w:rFonts w:hint="eastAsia" w:cs="仿宋"/>
        </w:rPr>
        <w:tab/>
      </w:r>
      <w:r>
        <w:rPr>
          <w:rFonts w:hint="eastAsia" w:cs="仿宋"/>
        </w:rPr>
        <w:fldChar w:fldCharType="begin"/>
      </w:r>
      <w:r>
        <w:rPr>
          <w:rFonts w:hint="eastAsia" w:cs="仿宋"/>
        </w:rPr>
        <w:instrText xml:space="preserve"> PAGEREF _Toc27356 \h </w:instrText>
      </w:r>
      <w:r>
        <w:rPr>
          <w:rFonts w:hint="eastAsia" w:cs="仿宋"/>
        </w:rPr>
        <w:fldChar w:fldCharType="separate"/>
      </w:r>
      <w:r>
        <w:rPr>
          <w:rFonts w:hint="eastAsia" w:cs="仿宋"/>
        </w:rPr>
        <w:t>81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_Toc18920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CN"/>
        </w:rPr>
        <w:t>4</w:t>
      </w:r>
      <w:r>
        <w:rPr>
          <w:rFonts w:hint="eastAsia" w:ascii="仿宋" w:hAnsi="仿宋" w:eastAsia="仿宋" w:cs="仿宋"/>
          <w:bCs w:val="0"/>
          <w:szCs w:val="32"/>
        </w:rPr>
        <w:t xml:space="preserve"> 深圳证券交易所公司债券上市（挂牌）协议</w:t>
      </w:r>
      <w:r>
        <w:rPr>
          <w:rFonts w:hint="eastAsia" w:cs="仿宋"/>
        </w:rPr>
        <w:tab/>
      </w:r>
      <w:r>
        <w:rPr>
          <w:rFonts w:hint="eastAsia" w:cs="仿宋"/>
        </w:rPr>
        <w:fldChar w:fldCharType="begin"/>
      </w:r>
      <w:r>
        <w:rPr>
          <w:rFonts w:hint="eastAsia" w:cs="仿宋"/>
        </w:rPr>
        <w:instrText xml:space="preserve"> PAGEREF _Toc18920 \h </w:instrText>
      </w:r>
      <w:r>
        <w:rPr>
          <w:rFonts w:hint="eastAsia" w:cs="仿宋"/>
        </w:rPr>
        <w:fldChar w:fldCharType="separate"/>
      </w:r>
      <w:r>
        <w:rPr>
          <w:rFonts w:hint="eastAsia" w:cs="仿宋"/>
        </w:rPr>
        <w:t>86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_Toc5132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CN"/>
        </w:rPr>
        <w:t>5</w:t>
      </w:r>
      <w:r>
        <w:rPr>
          <w:rFonts w:hint="eastAsia" w:ascii="仿宋" w:hAnsi="仿宋" w:eastAsia="仿宋" w:cs="仿宋"/>
          <w:bCs w:val="0"/>
          <w:szCs w:val="32"/>
        </w:rPr>
        <w:t xml:space="preserve"> 债券转让服务申请书暨转让条件确认后是否发生重大事项变化的说明</w:t>
      </w:r>
      <w:r>
        <w:rPr>
          <w:rFonts w:hint="eastAsia" w:cs="仿宋"/>
        </w:rPr>
        <w:tab/>
      </w:r>
      <w:r>
        <w:rPr>
          <w:rFonts w:hint="eastAsia" w:cs="仿宋"/>
        </w:rPr>
        <w:fldChar w:fldCharType="begin"/>
      </w:r>
      <w:r>
        <w:rPr>
          <w:rFonts w:hint="eastAsia" w:cs="仿宋"/>
        </w:rPr>
        <w:instrText xml:space="preserve"> PAGEREF _Toc5132 \h </w:instrText>
      </w:r>
      <w:r>
        <w:rPr>
          <w:rFonts w:hint="eastAsia" w:cs="仿宋"/>
        </w:rPr>
        <w:fldChar w:fldCharType="separate"/>
      </w:r>
      <w:r>
        <w:rPr>
          <w:rFonts w:hint="eastAsia" w:cs="仿宋"/>
        </w:rPr>
        <w:t>90</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_Toc24884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6</w:t>
      </w:r>
      <w:r>
        <w:rPr>
          <w:rFonts w:hint="eastAsia" w:ascii="仿宋" w:hAnsi="仿宋" w:eastAsia="仿宋" w:cs="仿宋"/>
          <w:bCs w:val="0"/>
          <w:szCs w:val="32"/>
        </w:rPr>
        <w:t xml:space="preserve"> 承销机构关于债券是否符合转让条件的说明</w:t>
      </w:r>
      <w:r>
        <w:rPr>
          <w:rFonts w:hint="eastAsia" w:cs="仿宋"/>
        </w:rPr>
        <w:tab/>
      </w:r>
      <w:r>
        <w:rPr>
          <w:rFonts w:hint="eastAsia" w:cs="仿宋"/>
        </w:rPr>
        <w:fldChar w:fldCharType="begin"/>
      </w:r>
      <w:r>
        <w:rPr>
          <w:rFonts w:hint="eastAsia" w:cs="仿宋"/>
        </w:rPr>
        <w:instrText xml:space="preserve"> PAGEREF _Toc24884 \h </w:instrText>
      </w:r>
      <w:r>
        <w:rPr>
          <w:rFonts w:hint="eastAsia" w:cs="仿宋"/>
        </w:rPr>
        <w:fldChar w:fldCharType="separate"/>
      </w:r>
      <w:r>
        <w:rPr>
          <w:rFonts w:hint="eastAsia" w:cs="仿宋"/>
        </w:rPr>
        <w:t>97</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_Toc4786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7</w:t>
      </w:r>
      <w:r>
        <w:rPr>
          <w:rFonts w:hint="eastAsia" w:ascii="仿宋" w:hAnsi="仿宋" w:eastAsia="仿宋" w:cs="仿宋"/>
          <w:bCs w:val="0"/>
          <w:szCs w:val="32"/>
        </w:rPr>
        <w:t xml:space="preserve"> 票面利率</w:t>
      </w:r>
      <w:r>
        <w:rPr>
          <w:rFonts w:hint="eastAsia" w:ascii="仿宋" w:hAnsi="仿宋" w:eastAsia="仿宋" w:cs="仿宋"/>
          <w:bCs w:val="0"/>
          <w:szCs w:val="32"/>
          <w:lang w:eastAsia="zh"/>
        </w:rPr>
        <w:t>/发行价格</w:t>
      </w:r>
      <w:r>
        <w:rPr>
          <w:rFonts w:hint="eastAsia" w:ascii="仿宋" w:hAnsi="仿宋" w:eastAsia="仿宋" w:cs="仿宋"/>
          <w:bCs w:val="0"/>
          <w:szCs w:val="32"/>
        </w:rPr>
        <w:t>公告</w:t>
      </w:r>
      <w:r>
        <w:rPr>
          <w:rFonts w:hint="eastAsia" w:cs="仿宋"/>
        </w:rPr>
        <w:tab/>
      </w:r>
      <w:r>
        <w:rPr>
          <w:rFonts w:hint="eastAsia" w:cs="仿宋"/>
        </w:rPr>
        <w:fldChar w:fldCharType="begin"/>
      </w:r>
      <w:r>
        <w:rPr>
          <w:rFonts w:hint="eastAsia" w:cs="仿宋"/>
        </w:rPr>
        <w:instrText xml:space="preserve"> PAGEREF _Toc4786 \h </w:instrText>
      </w:r>
      <w:r>
        <w:rPr>
          <w:rFonts w:hint="eastAsia" w:cs="仿宋"/>
        </w:rPr>
        <w:fldChar w:fldCharType="separate"/>
      </w:r>
      <w:r>
        <w:rPr>
          <w:rFonts w:hint="eastAsia" w:cs="仿宋"/>
        </w:rPr>
        <w:t>100</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_Toc8263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8</w:t>
      </w:r>
      <w:r>
        <w:rPr>
          <w:rFonts w:hint="eastAsia" w:ascii="仿宋" w:hAnsi="仿宋" w:eastAsia="仿宋" w:cs="仿宋"/>
          <w:bCs w:val="0"/>
          <w:szCs w:val="32"/>
        </w:rPr>
        <w:t xml:space="preserve"> 发行结果公告</w:t>
      </w:r>
      <w:r>
        <w:rPr>
          <w:rFonts w:hint="eastAsia" w:cs="仿宋"/>
        </w:rPr>
        <w:tab/>
      </w:r>
      <w:r>
        <w:rPr>
          <w:rFonts w:hint="eastAsia" w:cs="仿宋"/>
        </w:rPr>
        <w:fldChar w:fldCharType="begin"/>
      </w:r>
      <w:r>
        <w:rPr>
          <w:rFonts w:hint="eastAsia" w:cs="仿宋"/>
        </w:rPr>
        <w:instrText xml:space="preserve"> PAGEREF _Toc8263 \h </w:instrText>
      </w:r>
      <w:r>
        <w:rPr>
          <w:rFonts w:hint="eastAsia" w:cs="仿宋"/>
        </w:rPr>
        <w:fldChar w:fldCharType="separate"/>
      </w:r>
      <w:r>
        <w:rPr>
          <w:rFonts w:hint="eastAsia" w:cs="仿宋"/>
        </w:rPr>
        <w:t>103</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_Toc2706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9</w:t>
      </w:r>
      <w:r>
        <w:rPr>
          <w:rFonts w:hint="eastAsia" w:ascii="仿宋" w:hAnsi="仿宋" w:eastAsia="仿宋" w:cs="仿宋"/>
          <w:bCs w:val="0"/>
          <w:szCs w:val="32"/>
        </w:rPr>
        <w:t>资金到账及责任承诺（公司债券及企业债券）</w:t>
      </w:r>
      <w:r>
        <w:rPr>
          <w:rFonts w:hint="eastAsia" w:cs="仿宋"/>
        </w:rPr>
        <w:tab/>
      </w:r>
      <w:r>
        <w:rPr>
          <w:rFonts w:hint="eastAsia" w:cs="仿宋"/>
        </w:rPr>
        <w:fldChar w:fldCharType="begin"/>
      </w:r>
      <w:r>
        <w:rPr>
          <w:rFonts w:hint="eastAsia" w:cs="仿宋"/>
        </w:rPr>
        <w:instrText xml:space="preserve"> PAGEREF _Toc2706 \h </w:instrText>
      </w:r>
      <w:r>
        <w:rPr>
          <w:rFonts w:hint="eastAsia" w:cs="仿宋"/>
        </w:rPr>
        <w:fldChar w:fldCharType="separate"/>
      </w:r>
      <w:r>
        <w:rPr>
          <w:rFonts w:hint="eastAsia" w:cs="仿宋"/>
        </w:rPr>
        <w:t>107</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_Toc26370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CN"/>
        </w:rPr>
        <w:t>1</w:t>
      </w:r>
      <w:r>
        <w:rPr>
          <w:rFonts w:hint="eastAsia" w:ascii="仿宋" w:hAnsi="仿宋" w:eastAsia="仿宋" w:cs="仿宋"/>
          <w:bCs w:val="0"/>
          <w:szCs w:val="32"/>
          <w:lang w:val="en-US" w:eastAsia="zh-CN"/>
        </w:rPr>
        <w:t>0</w:t>
      </w:r>
      <w:r>
        <w:rPr>
          <w:rFonts w:hint="eastAsia" w:ascii="仿宋" w:hAnsi="仿宋" w:eastAsia="仿宋" w:cs="仿宋"/>
          <w:bCs w:val="0"/>
          <w:szCs w:val="32"/>
        </w:rPr>
        <w:t xml:space="preserve"> 授权委托书</w:t>
      </w:r>
      <w:r>
        <w:rPr>
          <w:rFonts w:hint="eastAsia" w:cs="仿宋"/>
        </w:rPr>
        <w:tab/>
      </w:r>
      <w:r>
        <w:rPr>
          <w:rFonts w:hint="eastAsia" w:cs="仿宋"/>
        </w:rPr>
        <w:fldChar w:fldCharType="begin"/>
      </w:r>
      <w:r>
        <w:rPr>
          <w:rFonts w:hint="eastAsia" w:cs="仿宋"/>
        </w:rPr>
        <w:instrText xml:space="preserve"> PAGEREF _Toc26370 \h </w:instrText>
      </w:r>
      <w:r>
        <w:rPr>
          <w:rFonts w:hint="eastAsia" w:cs="仿宋"/>
        </w:rPr>
        <w:fldChar w:fldCharType="separate"/>
      </w:r>
      <w:r>
        <w:rPr>
          <w:rFonts w:hint="eastAsia" w:cs="仿宋"/>
        </w:rPr>
        <w:t>108</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_Toc17006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11</w:t>
      </w:r>
      <w:r>
        <w:rPr>
          <w:rFonts w:hint="eastAsia" w:ascii="仿宋" w:hAnsi="仿宋" w:eastAsia="仿宋" w:cs="仿宋"/>
          <w:bCs w:val="0"/>
          <w:szCs w:val="32"/>
        </w:rPr>
        <w:t xml:space="preserve"> 可交换公司债券发行人证券账户信息备案表</w:t>
      </w:r>
      <w:r>
        <w:rPr>
          <w:rFonts w:hint="eastAsia" w:cs="仿宋"/>
        </w:rPr>
        <w:tab/>
      </w:r>
      <w:r>
        <w:rPr>
          <w:rFonts w:hint="eastAsia" w:cs="仿宋"/>
        </w:rPr>
        <w:fldChar w:fldCharType="begin"/>
      </w:r>
      <w:r>
        <w:rPr>
          <w:rFonts w:hint="eastAsia" w:cs="仿宋"/>
        </w:rPr>
        <w:instrText xml:space="preserve"> PAGEREF _Toc17006 \h </w:instrText>
      </w:r>
      <w:r>
        <w:rPr>
          <w:rFonts w:hint="eastAsia" w:cs="仿宋"/>
        </w:rPr>
        <w:fldChar w:fldCharType="separate"/>
      </w:r>
      <w:r>
        <w:rPr>
          <w:rFonts w:hint="eastAsia" w:cs="仿宋"/>
        </w:rPr>
        <w:t>109</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_Toc21985 </w:instrText>
      </w:r>
      <w:r>
        <w:rPr>
          <w:rFonts w:hint="eastAsia" w:ascii="仿宋" w:hAnsi="仿宋" w:eastAsia="仿宋" w:cs="仿宋"/>
          <w:szCs w:val="32"/>
        </w:rPr>
        <w:fldChar w:fldCharType="separate"/>
      </w:r>
      <w:r>
        <w:rPr>
          <w:rFonts w:hint="eastAsia" w:ascii="仿宋" w:hAnsi="仿宋" w:eastAsia="仿宋" w:cs="仿宋"/>
          <w:bCs w:val="0"/>
          <w:szCs w:val="32"/>
        </w:rPr>
        <w:t>附件1</w:t>
      </w:r>
      <w:r>
        <w:rPr>
          <w:rFonts w:hint="eastAsia" w:ascii="仿宋" w:hAnsi="仿宋" w:eastAsia="仿宋" w:cs="仿宋"/>
          <w:bCs w:val="0"/>
          <w:szCs w:val="32"/>
          <w:lang w:val="en-US" w:eastAsia="zh-CN"/>
        </w:rPr>
        <w:t>2</w:t>
      </w:r>
      <w:r>
        <w:rPr>
          <w:rFonts w:hint="eastAsia" w:ascii="仿宋" w:hAnsi="仿宋" w:eastAsia="仿宋" w:cs="仿宋"/>
          <w:bCs w:val="0"/>
          <w:szCs w:val="32"/>
        </w:rPr>
        <w:t xml:space="preserve"> 民企承诺函</w:t>
      </w:r>
      <w:r>
        <w:rPr>
          <w:rFonts w:hint="eastAsia" w:cs="仿宋"/>
        </w:rPr>
        <w:tab/>
      </w:r>
      <w:r>
        <w:rPr>
          <w:rFonts w:hint="eastAsia" w:cs="仿宋"/>
        </w:rPr>
        <w:fldChar w:fldCharType="begin"/>
      </w:r>
      <w:r>
        <w:rPr>
          <w:rFonts w:hint="eastAsia" w:cs="仿宋"/>
        </w:rPr>
        <w:instrText xml:space="preserve"> PAGEREF _Toc21985 \h </w:instrText>
      </w:r>
      <w:r>
        <w:rPr>
          <w:rFonts w:hint="eastAsia" w:cs="仿宋"/>
        </w:rPr>
        <w:fldChar w:fldCharType="separate"/>
      </w:r>
      <w:r>
        <w:rPr>
          <w:rFonts w:hint="eastAsia" w:cs="仿宋"/>
        </w:rPr>
        <w:t>111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_Toc657 </w:instrText>
      </w:r>
      <w:r>
        <w:rPr>
          <w:rFonts w:hint="eastAsia" w:ascii="仿宋" w:hAnsi="仿宋" w:eastAsia="仿宋" w:cs="仿宋"/>
          <w:szCs w:val="32"/>
        </w:rPr>
        <w:fldChar w:fldCharType="separate"/>
      </w:r>
      <w:r>
        <w:rPr>
          <w:rFonts w:hint="eastAsia" w:ascii="仿宋" w:hAnsi="仿宋" w:eastAsia="仿宋" w:cs="仿宋"/>
          <w:bCs w:val="0"/>
          <w:szCs w:val="32"/>
        </w:rPr>
        <w:t>附件1</w:t>
      </w:r>
      <w:r>
        <w:rPr>
          <w:rFonts w:hint="eastAsia" w:ascii="仿宋" w:hAnsi="仿宋" w:eastAsia="仿宋" w:cs="仿宋"/>
          <w:bCs w:val="0"/>
          <w:szCs w:val="32"/>
          <w:lang w:val="en-US" w:eastAsia="zh-CN"/>
        </w:rPr>
        <w:t>3</w:t>
      </w:r>
      <w:r>
        <w:rPr>
          <w:rFonts w:hint="eastAsia" w:ascii="仿宋" w:hAnsi="仿宋" w:eastAsia="仿宋" w:cs="仿宋"/>
          <w:bCs w:val="0"/>
          <w:szCs w:val="32"/>
        </w:rPr>
        <w:t xml:space="preserve"> 上市公告</w:t>
      </w:r>
      <w:r>
        <w:rPr>
          <w:rFonts w:hint="eastAsia" w:cs="仿宋"/>
        </w:rPr>
        <w:tab/>
      </w:r>
      <w:r>
        <w:rPr>
          <w:rFonts w:hint="eastAsia" w:cs="仿宋"/>
        </w:rPr>
        <w:fldChar w:fldCharType="begin"/>
      </w:r>
      <w:r>
        <w:rPr>
          <w:rFonts w:hint="eastAsia" w:cs="仿宋"/>
        </w:rPr>
        <w:instrText xml:space="preserve"> PAGEREF _Toc657 \h </w:instrText>
      </w:r>
      <w:r>
        <w:rPr>
          <w:rFonts w:hint="eastAsia" w:cs="仿宋"/>
        </w:rPr>
        <w:fldChar w:fldCharType="separate"/>
      </w:r>
      <w:r>
        <w:rPr>
          <w:rFonts w:hint="eastAsia" w:cs="仿宋"/>
        </w:rPr>
        <w:t>112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_Toc32476 </w:instrText>
      </w:r>
      <w:r>
        <w:rPr>
          <w:rFonts w:hint="eastAsia" w:ascii="仿宋" w:hAnsi="仿宋" w:eastAsia="仿宋" w:cs="仿宋"/>
          <w:szCs w:val="32"/>
        </w:rPr>
        <w:fldChar w:fldCharType="separate"/>
      </w:r>
      <w:r>
        <w:rPr>
          <w:rFonts w:hint="eastAsia" w:ascii="仿宋" w:hAnsi="仿宋" w:eastAsia="仿宋" w:cs="仿宋"/>
          <w:bCs w:val="0"/>
          <w:szCs w:val="32"/>
        </w:rPr>
        <w:t>附件1</w:t>
      </w:r>
      <w:r>
        <w:rPr>
          <w:rFonts w:hint="eastAsia" w:ascii="仿宋" w:hAnsi="仿宋" w:eastAsia="仿宋" w:cs="仿宋"/>
          <w:bCs w:val="0"/>
          <w:szCs w:val="32"/>
          <w:lang w:val="en-US" w:eastAsia="zh-CN"/>
        </w:rPr>
        <w:t>4</w:t>
      </w:r>
      <w:r>
        <w:rPr>
          <w:rFonts w:hint="eastAsia" w:ascii="仿宋" w:hAnsi="仿宋" w:eastAsia="仿宋" w:cs="仿宋"/>
          <w:bCs w:val="0"/>
          <w:szCs w:val="32"/>
        </w:rPr>
        <w:t xml:space="preserve"> 完成证券业协会备案事项承诺函</w:t>
      </w:r>
      <w:r>
        <w:rPr>
          <w:rFonts w:hint="eastAsia" w:cs="仿宋"/>
        </w:rPr>
        <w:tab/>
      </w:r>
      <w:r>
        <w:rPr>
          <w:rFonts w:hint="eastAsia" w:cs="仿宋"/>
        </w:rPr>
        <w:fldChar w:fldCharType="begin"/>
      </w:r>
      <w:r>
        <w:rPr>
          <w:rFonts w:hint="eastAsia" w:cs="仿宋"/>
        </w:rPr>
        <w:instrText xml:space="preserve"> PAGEREF _Toc32476 \h </w:instrText>
      </w:r>
      <w:r>
        <w:rPr>
          <w:rFonts w:hint="eastAsia" w:cs="仿宋"/>
        </w:rPr>
        <w:fldChar w:fldCharType="separate"/>
      </w:r>
      <w:r>
        <w:rPr>
          <w:rFonts w:hint="eastAsia" w:cs="仿宋"/>
        </w:rPr>
        <w:t>114</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_Toc7321 </w:instrText>
      </w:r>
      <w:r>
        <w:rPr>
          <w:rFonts w:hint="eastAsia" w:ascii="仿宋" w:hAnsi="仿宋" w:eastAsia="仿宋" w:cs="仿宋"/>
          <w:szCs w:val="32"/>
        </w:rPr>
        <w:fldChar w:fldCharType="separate"/>
      </w:r>
      <w:r>
        <w:rPr>
          <w:rFonts w:hint="eastAsia" w:ascii="仿宋" w:hAnsi="仿宋" w:eastAsia="仿宋" w:cs="仿宋"/>
          <w:bCs w:val="0"/>
          <w:szCs w:val="32"/>
        </w:rPr>
        <w:t>附件1</w:t>
      </w:r>
      <w:r>
        <w:rPr>
          <w:rFonts w:hint="eastAsia" w:ascii="仿宋" w:hAnsi="仿宋" w:eastAsia="仿宋" w:cs="仿宋"/>
          <w:bCs w:val="0"/>
          <w:szCs w:val="32"/>
          <w:lang w:val="en-US" w:eastAsia="zh-CN"/>
        </w:rPr>
        <w:t>5</w:t>
      </w:r>
      <w:r>
        <w:rPr>
          <w:rFonts w:hint="eastAsia" w:ascii="仿宋" w:hAnsi="仿宋" w:eastAsia="仿宋" w:cs="仿宋"/>
          <w:bCs w:val="0"/>
          <w:szCs w:val="32"/>
        </w:rPr>
        <w:t xml:space="preserve"> 转让服务公告</w:t>
      </w:r>
      <w:r>
        <w:rPr>
          <w:rFonts w:hint="eastAsia" w:cs="仿宋"/>
        </w:rPr>
        <w:tab/>
      </w:r>
      <w:r>
        <w:rPr>
          <w:rFonts w:hint="eastAsia" w:cs="仿宋"/>
        </w:rPr>
        <w:fldChar w:fldCharType="begin"/>
      </w:r>
      <w:r>
        <w:rPr>
          <w:rFonts w:hint="eastAsia" w:cs="仿宋"/>
        </w:rPr>
        <w:instrText xml:space="preserve"> PAGEREF _Toc7321 \h </w:instrText>
      </w:r>
      <w:r>
        <w:rPr>
          <w:rFonts w:hint="eastAsia" w:cs="仿宋"/>
        </w:rPr>
        <w:fldChar w:fldCharType="separate"/>
      </w:r>
      <w:r>
        <w:rPr>
          <w:rFonts w:hint="eastAsia" w:cs="仿宋"/>
        </w:rPr>
        <w:t>115</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_Toc32371 </w:instrText>
      </w:r>
      <w:r>
        <w:rPr>
          <w:rFonts w:hint="eastAsia" w:ascii="仿宋" w:hAnsi="仿宋" w:eastAsia="仿宋" w:cs="仿宋"/>
          <w:szCs w:val="32"/>
        </w:rPr>
        <w:fldChar w:fldCharType="separate"/>
      </w:r>
      <w:r>
        <w:rPr>
          <w:rFonts w:hint="eastAsia" w:ascii="仿宋" w:hAnsi="仿宋" w:eastAsia="仿宋" w:cs="仿宋"/>
          <w:bCs w:val="0"/>
          <w:szCs w:val="32"/>
          <w:lang w:eastAsia="zh"/>
        </w:rPr>
        <w:t>附件1</w:t>
      </w:r>
      <w:r>
        <w:rPr>
          <w:rFonts w:hint="eastAsia" w:ascii="仿宋" w:hAnsi="仿宋" w:eastAsia="仿宋" w:cs="仿宋"/>
          <w:bCs w:val="0"/>
          <w:szCs w:val="32"/>
          <w:lang w:val="en-US" w:eastAsia="zh"/>
        </w:rPr>
        <w:t>6</w:t>
      </w:r>
      <w:r>
        <w:rPr>
          <w:rFonts w:hint="eastAsia" w:ascii="仿宋" w:hAnsi="仿宋" w:eastAsia="仿宋" w:cs="仿宋"/>
          <w:bCs w:val="0"/>
          <w:szCs w:val="32"/>
          <w:lang w:eastAsia="zh"/>
        </w:rPr>
        <w:t xml:space="preserve"> 信用债券簿记建档发行承诺函</w:t>
      </w:r>
      <w:r>
        <w:rPr>
          <w:rFonts w:hint="eastAsia" w:cs="仿宋"/>
        </w:rPr>
        <w:tab/>
      </w:r>
      <w:r>
        <w:rPr>
          <w:rFonts w:hint="eastAsia" w:cs="仿宋"/>
        </w:rPr>
        <w:fldChar w:fldCharType="begin"/>
      </w:r>
      <w:r>
        <w:rPr>
          <w:rFonts w:hint="eastAsia" w:cs="仿宋"/>
        </w:rPr>
        <w:instrText xml:space="preserve"> PAGEREF _Toc32371 \h </w:instrText>
      </w:r>
      <w:r>
        <w:rPr>
          <w:rFonts w:hint="eastAsia" w:cs="仿宋"/>
        </w:rPr>
        <w:fldChar w:fldCharType="separate"/>
      </w:r>
      <w:r>
        <w:rPr>
          <w:rFonts w:hint="eastAsia" w:cs="仿宋"/>
        </w:rPr>
        <w:t>117</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_Toc3812 </w:instrText>
      </w:r>
      <w:r>
        <w:rPr>
          <w:rFonts w:hint="eastAsia" w:ascii="仿宋" w:hAnsi="仿宋" w:eastAsia="仿宋" w:cs="仿宋"/>
          <w:szCs w:val="32"/>
        </w:rPr>
        <w:fldChar w:fldCharType="separate"/>
      </w:r>
      <w:r>
        <w:rPr>
          <w:rFonts w:hint="eastAsia" w:ascii="仿宋" w:hAnsi="仿宋" w:eastAsia="仿宋" w:cs="仿宋"/>
          <w:bCs w:val="0"/>
          <w:kern w:val="2"/>
          <w:szCs w:val="32"/>
          <w:lang w:eastAsia="zh"/>
        </w:rPr>
        <w:t>附件1</w:t>
      </w:r>
      <w:r>
        <w:rPr>
          <w:rFonts w:hint="eastAsia" w:ascii="仿宋" w:hAnsi="仿宋" w:eastAsia="仿宋" w:cs="仿宋"/>
          <w:bCs w:val="0"/>
          <w:kern w:val="2"/>
          <w:szCs w:val="32"/>
          <w:lang w:val="en-US" w:eastAsia="zh-CN"/>
        </w:rPr>
        <w:t>7</w:t>
      </w:r>
      <w:r>
        <w:rPr>
          <w:rFonts w:hint="eastAsia" w:ascii="仿宋" w:hAnsi="仿宋" w:eastAsia="仿宋" w:cs="仿宋"/>
          <w:bCs w:val="0"/>
          <w:kern w:val="2"/>
          <w:szCs w:val="32"/>
          <w:lang w:eastAsia="zh"/>
        </w:rPr>
        <w:t xml:space="preserve"> 信用债券簿记现场工作人员名单</w:t>
      </w:r>
      <w:r>
        <w:rPr>
          <w:rFonts w:hint="eastAsia" w:cs="仿宋"/>
        </w:rPr>
        <w:tab/>
      </w:r>
      <w:r>
        <w:rPr>
          <w:rFonts w:hint="eastAsia" w:cs="仿宋"/>
        </w:rPr>
        <w:fldChar w:fldCharType="begin"/>
      </w:r>
      <w:r>
        <w:rPr>
          <w:rFonts w:hint="eastAsia" w:cs="仿宋"/>
        </w:rPr>
        <w:instrText xml:space="preserve"> PAGEREF _Toc3812 \h </w:instrText>
      </w:r>
      <w:r>
        <w:rPr>
          <w:rFonts w:hint="eastAsia" w:cs="仿宋"/>
        </w:rPr>
        <w:fldChar w:fldCharType="separate"/>
      </w:r>
      <w:r>
        <w:rPr>
          <w:rFonts w:hint="eastAsia" w:cs="仿宋"/>
        </w:rPr>
        <w:t>118</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_Toc17922 </w:instrText>
      </w:r>
      <w:r>
        <w:rPr>
          <w:rFonts w:hint="eastAsia" w:ascii="仿宋" w:hAnsi="仿宋" w:eastAsia="仿宋" w:cs="仿宋"/>
          <w:szCs w:val="32"/>
        </w:rPr>
        <w:fldChar w:fldCharType="separate"/>
      </w:r>
      <w:r>
        <w:rPr>
          <w:rFonts w:hint="eastAsia" w:ascii="仿宋" w:hAnsi="仿宋" w:eastAsia="仿宋" w:cs="仿宋"/>
          <w:bCs w:val="0"/>
          <w:szCs w:val="32"/>
          <w:lang w:eastAsia="zh"/>
        </w:rPr>
        <w:t>附件1</w:t>
      </w:r>
      <w:r>
        <w:rPr>
          <w:rFonts w:hint="eastAsia" w:ascii="仿宋" w:hAnsi="仿宋" w:eastAsia="仿宋" w:cs="仿宋"/>
          <w:bCs w:val="0"/>
          <w:szCs w:val="32"/>
          <w:lang w:val="en-US" w:eastAsia="zh"/>
        </w:rPr>
        <w:t>8</w:t>
      </w:r>
      <w:r>
        <w:rPr>
          <w:rFonts w:hint="eastAsia" w:ascii="仿宋" w:hAnsi="仿宋" w:eastAsia="仿宋" w:cs="仿宋"/>
          <w:bCs w:val="0"/>
          <w:szCs w:val="32"/>
          <w:lang w:eastAsia="zh"/>
        </w:rPr>
        <w:t xml:space="preserve"> 外部信息设备备案申请表</w:t>
      </w:r>
      <w:r>
        <w:rPr>
          <w:rFonts w:hint="eastAsia" w:cs="仿宋"/>
        </w:rPr>
        <w:tab/>
      </w:r>
      <w:r>
        <w:rPr>
          <w:rFonts w:hint="eastAsia" w:cs="仿宋"/>
        </w:rPr>
        <w:fldChar w:fldCharType="begin"/>
      </w:r>
      <w:r>
        <w:rPr>
          <w:rFonts w:hint="eastAsia" w:cs="仿宋"/>
        </w:rPr>
        <w:instrText xml:space="preserve"> PAGEREF _Toc17922 \h </w:instrText>
      </w:r>
      <w:r>
        <w:rPr>
          <w:rFonts w:hint="eastAsia" w:cs="仿宋"/>
        </w:rPr>
        <w:fldChar w:fldCharType="separate"/>
      </w:r>
      <w:r>
        <w:rPr>
          <w:rFonts w:hint="eastAsia" w:cs="仿宋"/>
        </w:rPr>
        <w:t>119</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_Toc2054 </w:instrText>
      </w:r>
      <w:r>
        <w:rPr>
          <w:rFonts w:hint="eastAsia" w:ascii="仿宋" w:hAnsi="仿宋" w:eastAsia="仿宋" w:cs="仿宋"/>
          <w:szCs w:val="32"/>
        </w:rPr>
        <w:fldChar w:fldCharType="separate"/>
      </w:r>
      <w:r>
        <w:rPr>
          <w:rFonts w:hint="eastAsia" w:ascii="仿宋" w:hAnsi="仿宋" w:eastAsia="仿宋" w:cs="仿宋"/>
          <w:bCs w:val="0"/>
          <w:kern w:val="2"/>
          <w:szCs w:val="32"/>
        </w:rPr>
        <w:t>附件</w:t>
      </w:r>
      <w:r>
        <w:rPr>
          <w:rFonts w:hint="eastAsia" w:ascii="仿宋" w:hAnsi="仿宋" w:eastAsia="仿宋" w:cs="仿宋"/>
          <w:bCs w:val="0"/>
          <w:kern w:val="2"/>
          <w:szCs w:val="32"/>
          <w:lang w:val="en-US" w:eastAsia="zh-CN"/>
        </w:rPr>
        <w:t>19</w:t>
      </w:r>
      <w:r>
        <w:rPr>
          <w:rFonts w:hint="eastAsia" w:ascii="仿宋" w:hAnsi="仿宋" w:eastAsia="仿宋" w:cs="仿宋"/>
          <w:bCs w:val="0"/>
          <w:kern w:val="2"/>
          <w:szCs w:val="32"/>
          <w:lang w:eastAsia="zh"/>
        </w:rPr>
        <w:t xml:space="preserve"> </w:t>
      </w:r>
      <w:r>
        <w:rPr>
          <w:rFonts w:hint="eastAsia" w:ascii="仿宋" w:hAnsi="仿宋" w:eastAsia="仿宋" w:cs="仿宋"/>
          <w:bCs w:val="0"/>
          <w:kern w:val="2"/>
          <w:szCs w:val="32"/>
        </w:rPr>
        <w:t>债券招标发行承诺函</w:t>
      </w:r>
      <w:r>
        <w:rPr>
          <w:rFonts w:hint="eastAsia" w:cs="仿宋"/>
        </w:rPr>
        <w:tab/>
      </w:r>
      <w:r>
        <w:rPr>
          <w:rFonts w:hint="eastAsia" w:cs="仿宋"/>
        </w:rPr>
        <w:fldChar w:fldCharType="begin"/>
      </w:r>
      <w:r>
        <w:rPr>
          <w:rFonts w:hint="eastAsia" w:cs="仿宋"/>
        </w:rPr>
        <w:instrText xml:space="preserve"> PAGEREF _Toc2054 \h </w:instrText>
      </w:r>
      <w:r>
        <w:rPr>
          <w:rFonts w:hint="eastAsia" w:cs="仿宋"/>
        </w:rPr>
        <w:fldChar w:fldCharType="separate"/>
      </w:r>
      <w:r>
        <w:rPr>
          <w:rFonts w:hint="eastAsia" w:cs="仿宋"/>
        </w:rPr>
        <w:t>120</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_Toc27087 </w:instrText>
      </w:r>
      <w:r>
        <w:rPr>
          <w:rFonts w:hint="eastAsia" w:ascii="仿宋" w:hAnsi="仿宋" w:eastAsia="仿宋" w:cs="仿宋"/>
          <w:szCs w:val="32"/>
        </w:rPr>
        <w:fldChar w:fldCharType="separate"/>
      </w:r>
      <w:r>
        <w:rPr>
          <w:rFonts w:hint="eastAsia" w:ascii="仿宋" w:hAnsi="仿宋" w:eastAsia="仿宋" w:cs="仿宋"/>
          <w:bCs w:val="0"/>
          <w:kern w:val="2"/>
          <w:szCs w:val="32"/>
        </w:rPr>
        <w:t>附件</w:t>
      </w:r>
      <w:r>
        <w:rPr>
          <w:rFonts w:hint="eastAsia" w:ascii="仿宋" w:hAnsi="仿宋" w:eastAsia="仿宋" w:cs="仿宋"/>
          <w:bCs w:val="0"/>
          <w:kern w:val="2"/>
          <w:szCs w:val="32"/>
          <w:lang w:val="en-US" w:eastAsia="zh-CN"/>
        </w:rPr>
        <w:t>20</w:t>
      </w:r>
      <w:r>
        <w:rPr>
          <w:rFonts w:hint="eastAsia" w:ascii="仿宋" w:hAnsi="仿宋" w:eastAsia="仿宋" w:cs="仿宋"/>
          <w:bCs w:val="0"/>
          <w:kern w:val="2"/>
          <w:szCs w:val="32"/>
          <w:lang w:eastAsia="zh"/>
        </w:rPr>
        <w:t xml:space="preserve"> </w:t>
      </w:r>
      <w:r>
        <w:rPr>
          <w:rFonts w:hint="eastAsia" w:ascii="仿宋" w:hAnsi="仿宋" w:eastAsia="仿宋" w:cs="仿宋"/>
          <w:bCs w:val="0"/>
          <w:kern w:val="2"/>
          <w:szCs w:val="32"/>
        </w:rPr>
        <w:t>债券额度调整申请表</w:t>
      </w:r>
      <w:r>
        <w:rPr>
          <w:rFonts w:hint="eastAsia" w:cs="仿宋"/>
        </w:rPr>
        <w:tab/>
      </w:r>
      <w:r>
        <w:rPr>
          <w:rFonts w:hint="eastAsia" w:cs="仿宋"/>
        </w:rPr>
        <w:fldChar w:fldCharType="begin"/>
      </w:r>
      <w:r>
        <w:rPr>
          <w:rFonts w:hint="eastAsia" w:cs="仿宋"/>
        </w:rPr>
        <w:instrText xml:space="preserve"> PAGEREF _Toc27087 \h </w:instrText>
      </w:r>
      <w:r>
        <w:rPr>
          <w:rFonts w:hint="eastAsia" w:cs="仿宋"/>
        </w:rPr>
        <w:fldChar w:fldCharType="separate"/>
      </w:r>
      <w:r>
        <w:rPr>
          <w:rFonts w:hint="eastAsia" w:cs="仿宋"/>
        </w:rPr>
        <w:t>121</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_Toc29479 </w:instrText>
      </w:r>
      <w:r>
        <w:rPr>
          <w:rFonts w:hint="eastAsia" w:ascii="仿宋" w:hAnsi="仿宋" w:eastAsia="仿宋" w:cs="仿宋"/>
          <w:szCs w:val="32"/>
        </w:rPr>
        <w:fldChar w:fldCharType="separate"/>
      </w:r>
      <w:r>
        <w:rPr>
          <w:rFonts w:hint="eastAsia" w:ascii="仿宋" w:hAnsi="仿宋" w:eastAsia="仿宋" w:cs="仿宋"/>
          <w:bCs w:val="0"/>
          <w:kern w:val="2"/>
          <w:szCs w:val="32"/>
        </w:rPr>
        <w:t>附件</w:t>
      </w:r>
      <w:r>
        <w:rPr>
          <w:rFonts w:hint="eastAsia" w:ascii="仿宋" w:hAnsi="仿宋" w:eastAsia="仿宋" w:cs="仿宋"/>
          <w:bCs w:val="0"/>
          <w:kern w:val="2"/>
          <w:szCs w:val="32"/>
          <w:lang w:val="en-US" w:eastAsia="zh-CN"/>
        </w:rPr>
        <w:t>21</w:t>
      </w:r>
      <w:r>
        <w:rPr>
          <w:rFonts w:hint="eastAsia" w:ascii="仿宋" w:hAnsi="仿宋" w:eastAsia="仿宋" w:cs="仿宋"/>
          <w:bCs w:val="0"/>
          <w:kern w:val="2"/>
          <w:szCs w:val="32"/>
          <w:lang w:eastAsia="zh-CN"/>
        </w:rPr>
        <w:t xml:space="preserve"> </w:t>
      </w:r>
      <w:r>
        <w:rPr>
          <w:rFonts w:hint="eastAsia" w:ascii="仿宋" w:hAnsi="仿宋" w:eastAsia="仿宋" w:cs="仿宋"/>
          <w:bCs w:val="0"/>
          <w:kern w:val="2"/>
          <w:szCs w:val="32"/>
        </w:rPr>
        <w:t>中国铁路建设债券托管汇总表</w:t>
      </w:r>
      <w:r>
        <w:rPr>
          <w:rFonts w:hint="eastAsia" w:cs="仿宋"/>
        </w:rPr>
        <w:tab/>
      </w:r>
      <w:r>
        <w:rPr>
          <w:rFonts w:hint="eastAsia" w:cs="仿宋"/>
        </w:rPr>
        <w:fldChar w:fldCharType="begin"/>
      </w:r>
      <w:r>
        <w:rPr>
          <w:rFonts w:hint="eastAsia" w:cs="仿宋"/>
        </w:rPr>
        <w:instrText xml:space="preserve"> PAGEREF _Toc29479 \h </w:instrText>
      </w:r>
      <w:r>
        <w:rPr>
          <w:rFonts w:hint="eastAsia" w:cs="仿宋"/>
        </w:rPr>
        <w:fldChar w:fldCharType="separate"/>
      </w:r>
      <w:r>
        <w:rPr>
          <w:rFonts w:hint="eastAsia" w:cs="仿宋"/>
        </w:rPr>
        <w:t>122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_Toc6258 </w:instrText>
      </w:r>
      <w:r>
        <w:rPr>
          <w:rFonts w:hint="eastAsia" w:ascii="仿宋" w:hAnsi="仿宋" w:eastAsia="仿宋" w:cs="仿宋"/>
          <w:szCs w:val="32"/>
        </w:rPr>
        <w:fldChar w:fldCharType="separate"/>
      </w:r>
      <w:r>
        <w:rPr>
          <w:rFonts w:hint="eastAsia" w:ascii="仿宋" w:hAnsi="仿宋" w:eastAsia="仿宋" w:cs="仿宋"/>
          <w:bCs w:val="0"/>
          <w:kern w:val="2"/>
          <w:szCs w:val="32"/>
        </w:rPr>
        <w:t>附件</w:t>
      </w:r>
      <w:r>
        <w:rPr>
          <w:rFonts w:hint="eastAsia" w:ascii="仿宋" w:hAnsi="仿宋" w:eastAsia="仿宋" w:cs="仿宋"/>
          <w:bCs w:val="0"/>
          <w:kern w:val="2"/>
          <w:szCs w:val="32"/>
          <w:lang w:eastAsia="zh-CN"/>
        </w:rPr>
        <w:t>2</w:t>
      </w:r>
      <w:r>
        <w:rPr>
          <w:rFonts w:hint="eastAsia" w:ascii="仿宋" w:hAnsi="仿宋" w:eastAsia="仿宋" w:cs="仿宋"/>
          <w:bCs w:val="0"/>
          <w:kern w:val="2"/>
          <w:szCs w:val="32"/>
          <w:lang w:val="en-US" w:eastAsia="zh-CN"/>
        </w:rPr>
        <w:t>2</w:t>
      </w:r>
      <w:r>
        <w:rPr>
          <w:rFonts w:hint="eastAsia" w:ascii="仿宋" w:hAnsi="仿宋" w:eastAsia="仿宋" w:cs="仿宋"/>
          <w:bCs w:val="0"/>
          <w:kern w:val="2"/>
          <w:szCs w:val="32"/>
          <w:lang w:eastAsia="zh-CN"/>
        </w:rPr>
        <w:t xml:space="preserve"> </w:t>
      </w:r>
      <w:r>
        <w:rPr>
          <w:rFonts w:hint="eastAsia" w:ascii="仿宋" w:hAnsi="仿宋" w:eastAsia="仿宋" w:cs="仿宋"/>
          <w:bCs w:val="0"/>
          <w:kern w:val="2"/>
          <w:szCs w:val="32"/>
        </w:rPr>
        <w:t>深交所铁道债托管申请表</w:t>
      </w:r>
      <w:r>
        <w:rPr>
          <w:rFonts w:hint="eastAsia" w:cs="仿宋"/>
        </w:rPr>
        <w:tab/>
      </w:r>
      <w:r>
        <w:rPr>
          <w:rFonts w:hint="eastAsia" w:cs="仿宋"/>
        </w:rPr>
        <w:fldChar w:fldCharType="begin"/>
      </w:r>
      <w:r>
        <w:rPr>
          <w:rFonts w:hint="eastAsia" w:cs="仿宋"/>
        </w:rPr>
        <w:instrText xml:space="preserve"> PAGEREF _Toc6258 \h </w:instrText>
      </w:r>
      <w:r>
        <w:rPr>
          <w:rFonts w:hint="eastAsia" w:cs="仿宋"/>
        </w:rPr>
        <w:fldChar w:fldCharType="separate"/>
      </w:r>
      <w:r>
        <w:rPr>
          <w:rFonts w:hint="eastAsia" w:cs="仿宋"/>
        </w:rPr>
        <w:t>123</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_Toc15436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
        </w:rPr>
        <w:t>2</w:t>
      </w:r>
      <w:r>
        <w:rPr>
          <w:rFonts w:hint="eastAsia" w:ascii="仿宋" w:hAnsi="仿宋" w:eastAsia="仿宋" w:cs="仿宋"/>
          <w:bCs w:val="0"/>
          <w:szCs w:val="32"/>
          <w:lang w:val="en-US" w:eastAsia="zh-CN"/>
        </w:rPr>
        <w:t xml:space="preserve">3 </w:t>
      </w:r>
      <w:r>
        <w:rPr>
          <w:rFonts w:hint="eastAsia" w:ascii="仿宋" w:hAnsi="仿宋" w:eastAsia="仿宋" w:cs="仿宋"/>
          <w:bCs w:val="0"/>
          <w:szCs w:val="32"/>
        </w:rPr>
        <w:t>资产支持专项计划发行公告</w:t>
      </w:r>
      <w:r>
        <w:rPr>
          <w:rFonts w:hint="eastAsia" w:cs="仿宋"/>
        </w:rPr>
        <w:tab/>
      </w:r>
      <w:r>
        <w:rPr>
          <w:rFonts w:hint="eastAsia" w:cs="仿宋"/>
        </w:rPr>
        <w:fldChar w:fldCharType="begin"/>
      </w:r>
      <w:r>
        <w:rPr>
          <w:rFonts w:hint="eastAsia" w:cs="仿宋"/>
        </w:rPr>
        <w:instrText xml:space="preserve"> PAGEREF _Toc15436 \h </w:instrText>
      </w:r>
      <w:r>
        <w:rPr>
          <w:rFonts w:hint="eastAsia" w:cs="仿宋"/>
        </w:rPr>
        <w:fldChar w:fldCharType="separate"/>
      </w:r>
      <w:r>
        <w:rPr>
          <w:rFonts w:hint="eastAsia" w:cs="仿宋"/>
        </w:rPr>
        <w:t>124</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_Toc20096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24</w:t>
      </w:r>
      <w:r>
        <w:rPr>
          <w:rFonts w:hint="eastAsia" w:ascii="仿宋" w:hAnsi="仿宋" w:eastAsia="仿宋" w:cs="仿宋"/>
          <w:bCs w:val="0"/>
          <w:szCs w:val="32"/>
        </w:rPr>
        <w:t xml:space="preserve"> </w:t>
      </w:r>
      <w:r>
        <w:rPr>
          <w:rFonts w:hint="eastAsia" w:ascii="仿宋" w:hAnsi="仿宋" w:eastAsia="仿宋" w:cs="仿宋"/>
          <w:bCs w:val="0"/>
          <w:szCs w:val="32"/>
          <w:lang w:val="en-US" w:eastAsia="zh-CN"/>
        </w:rPr>
        <w:t>取得无异议函后是否发生变化的专项说明</w:t>
      </w:r>
      <w:r>
        <w:rPr>
          <w:rFonts w:hint="eastAsia" w:cs="仿宋"/>
        </w:rPr>
        <w:tab/>
      </w:r>
      <w:r>
        <w:rPr>
          <w:rFonts w:hint="eastAsia" w:cs="仿宋"/>
        </w:rPr>
        <w:fldChar w:fldCharType="begin"/>
      </w:r>
      <w:r>
        <w:rPr>
          <w:rFonts w:hint="eastAsia" w:cs="仿宋"/>
        </w:rPr>
        <w:instrText xml:space="preserve"> PAGEREF _Toc20096 \h </w:instrText>
      </w:r>
      <w:r>
        <w:rPr>
          <w:rFonts w:hint="eastAsia" w:cs="仿宋"/>
        </w:rPr>
        <w:fldChar w:fldCharType="separate"/>
      </w:r>
      <w:r>
        <w:rPr>
          <w:rFonts w:hint="eastAsia" w:cs="仿宋"/>
        </w:rPr>
        <w:t>132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_Toc13258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
        </w:rPr>
        <w:t>2</w:t>
      </w:r>
      <w:r>
        <w:rPr>
          <w:rFonts w:hint="eastAsia" w:ascii="仿宋" w:hAnsi="仿宋" w:eastAsia="仿宋" w:cs="仿宋"/>
          <w:bCs w:val="0"/>
          <w:szCs w:val="32"/>
          <w:lang w:val="en-US" w:eastAsia="zh-CN"/>
        </w:rPr>
        <w:t xml:space="preserve">5 </w:t>
      </w:r>
      <w:r>
        <w:rPr>
          <w:rFonts w:hint="eastAsia" w:ascii="仿宋" w:hAnsi="仿宋" w:eastAsia="仿宋" w:cs="仿宋"/>
          <w:bCs w:val="0"/>
          <w:szCs w:val="32"/>
        </w:rPr>
        <w:t>提供转让服务、证券简称及证券代码的申请</w:t>
      </w:r>
      <w:r>
        <w:rPr>
          <w:rFonts w:hint="eastAsia" w:cs="仿宋"/>
        </w:rPr>
        <w:tab/>
      </w:r>
      <w:r>
        <w:rPr>
          <w:rFonts w:hint="eastAsia" w:cs="仿宋"/>
        </w:rPr>
        <w:fldChar w:fldCharType="begin"/>
      </w:r>
      <w:r>
        <w:rPr>
          <w:rFonts w:hint="eastAsia" w:cs="仿宋"/>
        </w:rPr>
        <w:instrText xml:space="preserve"> PAGEREF _Toc13258 \h </w:instrText>
      </w:r>
      <w:r>
        <w:rPr>
          <w:rFonts w:hint="eastAsia" w:cs="仿宋"/>
        </w:rPr>
        <w:fldChar w:fldCharType="separate"/>
      </w:r>
      <w:r>
        <w:rPr>
          <w:rFonts w:hint="eastAsia" w:cs="仿宋"/>
        </w:rPr>
        <w:t>136</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_Toc12459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
        </w:rPr>
        <w:t>2</w:t>
      </w:r>
      <w:r>
        <w:rPr>
          <w:rFonts w:hint="eastAsia" w:ascii="仿宋" w:hAnsi="仿宋" w:eastAsia="仿宋" w:cs="仿宋"/>
          <w:bCs w:val="0"/>
          <w:szCs w:val="32"/>
          <w:lang w:val="en-US" w:eastAsia="zh-CN"/>
        </w:rPr>
        <w:t>6</w:t>
      </w:r>
      <w:r>
        <w:rPr>
          <w:rFonts w:hint="eastAsia" w:ascii="仿宋" w:hAnsi="仿宋" w:eastAsia="仿宋" w:cs="仿宋"/>
          <w:bCs w:val="0"/>
          <w:szCs w:val="32"/>
        </w:rPr>
        <w:t xml:space="preserve"> 资产支持证券挂牌转让信息申报表</w:t>
      </w:r>
      <w:r>
        <w:rPr>
          <w:rFonts w:hint="eastAsia" w:cs="仿宋"/>
        </w:rPr>
        <w:tab/>
      </w:r>
      <w:r>
        <w:rPr>
          <w:rFonts w:hint="eastAsia" w:cs="仿宋"/>
        </w:rPr>
        <w:fldChar w:fldCharType="begin"/>
      </w:r>
      <w:r>
        <w:rPr>
          <w:rFonts w:hint="eastAsia" w:cs="仿宋"/>
        </w:rPr>
        <w:instrText xml:space="preserve"> PAGEREF _Toc12459 \h </w:instrText>
      </w:r>
      <w:r>
        <w:rPr>
          <w:rFonts w:hint="eastAsia" w:cs="仿宋"/>
        </w:rPr>
        <w:fldChar w:fldCharType="separate"/>
      </w:r>
      <w:r>
        <w:rPr>
          <w:rFonts w:hint="eastAsia" w:cs="仿宋"/>
        </w:rPr>
        <w:t>137</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_Toc29305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eastAsia="zh"/>
        </w:rPr>
        <w:t>2</w:t>
      </w:r>
      <w:r>
        <w:rPr>
          <w:rFonts w:hint="eastAsia" w:ascii="仿宋" w:hAnsi="仿宋" w:eastAsia="仿宋" w:cs="仿宋"/>
          <w:bCs w:val="0"/>
          <w:szCs w:val="32"/>
          <w:lang w:val="en-US" w:eastAsia="zh-CN"/>
        </w:rPr>
        <w:t>7</w:t>
      </w:r>
      <w:r>
        <w:rPr>
          <w:rFonts w:hint="eastAsia" w:ascii="仿宋" w:hAnsi="仿宋" w:eastAsia="仿宋" w:cs="仿宋"/>
          <w:bCs w:val="0"/>
          <w:szCs w:val="32"/>
        </w:rPr>
        <w:t xml:space="preserve"> 深圳证券交易所资产支持证券转让服务协议</w:t>
      </w:r>
      <w:r>
        <w:rPr>
          <w:rFonts w:hint="eastAsia" w:cs="仿宋"/>
        </w:rPr>
        <w:tab/>
      </w:r>
      <w:r>
        <w:rPr>
          <w:rFonts w:hint="eastAsia" w:cs="仿宋"/>
        </w:rPr>
        <w:fldChar w:fldCharType="begin"/>
      </w:r>
      <w:r>
        <w:rPr>
          <w:rFonts w:hint="eastAsia" w:cs="仿宋"/>
        </w:rPr>
        <w:instrText xml:space="preserve"> PAGEREF _Toc29305 \h </w:instrText>
      </w:r>
      <w:r>
        <w:rPr>
          <w:rFonts w:hint="eastAsia" w:cs="仿宋"/>
        </w:rPr>
        <w:fldChar w:fldCharType="separate"/>
      </w:r>
      <w:r>
        <w:rPr>
          <w:rFonts w:hint="eastAsia" w:cs="仿宋"/>
        </w:rPr>
        <w:t>138</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_Toc1965 </w:instrText>
      </w:r>
      <w:r>
        <w:rPr>
          <w:rFonts w:hint="eastAsia" w:ascii="仿宋" w:hAnsi="仿宋" w:eastAsia="仿宋" w:cs="仿宋"/>
          <w:szCs w:val="32"/>
        </w:rPr>
        <w:fldChar w:fldCharType="separate"/>
      </w:r>
      <w:r>
        <w:rPr>
          <w:rFonts w:hint="eastAsia" w:ascii="仿宋" w:hAnsi="仿宋" w:eastAsia="仿宋" w:cs="仿宋"/>
          <w:bCs w:val="0"/>
          <w:szCs w:val="32"/>
        </w:rPr>
        <w:t>附件2</w:t>
      </w:r>
      <w:r>
        <w:rPr>
          <w:rFonts w:hint="eastAsia" w:ascii="仿宋" w:hAnsi="仿宋" w:eastAsia="仿宋" w:cs="仿宋"/>
          <w:bCs w:val="0"/>
          <w:szCs w:val="32"/>
          <w:lang w:val="en-US" w:eastAsia="zh-CN"/>
        </w:rPr>
        <w:t>8</w:t>
      </w:r>
      <w:r>
        <w:rPr>
          <w:rFonts w:hint="eastAsia" w:ascii="仿宋" w:hAnsi="仿宋" w:eastAsia="仿宋" w:cs="仿宋"/>
          <w:bCs w:val="0"/>
          <w:szCs w:val="32"/>
        </w:rPr>
        <w:t xml:space="preserve"> 资产支持专项计划预期收益率</w:t>
      </w:r>
      <w:r>
        <w:rPr>
          <w:rFonts w:hint="eastAsia" w:ascii="仿宋" w:hAnsi="仿宋" w:eastAsia="仿宋" w:cs="仿宋"/>
          <w:bCs w:val="0"/>
          <w:szCs w:val="32"/>
          <w:lang w:eastAsia="zh"/>
        </w:rPr>
        <w:t>/发行价格</w:t>
      </w:r>
      <w:r>
        <w:rPr>
          <w:rFonts w:hint="eastAsia" w:ascii="仿宋" w:hAnsi="仿宋" w:eastAsia="仿宋" w:cs="仿宋"/>
          <w:bCs w:val="0"/>
          <w:szCs w:val="32"/>
        </w:rPr>
        <w:t>公告</w:t>
      </w:r>
      <w:r>
        <w:rPr>
          <w:rFonts w:hint="eastAsia" w:cs="仿宋"/>
        </w:rPr>
        <w:tab/>
      </w:r>
      <w:r>
        <w:rPr>
          <w:rFonts w:hint="eastAsia" w:cs="仿宋"/>
        </w:rPr>
        <w:fldChar w:fldCharType="begin"/>
      </w:r>
      <w:r>
        <w:rPr>
          <w:rFonts w:hint="eastAsia" w:cs="仿宋"/>
        </w:rPr>
        <w:instrText xml:space="preserve"> PAGEREF _Toc1965 \h </w:instrText>
      </w:r>
      <w:r>
        <w:rPr>
          <w:rFonts w:hint="eastAsia" w:cs="仿宋"/>
        </w:rPr>
        <w:fldChar w:fldCharType="separate"/>
      </w:r>
      <w:r>
        <w:rPr>
          <w:rFonts w:hint="eastAsia" w:cs="仿宋"/>
        </w:rPr>
        <w:t>142</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rPr>
          <w:rFonts w:hint="eastAsia"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_Toc27749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 xml:space="preserve">29 </w:t>
      </w:r>
      <w:r>
        <w:rPr>
          <w:rFonts w:hint="eastAsia" w:ascii="仿宋" w:hAnsi="仿宋" w:eastAsia="仿宋" w:cs="仿宋"/>
          <w:bCs w:val="0"/>
          <w:szCs w:val="32"/>
        </w:rPr>
        <w:t>资产支持专项计划成立公告</w:t>
      </w:r>
      <w:r>
        <w:rPr>
          <w:rFonts w:hint="eastAsia" w:cs="仿宋"/>
        </w:rPr>
        <w:tab/>
      </w:r>
      <w:r>
        <w:rPr>
          <w:rFonts w:hint="eastAsia" w:cs="仿宋"/>
        </w:rPr>
        <w:fldChar w:fldCharType="begin"/>
      </w:r>
      <w:r>
        <w:rPr>
          <w:rFonts w:hint="eastAsia" w:cs="仿宋"/>
        </w:rPr>
        <w:instrText xml:space="preserve"> PAGEREF _Toc27749 \h </w:instrText>
      </w:r>
      <w:r>
        <w:rPr>
          <w:rFonts w:hint="eastAsia" w:cs="仿宋"/>
        </w:rPr>
        <w:fldChar w:fldCharType="separate"/>
      </w:r>
      <w:r>
        <w:rPr>
          <w:rFonts w:hint="eastAsia" w:cs="仿宋"/>
        </w:rPr>
        <w:t>143</w:t>
      </w:r>
      <w:r>
        <w:rPr>
          <w:rFonts w:hint="eastAsia" w:cs="仿宋"/>
        </w:rPr>
        <w:fldChar w:fldCharType="end"/>
      </w:r>
      <w:r>
        <w:rPr>
          <w:rFonts w:hint="eastAsia" w:ascii="仿宋" w:hAnsi="仿宋" w:eastAsia="仿宋" w:cs="仿宋"/>
          <w:szCs w:val="32"/>
        </w:rPr>
        <w:fldChar w:fldCharType="end"/>
      </w:r>
    </w:p>
    <w:p>
      <w:pPr>
        <w:pStyle w:val="24"/>
        <w:tabs>
          <w:tab w:val="right" w:leader="dot" w:pos="8306"/>
        </w:tabs>
        <w:adjustRightInd w:val="0"/>
        <w:snapToGrid w:val="0"/>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_Toc29878 </w:instrText>
      </w:r>
      <w:r>
        <w:rPr>
          <w:rFonts w:hint="eastAsia" w:ascii="仿宋" w:hAnsi="仿宋" w:eastAsia="仿宋" w:cs="仿宋"/>
          <w:szCs w:val="32"/>
        </w:rPr>
        <w:fldChar w:fldCharType="separate"/>
      </w:r>
      <w:r>
        <w:rPr>
          <w:rFonts w:hint="eastAsia" w:ascii="仿宋" w:hAnsi="仿宋" w:eastAsia="仿宋" w:cs="仿宋"/>
          <w:bCs w:val="0"/>
          <w:szCs w:val="32"/>
        </w:rPr>
        <w:t>附件</w:t>
      </w:r>
      <w:r>
        <w:rPr>
          <w:rFonts w:hint="eastAsia" w:ascii="仿宋" w:hAnsi="仿宋" w:eastAsia="仿宋" w:cs="仿宋"/>
          <w:bCs w:val="0"/>
          <w:szCs w:val="32"/>
          <w:lang w:val="en-US" w:eastAsia="zh-CN"/>
        </w:rPr>
        <w:t xml:space="preserve">30 </w:t>
      </w:r>
      <w:r>
        <w:rPr>
          <w:rFonts w:hint="eastAsia" w:ascii="仿宋" w:hAnsi="仿宋" w:eastAsia="仿宋" w:cs="仿宋"/>
          <w:bCs w:val="0"/>
          <w:szCs w:val="32"/>
        </w:rPr>
        <w:t>收款证明及责任承诺（资产支持证券）</w:t>
      </w:r>
      <w:r>
        <w:rPr>
          <w:rFonts w:hint="eastAsia" w:cs="仿宋"/>
        </w:rPr>
        <w:tab/>
      </w:r>
      <w:r>
        <w:rPr>
          <w:rFonts w:hint="eastAsia" w:cs="仿宋"/>
        </w:rPr>
        <w:fldChar w:fldCharType="begin"/>
      </w:r>
      <w:r>
        <w:rPr>
          <w:rFonts w:hint="eastAsia" w:cs="仿宋"/>
        </w:rPr>
        <w:instrText xml:space="preserve"> PAGEREF _Toc29878 \h </w:instrText>
      </w:r>
      <w:r>
        <w:rPr>
          <w:rFonts w:hint="eastAsia" w:cs="仿宋"/>
        </w:rPr>
        <w:fldChar w:fldCharType="separate"/>
      </w:r>
      <w:r>
        <w:rPr>
          <w:rFonts w:hint="eastAsia" w:cs="仿宋"/>
        </w:rPr>
        <w:t>146</w:t>
      </w:r>
      <w:r>
        <w:rPr>
          <w:rFonts w:hint="eastAsia" w:cs="仿宋"/>
        </w:rPr>
        <w:fldChar w:fldCharType="end"/>
      </w:r>
      <w:r>
        <w:rPr>
          <w:rFonts w:hint="eastAsia" w:ascii="仿宋" w:hAnsi="仿宋" w:eastAsia="仿宋" w:cs="仿宋"/>
          <w:szCs w:val="32"/>
        </w:rPr>
        <w:fldChar w:fldCharType="end"/>
      </w:r>
    </w:p>
    <w:p>
      <w:pPr>
        <w:widowControl/>
        <w:tabs>
          <w:tab w:val="right" w:leader="dot" w:pos="8364"/>
        </w:tabs>
        <w:adjustRightInd w:val="0"/>
        <w:snapToGrid w:val="0"/>
        <w:spacing w:line="560" w:lineRule="exact"/>
        <w:ind w:right="225" w:rightChars="107"/>
        <w:jc w:val="left"/>
        <w:rPr>
          <w:rFonts w:hint="eastAsia" w:ascii="仿宋" w:hAnsi="仿宋" w:eastAsia="仿宋" w:cs="仿宋"/>
          <w:sz w:val="32"/>
          <w:szCs w:val="32"/>
        </w:rPr>
        <w:sectPr>
          <w:footerReference r:id="rId7" w:type="default"/>
          <w:pgSz w:w="11906" w:h="16838"/>
          <w:pgMar w:top="1440" w:right="1800" w:bottom="1440" w:left="1800" w:header="851" w:footer="992" w:gutter="0"/>
          <w:pgNumType w:fmt="decimal" w:start="1"/>
          <w:cols w:space="720" w:num="1"/>
          <w:formProt w:val="1"/>
          <w:docGrid w:type="lines" w:linePitch="312" w:charSpace="0"/>
        </w:sectPr>
      </w:pPr>
      <w:r>
        <w:rPr>
          <w:rFonts w:hint="eastAsia" w:ascii="仿宋" w:hAnsi="仿宋" w:eastAsia="仿宋" w:cs="仿宋"/>
          <w:sz w:val="32"/>
          <w:szCs w:val="32"/>
        </w:rPr>
        <w:fldChar w:fldCharType="end"/>
      </w:r>
    </w:p>
    <w:p>
      <w:pPr>
        <w:widowControl/>
        <w:tabs>
          <w:tab w:val="right" w:leader="dot" w:pos="8364"/>
        </w:tabs>
        <w:adjustRightInd w:val="0"/>
        <w:snapToGrid w:val="0"/>
        <w:spacing w:line="560" w:lineRule="exact"/>
        <w:ind w:right="225" w:rightChars="107"/>
        <w:jc w:val="left"/>
        <w:rPr>
          <w:rFonts w:hint="eastAsia" w:ascii="仿宋" w:hAnsi="仿宋" w:eastAsia="仿宋" w:cs="仿宋"/>
          <w:sz w:val="32"/>
          <w:szCs w:val="32"/>
        </w:rPr>
      </w:pPr>
    </w:p>
    <w:p>
      <w:pPr>
        <w:widowControl/>
        <w:adjustRightInd w:val="0"/>
        <w:snapToGrid w:val="0"/>
        <w:spacing w:before="156" w:beforeLines="50" w:after="156" w:afterLines="50" w:line="560" w:lineRule="exact"/>
        <w:jc w:val="center"/>
        <w:outlineLvl w:val="0"/>
        <w:rPr>
          <w:rFonts w:hint="eastAsia" w:ascii="方正小标宋简体" w:hAnsi="方正小标宋简体" w:eastAsia="方正小标宋简体" w:cs="方正小标宋简体"/>
          <w:sz w:val="44"/>
          <w:szCs w:val="44"/>
        </w:rPr>
      </w:pPr>
      <w:bookmarkStart w:id="10" w:name="_Toc1150262849"/>
      <w:bookmarkStart w:id="11" w:name="_Toc25373"/>
      <w:bookmarkStart w:id="12" w:name="_Toc24952"/>
      <w:bookmarkStart w:id="13" w:name="_Toc13435"/>
      <w:bookmarkStart w:id="14" w:name="_Toc10322"/>
      <w:bookmarkStart w:id="15" w:name="_Toc23443"/>
      <w:bookmarkStart w:id="16" w:name="_Toc22093"/>
      <w:bookmarkStart w:id="17" w:name="_Toc1221"/>
      <w:bookmarkStart w:id="18" w:name="_Toc665413173"/>
      <w:bookmarkStart w:id="19" w:name="_Toc13393"/>
      <w:bookmarkStart w:id="20" w:name="_Toc10354"/>
      <w:r>
        <w:rPr>
          <w:rFonts w:hint="eastAsia" w:ascii="方正小标宋简体" w:hAnsi="方正小标宋简体" w:eastAsia="方正小标宋简体" w:cs="方正小标宋简体"/>
          <w:sz w:val="44"/>
          <w:szCs w:val="44"/>
        </w:rPr>
        <w:t>重要提示</w:t>
      </w:r>
      <w:bookmarkEnd w:id="6"/>
      <w:bookmarkEnd w:id="10"/>
      <w:bookmarkEnd w:id="11"/>
      <w:bookmarkEnd w:id="12"/>
      <w:bookmarkEnd w:id="13"/>
      <w:bookmarkEnd w:id="14"/>
      <w:bookmarkEnd w:id="15"/>
      <w:bookmarkEnd w:id="16"/>
      <w:bookmarkEnd w:id="17"/>
      <w:bookmarkEnd w:id="18"/>
      <w:bookmarkEnd w:id="19"/>
      <w:bookmarkEnd w:id="20"/>
    </w:p>
    <w:p>
      <w:pPr>
        <w:widowControl/>
        <w:adjustRightInd w:val="0"/>
        <w:snapToGrid w:val="0"/>
        <w:spacing w:before="156" w:beforeLines="50" w:after="156" w:afterLines="50" w:line="560" w:lineRule="exact"/>
        <w:rPr>
          <w:rFonts w:hint="eastAsia" w:ascii="仿宋" w:hAnsi="仿宋" w:eastAsia="仿宋" w:cs="仿宋"/>
          <w:sz w:val="32"/>
          <w:szCs w:val="32"/>
        </w:rPr>
      </w:pPr>
    </w:p>
    <w:p>
      <w:pPr>
        <w:pStyle w:val="9"/>
        <w:adjustRightInd w:val="0"/>
        <w:snapToGrid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本指南仅为办理公司债券（含企业债券、不含可转债）和资产支持证券发行、上市挂牌申请材料编制及相关业务办理之用。如本指南与法律、法规及有关业务规则发生冲突，应当以法律、法规及有关业务规则为准。</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发行人、计划管理人和承销机构应当认真按照相关规定、本指南及本所其他要求编制、报送申请文件并办理发行、上市挂牌业务。发行人应当委托承销机构（计划管理人）通过本所固收专区申请公司债券、资产支持证券在本所发行、上市挂牌。各承销机构、计划管理人应当指定专人负责发行、上市挂牌相关申请材料的制作、递交及业务联络。</w:t>
      </w:r>
    </w:p>
    <w:p>
      <w:pPr>
        <w:pStyle w:val="9"/>
        <w:adjustRightInd w:val="0"/>
        <w:snapToGrid w:val="0"/>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三、本所将根据业务需要不定期对本指南作出修订，并保留对本指南的最终解释权。</w:t>
      </w:r>
    </w:p>
    <w:p>
      <w:pPr>
        <w:widowControl/>
        <w:adjustRightInd w:val="0"/>
        <w:snapToGrid w:val="0"/>
        <w:jc w:val="left"/>
        <w:rPr>
          <w:rFonts w:hint="eastAsia" w:ascii="仿宋" w:hAnsi="仿宋" w:eastAsia="仿宋" w:cs="仿宋"/>
          <w:sz w:val="32"/>
          <w:szCs w:val="32"/>
        </w:rPr>
      </w:pPr>
      <w:bookmarkStart w:id="21" w:name="_Toc513791789"/>
      <w:bookmarkStart w:id="22" w:name="_Toc5193294"/>
      <w:bookmarkStart w:id="23" w:name="_Toc70585978"/>
      <w:bookmarkStart w:id="24" w:name="_Toc70416308"/>
      <w:bookmarkStart w:id="25" w:name="_Toc70416537"/>
      <w:bookmarkStart w:id="26" w:name="_Toc519177307"/>
      <w:bookmarkStart w:id="27" w:name="_Toc513792075"/>
      <w:bookmarkStart w:id="28" w:name="_Toc70416341"/>
      <w:bookmarkStart w:id="29" w:name="_Toc513792042"/>
      <w:r>
        <w:rPr>
          <w:rFonts w:hint="eastAsia" w:ascii="仿宋" w:hAnsi="仿宋" w:eastAsia="仿宋" w:cs="仿宋"/>
          <w:b/>
          <w:bCs/>
          <w:sz w:val="32"/>
          <w:szCs w:val="32"/>
        </w:rPr>
        <w:br w:type="page"/>
      </w:r>
    </w:p>
    <w:p>
      <w:pPr>
        <w:pStyle w:val="2"/>
        <w:keepNext/>
        <w:keepLines/>
        <w:widowControl w:val="0"/>
        <w:adjustRightInd/>
        <w:snapToGrid/>
        <w:spacing w:line="240" w:lineRule="auto"/>
        <w:textAlignment w:val="center"/>
        <w:rPr>
          <w:rFonts w:hint="eastAsia" w:ascii="黑体" w:hAnsi="黑体" w:eastAsia="黑体" w:cs="黑体"/>
          <w:sz w:val="32"/>
          <w:szCs w:val="32"/>
        </w:rPr>
      </w:pPr>
      <w:bookmarkStart w:id="30" w:name="_Toc3908"/>
      <w:bookmarkStart w:id="31" w:name="_Toc1732092542"/>
      <w:bookmarkStart w:id="32" w:name="_Toc837"/>
      <w:bookmarkStart w:id="33" w:name="_Toc4508"/>
      <w:bookmarkStart w:id="34" w:name="_Toc354266231"/>
      <w:bookmarkStart w:id="35" w:name="_Toc19386"/>
      <w:bookmarkStart w:id="36" w:name="_Toc24729"/>
      <w:bookmarkStart w:id="37" w:name="_Toc10514"/>
      <w:r>
        <w:rPr>
          <w:rFonts w:hint="eastAsia" w:ascii="黑体" w:hAnsi="黑体" w:eastAsia="黑体" w:cs="黑体"/>
          <w:sz w:val="32"/>
          <w:szCs w:val="32"/>
        </w:rPr>
        <w:t>第一章 业务办理准备</w:t>
      </w:r>
      <w:bookmarkEnd w:id="30"/>
      <w:bookmarkEnd w:id="31"/>
      <w:bookmarkEnd w:id="32"/>
      <w:bookmarkEnd w:id="33"/>
      <w:bookmarkEnd w:id="34"/>
      <w:bookmarkEnd w:id="35"/>
      <w:bookmarkEnd w:id="36"/>
      <w:bookmarkEnd w:id="37"/>
    </w:p>
    <w:p>
      <w:pPr>
        <w:pStyle w:val="3"/>
        <w:adjustRightInd w:val="0"/>
        <w:snapToGrid w:val="0"/>
        <w:spacing w:before="0" w:after="0" w:afterLines="0" w:line="560" w:lineRule="exact"/>
        <w:ind w:firstLine="640" w:firstLineChars="200"/>
        <w:rPr>
          <w:rFonts w:hint="eastAsia" w:ascii="楷体" w:hAnsi="楷体" w:eastAsia="楷体" w:cs="楷体"/>
          <w:b w:val="0"/>
        </w:rPr>
      </w:pPr>
      <w:bookmarkStart w:id="38" w:name="_Toc1928063544"/>
      <w:bookmarkStart w:id="39" w:name="_Toc30159"/>
      <w:bookmarkStart w:id="40" w:name="_Toc19237"/>
      <w:bookmarkStart w:id="41" w:name="_Toc15507"/>
      <w:bookmarkStart w:id="42" w:name="_Toc22599"/>
      <w:bookmarkStart w:id="43" w:name="_Toc6700"/>
      <w:bookmarkStart w:id="44" w:name="_Toc26649"/>
      <w:bookmarkStart w:id="45" w:name="_Toc14682"/>
      <w:bookmarkStart w:id="46" w:name="_Toc1691"/>
      <w:bookmarkStart w:id="47" w:name="_Toc1252"/>
      <w:bookmarkStart w:id="48" w:name="_Toc8994"/>
      <w:bookmarkStart w:id="49" w:name="_Toc392662691"/>
      <w:bookmarkStart w:id="50" w:name="_Toc9974"/>
      <w:r>
        <w:rPr>
          <w:rFonts w:hint="eastAsia" w:ascii="楷体" w:hAnsi="楷体" w:eastAsia="楷体" w:cs="楷体"/>
          <w:b w:val="0"/>
        </w:rPr>
        <w:t>一、申请系统权限</w:t>
      </w:r>
      <w:bookmarkEnd w:id="38"/>
      <w:bookmarkEnd w:id="39"/>
      <w:bookmarkEnd w:id="40"/>
      <w:bookmarkEnd w:id="41"/>
      <w:bookmarkEnd w:id="42"/>
      <w:bookmarkEnd w:id="43"/>
      <w:bookmarkEnd w:id="44"/>
      <w:bookmarkEnd w:id="45"/>
      <w:bookmarkEnd w:id="46"/>
      <w:bookmarkEnd w:id="47"/>
      <w:bookmarkEnd w:id="48"/>
      <w:bookmarkEnd w:id="49"/>
      <w:bookmarkEnd w:id="50"/>
    </w:p>
    <w:p>
      <w:pPr>
        <w:adjustRightInd w:val="0"/>
        <w:snapToGrid w:val="0"/>
        <w:spacing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公司债券（含企业债券）及资产支持证券的发行、登记、上市/挂牌等业务均通过本所固定收益品种业务专区（以下简称“固收专区”</w:t>
      </w:r>
      <w:r>
        <w:rPr>
          <w:rFonts w:hint="eastAsia" w:ascii="仿宋" w:hAnsi="仿宋" w:eastAsia="仿宋" w:cs="仿宋"/>
          <w:sz w:val="32"/>
          <w:szCs w:val="32"/>
          <w:lang w:eastAsia="zh" w:bidi="ar"/>
        </w:rPr>
        <w:t>，</w:t>
      </w:r>
      <w:r>
        <w:rPr>
          <w:rFonts w:hint="eastAsia" w:ascii="仿宋" w:hAnsi="仿宋" w:eastAsia="仿宋" w:cs="仿宋"/>
          <w:kern w:val="2"/>
          <w:sz w:val="32"/>
          <w:szCs w:val="32"/>
        </w:rPr>
        <w:t>网址：</w:t>
      </w:r>
      <w:r>
        <w:rPr>
          <w:rStyle w:val="36"/>
          <w:rFonts w:hint="eastAsia" w:ascii="仿宋" w:hAnsi="仿宋" w:eastAsia="仿宋" w:cs="仿宋"/>
          <w:color w:val="auto"/>
          <w:sz w:val="32"/>
          <w:szCs w:val="32"/>
        </w:rPr>
        <w:t>https://biz.szse.cn</w:t>
      </w:r>
      <w:r>
        <w:rPr>
          <w:rFonts w:hint="eastAsia" w:ascii="仿宋" w:hAnsi="仿宋" w:eastAsia="仿宋" w:cs="仿宋"/>
          <w:sz w:val="32"/>
          <w:szCs w:val="32"/>
          <w:lang w:bidi="ar"/>
        </w:rPr>
        <w:t>）办理。在发行、登记和上市/挂牌阶段，相关流程的发起、申请材料的提交原则上由拥有固收专区权限的承销机构及计划管理人处理。</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承销机构及计划管理人登录固收专区</w:t>
      </w:r>
      <w:r>
        <w:rPr>
          <w:rFonts w:hint="eastAsia" w:ascii="仿宋" w:hAnsi="仿宋" w:eastAsia="仿宋" w:cs="仿宋"/>
          <w:sz w:val="32"/>
          <w:szCs w:val="32"/>
          <w:lang w:eastAsia="zh" w:bidi="ar"/>
        </w:rPr>
        <w:t>、簿记建档系统</w:t>
      </w:r>
      <w:r>
        <w:rPr>
          <w:rFonts w:hint="eastAsia" w:ascii="仿宋" w:hAnsi="仿宋" w:eastAsia="仿宋" w:cs="仿宋"/>
          <w:sz w:val="32"/>
          <w:szCs w:val="32"/>
          <w:lang w:bidi="ar"/>
        </w:rPr>
        <w:t>办理相关业务时，需使用CA证书登录，CA证书的申请流程详见深圳证券交易所官网—“市场服务”—“信息服务”—“CA服务”栏目的说明。</w:t>
      </w:r>
    </w:p>
    <w:p>
      <w:pPr>
        <w:pStyle w:val="3"/>
        <w:adjustRightInd w:val="0"/>
        <w:snapToGrid w:val="0"/>
        <w:spacing w:before="0" w:beforeLines="0" w:after="0" w:line="560" w:lineRule="exact"/>
        <w:ind w:firstLine="640" w:firstLineChars="200"/>
        <w:rPr>
          <w:rFonts w:hint="eastAsia" w:ascii="楷体" w:hAnsi="楷体" w:eastAsia="楷体" w:cs="楷体"/>
          <w:b w:val="0"/>
        </w:rPr>
      </w:pPr>
      <w:bookmarkStart w:id="51" w:name="_Toc1187987472"/>
      <w:bookmarkStart w:id="52" w:name="_Toc11794"/>
      <w:bookmarkStart w:id="53" w:name="_Toc26140"/>
      <w:bookmarkStart w:id="54" w:name="_Toc16035"/>
      <w:bookmarkStart w:id="55" w:name="_Toc9262"/>
      <w:bookmarkStart w:id="56" w:name="_Toc1342839623"/>
      <w:bookmarkStart w:id="57" w:name="_Toc12010"/>
      <w:bookmarkStart w:id="58" w:name="_Toc17497"/>
      <w:bookmarkStart w:id="59" w:name="_Toc27687"/>
      <w:bookmarkStart w:id="60" w:name="_Toc14173"/>
      <w:bookmarkStart w:id="61" w:name="_Toc24721"/>
      <w:bookmarkStart w:id="62" w:name="_Toc20119"/>
      <w:bookmarkStart w:id="63" w:name="_Toc15820"/>
      <w:r>
        <w:rPr>
          <w:rFonts w:hint="eastAsia" w:ascii="楷体" w:hAnsi="楷体" w:eastAsia="楷体" w:cs="楷体"/>
          <w:b w:val="0"/>
        </w:rPr>
        <w:t>二、固收专区使用说明</w:t>
      </w:r>
      <w:bookmarkEnd w:id="51"/>
      <w:bookmarkEnd w:id="52"/>
      <w:bookmarkEnd w:id="53"/>
      <w:bookmarkEnd w:id="54"/>
      <w:bookmarkEnd w:id="55"/>
      <w:bookmarkEnd w:id="56"/>
      <w:bookmarkEnd w:id="57"/>
      <w:bookmarkEnd w:id="58"/>
      <w:bookmarkEnd w:id="59"/>
      <w:bookmarkEnd w:id="60"/>
      <w:bookmarkEnd w:id="61"/>
      <w:bookmarkEnd w:id="62"/>
      <w:bookmarkEnd w:id="63"/>
    </w:p>
    <w:p>
      <w:pPr>
        <w:adjustRightInd w:val="0"/>
        <w:snapToGrid w:val="0"/>
        <w:spacing w:beforeLines="0" w:line="560" w:lineRule="exact"/>
        <w:ind w:firstLine="640" w:firstLineChars="200"/>
        <w:rPr>
          <w:rFonts w:hint="eastAsia" w:ascii="仿宋" w:hAnsi="仿宋" w:eastAsia="仿宋" w:cs="仿宋"/>
          <w:sz w:val="32"/>
          <w:szCs w:val="32"/>
        </w:rPr>
      </w:pPr>
      <w:r>
        <w:rPr>
          <w:rFonts w:hint="eastAsia" w:ascii="仿宋" w:hAnsi="仿宋" w:eastAsia="仿宋" w:cs="仿宋"/>
          <w:i w:val="0"/>
          <w:iCs w:val="0"/>
          <w:caps w:val="0"/>
          <w:spacing w:val="0"/>
          <w:sz w:val="32"/>
          <w:szCs w:val="32"/>
          <w:shd w:val="clear"/>
          <w:lang w:eastAsia="zh" w:bidi="ar"/>
        </w:rPr>
        <w:t>固收专区全天开放（系统升级等特殊事项除外），</w:t>
      </w:r>
      <w:r>
        <w:rPr>
          <w:rFonts w:hint="eastAsia" w:ascii="仿宋" w:hAnsi="仿宋" w:eastAsia="仿宋" w:cs="仿宋"/>
          <w:sz w:val="32"/>
          <w:szCs w:val="32"/>
          <w:lang w:eastAsia="zh" w:bidi="ar"/>
        </w:rPr>
        <w:t>申请人</w:t>
      </w:r>
      <w:r>
        <w:rPr>
          <w:rFonts w:hint="eastAsia" w:ascii="仿宋" w:hAnsi="仿宋" w:eastAsia="仿宋" w:cs="仿宋"/>
          <w:sz w:val="32"/>
          <w:szCs w:val="32"/>
          <w:lang w:bidi="ar"/>
        </w:rPr>
        <w:t>可通过固收专区提交发行、登记、上市/挂牌业务申请。申请人仅能在交易日提交信息披露申请，申请的披露日期一般为当前交易日或下一交易日，该日期为披露公告的日期，而非提交日期。事前审查公告在完成核对后由提交申请的承销机构或计划管理人确认后披露，事后审查公告上传之后无需确认。披露日</w:t>
      </w:r>
      <w:r>
        <w:rPr>
          <w:rFonts w:hint="eastAsia" w:ascii="仿宋" w:hAnsi="仿宋" w:eastAsia="仿宋" w:cs="仿宋"/>
          <w:sz w:val="32"/>
          <w:szCs w:val="32"/>
          <w:highlight w:val="none"/>
          <w:lang w:bidi="ar"/>
        </w:rPr>
        <w:t>在提交日期当日的，公告在当日收市开闸后（一般为15:40左右）披露，披露日在提交日下一个交易日的，公告在披露日期的前一</w:t>
      </w:r>
      <w:r>
        <w:rPr>
          <w:rFonts w:hint="eastAsia" w:ascii="仿宋" w:hAnsi="仿宋" w:eastAsia="仿宋" w:cs="仿宋"/>
          <w:sz w:val="32"/>
          <w:szCs w:val="32"/>
          <w:highlight w:val="none"/>
          <w:lang w:eastAsia="zh" w:bidi="ar"/>
        </w:rPr>
        <w:t>自然日</w:t>
      </w:r>
      <w:r>
        <w:rPr>
          <w:rFonts w:hint="eastAsia" w:ascii="仿宋" w:hAnsi="仿宋" w:eastAsia="仿宋" w:cs="仿宋"/>
          <w:sz w:val="32"/>
          <w:szCs w:val="32"/>
          <w:highlight w:val="none"/>
          <w:lang w:bidi="ar"/>
        </w:rPr>
        <w:t>披露。请确保</w:t>
      </w:r>
      <w:r>
        <w:rPr>
          <w:rFonts w:hint="eastAsia" w:ascii="仿宋" w:hAnsi="仿宋" w:eastAsia="仿宋" w:cs="仿宋"/>
          <w:sz w:val="32"/>
          <w:szCs w:val="32"/>
          <w:lang w:bidi="ar"/>
        </w:rPr>
        <w:t>公告披露日和内容无误。</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上传到固收专区的单个文件应不超过50M（含），否则可能上传失败。上传文件的文件名称长度（含文件后缀）应不超过100（含）个字符（不区分中英文）。</w:t>
      </w:r>
    </w:p>
    <w:p>
      <w:pPr>
        <w:pStyle w:val="3"/>
        <w:adjustRightInd w:val="0"/>
        <w:snapToGrid w:val="0"/>
        <w:spacing w:before="0" w:beforeLines="0" w:after="0" w:afterLines="0" w:line="560" w:lineRule="exact"/>
        <w:ind w:firstLine="640" w:firstLineChars="200"/>
        <w:rPr>
          <w:rFonts w:hint="eastAsia" w:ascii="楷体" w:hAnsi="楷体" w:eastAsia="楷体" w:cs="楷体"/>
          <w:b w:val="0"/>
          <w:sz w:val="32"/>
          <w:szCs w:val="32"/>
          <w:lang w:eastAsia="zh" w:bidi="ar"/>
        </w:rPr>
      </w:pPr>
      <w:bookmarkStart w:id="64" w:name="_Toc23839"/>
      <w:bookmarkStart w:id="65" w:name="_Toc16192"/>
      <w:bookmarkStart w:id="66" w:name="_Toc5227"/>
      <w:bookmarkStart w:id="67" w:name="_Toc24239"/>
      <w:bookmarkStart w:id="68" w:name="_Toc28329"/>
      <w:bookmarkStart w:id="69" w:name="_Toc306"/>
      <w:bookmarkStart w:id="70" w:name="_Toc8900"/>
      <w:bookmarkStart w:id="71" w:name="_Toc22352"/>
      <w:bookmarkStart w:id="72" w:name="_Toc19310"/>
      <w:r>
        <w:rPr>
          <w:rFonts w:hint="eastAsia" w:ascii="楷体" w:hAnsi="楷体" w:eastAsia="楷体" w:cs="楷体"/>
          <w:b w:val="0"/>
          <w:sz w:val="32"/>
          <w:szCs w:val="32"/>
          <w:lang w:eastAsia="zh" w:bidi="ar"/>
        </w:rPr>
        <w:t>三、簿记</w:t>
      </w:r>
      <w:r>
        <w:rPr>
          <w:rFonts w:hint="eastAsia" w:ascii="楷体" w:hAnsi="楷体" w:eastAsia="楷体" w:cs="楷体"/>
          <w:b w:val="0"/>
          <w:sz w:val="32"/>
          <w:szCs w:val="32"/>
          <w:lang w:eastAsia="zh-CN" w:bidi="ar"/>
        </w:rPr>
        <w:t>建档</w:t>
      </w:r>
      <w:r>
        <w:rPr>
          <w:rFonts w:hint="eastAsia" w:ascii="楷体" w:hAnsi="楷体" w:eastAsia="楷体" w:cs="楷体"/>
          <w:b w:val="0"/>
          <w:sz w:val="32"/>
          <w:szCs w:val="32"/>
          <w:lang w:eastAsia="zh" w:bidi="ar"/>
        </w:rPr>
        <w:t>系统使用说明</w:t>
      </w:r>
      <w:bookmarkEnd w:id="64"/>
      <w:bookmarkEnd w:id="65"/>
      <w:bookmarkEnd w:id="66"/>
      <w:bookmarkEnd w:id="67"/>
      <w:bookmarkEnd w:id="68"/>
      <w:bookmarkEnd w:id="69"/>
      <w:bookmarkEnd w:id="70"/>
      <w:bookmarkEnd w:id="71"/>
      <w:bookmarkEnd w:id="72"/>
    </w:p>
    <w:p>
      <w:pPr>
        <w:adjustRightInd w:val="0"/>
        <w:snapToGrid w:val="0"/>
        <w:spacing w:afterLines="0"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i w:val="0"/>
          <w:iCs w:val="0"/>
          <w:caps w:val="0"/>
          <w:color w:val="auto"/>
          <w:spacing w:val="0"/>
          <w:sz w:val="32"/>
          <w:szCs w:val="32"/>
          <w:shd w:val="clear" w:fill="auto"/>
          <w:lang w:eastAsia="zh" w:bidi="ar"/>
        </w:rPr>
        <w:t>簿记发行业务应当通过</w:t>
      </w:r>
      <w:r>
        <w:rPr>
          <w:rFonts w:hint="eastAsia" w:ascii="仿宋" w:hAnsi="仿宋" w:eastAsia="仿宋" w:cs="仿宋"/>
          <w:i w:val="0"/>
          <w:iCs w:val="0"/>
          <w:caps w:val="0"/>
          <w:spacing w:val="0"/>
          <w:sz w:val="32"/>
          <w:szCs w:val="32"/>
          <w:shd w:val="clear"/>
          <w:lang w:eastAsia="zh" w:bidi="ar"/>
        </w:rPr>
        <w:t>深圳证券交易所债券</w:t>
      </w:r>
      <w:r>
        <w:rPr>
          <w:rFonts w:hint="eastAsia" w:ascii="仿宋" w:hAnsi="仿宋" w:eastAsia="仿宋" w:cs="仿宋"/>
          <w:i w:val="0"/>
          <w:iCs w:val="0"/>
          <w:caps w:val="0"/>
          <w:color w:val="auto"/>
          <w:spacing w:val="0"/>
          <w:sz w:val="32"/>
          <w:szCs w:val="32"/>
          <w:shd w:val="clear" w:fill="auto"/>
          <w:lang w:eastAsia="zh" w:bidi="ar"/>
        </w:rPr>
        <w:t>簿记建档系统开展。簿记</w:t>
      </w:r>
      <w:r>
        <w:rPr>
          <w:rFonts w:hint="eastAsia" w:ascii="仿宋" w:hAnsi="仿宋" w:eastAsia="仿宋" w:cs="仿宋"/>
          <w:i w:val="0"/>
          <w:iCs w:val="0"/>
          <w:caps w:val="0"/>
          <w:color w:val="auto"/>
          <w:spacing w:val="0"/>
          <w:sz w:val="32"/>
          <w:szCs w:val="32"/>
          <w:shd w:val="clear" w:fill="auto"/>
          <w:lang w:eastAsia="zh-CN" w:bidi="ar"/>
        </w:rPr>
        <w:t>建档</w:t>
      </w:r>
      <w:r>
        <w:rPr>
          <w:rFonts w:hint="eastAsia" w:ascii="仿宋" w:hAnsi="仿宋" w:eastAsia="仿宋" w:cs="仿宋"/>
          <w:i w:val="0"/>
          <w:iCs w:val="0"/>
          <w:caps w:val="0"/>
          <w:color w:val="auto"/>
          <w:spacing w:val="0"/>
          <w:sz w:val="32"/>
          <w:szCs w:val="32"/>
          <w:shd w:val="clear" w:fill="auto"/>
          <w:lang w:eastAsia="zh" w:bidi="ar"/>
        </w:rPr>
        <w:t>系统为网页服务，承销机构可通过互联网直接访问簿记系统登录页。</w:t>
      </w:r>
    </w:p>
    <w:p>
      <w:pPr>
        <w:adjustRightInd w:val="0"/>
        <w:snapToGrid w:val="0"/>
        <w:spacing w:line="560" w:lineRule="exact"/>
        <w:ind w:firstLine="640" w:firstLineChars="200"/>
        <w:rPr>
          <w:rFonts w:hint="eastAsia" w:ascii="仿宋" w:hAnsi="仿宋" w:eastAsia="仿宋" w:cs="仿宋"/>
          <w:sz w:val="32"/>
          <w:szCs w:val="32"/>
          <w:lang w:eastAsia="zh-CN" w:bidi="ar"/>
        </w:rPr>
      </w:pPr>
      <w:r>
        <w:rPr>
          <w:rFonts w:hint="eastAsia" w:ascii="仿宋" w:hAnsi="仿宋" w:eastAsia="仿宋" w:cs="仿宋"/>
          <w:sz w:val="32"/>
          <w:szCs w:val="32"/>
          <w:lang w:eastAsia="zh" w:bidi="ar"/>
        </w:rPr>
        <w:t>本所簿记建档系统地址为</w:t>
      </w:r>
      <w:r>
        <w:rPr>
          <w:rFonts w:hint="eastAsia" w:ascii="仿宋" w:hAnsi="仿宋" w:eastAsia="仿宋" w:cs="仿宋"/>
          <w:sz w:val="32"/>
          <w:szCs w:val="32"/>
          <w:lang w:eastAsia="zh" w:bidi="ar"/>
        </w:rPr>
        <w:fldChar w:fldCharType="begin"/>
      </w:r>
      <w:r>
        <w:rPr>
          <w:rFonts w:hint="eastAsia" w:ascii="仿宋" w:hAnsi="仿宋" w:eastAsia="仿宋" w:cs="仿宋"/>
          <w:sz w:val="32"/>
          <w:szCs w:val="32"/>
          <w:lang w:eastAsia="zh" w:bidi="ar"/>
        </w:rPr>
        <w:instrText xml:space="preserve"> HYPERLINK "https://biz.szse.cn/cbb" </w:instrText>
      </w:r>
      <w:r>
        <w:rPr>
          <w:rFonts w:hint="eastAsia" w:ascii="仿宋" w:hAnsi="仿宋" w:eastAsia="仿宋" w:cs="仿宋"/>
          <w:sz w:val="32"/>
          <w:szCs w:val="32"/>
          <w:lang w:eastAsia="zh" w:bidi="ar"/>
        </w:rPr>
        <w:fldChar w:fldCharType="separate"/>
      </w:r>
      <w:r>
        <w:rPr>
          <w:rFonts w:hint="eastAsia" w:ascii="仿宋" w:hAnsi="仿宋" w:eastAsia="仿宋" w:cs="仿宋"/>
          <w:sz w:val="32"/>
          <w:szCs w:val="32"/>
          <w:lang w:eastAsia="zh" w:bidi="ar"/>
        </w:rPr>
        <w:t>https://biz.szse.cn/cbb</w:t>
      </w:r>
      <w:r>
        <w:rPr>
          <w:rFonts w:hint="eastAsia" w:ascii="仿宋" w:hAnsi="仿宋" w:eastAsia="仿宋" w:cs="仿宋"/>
          <w:sz w:val="32"/>
          <w:szCs w:val="32"/>
          <w:lang w:eastAsia="zh" w:bidi="ar"/>
        </w:rPr>
        <w:fldChar w:fldCharType="end"/>
      </w:r>
      <w:r>
        <w:rPr>
          <w:rFonts w:hint="eastAsia" w:ascii="仿宋" w:hAnsi="仿宋" w:eastAsia="仿宋" w:cs="仿宋"/>
          <w:sz w:val="32"/>
          <w:szCs w:val="32"/>
          <w:lang w:eastAsia="zh-CN" w:bidi="ar"/>
        </w:rPr>
        <w:t>。</w:t>
      </w:r>
    </w:p>
    <w:p>
      <w:pPr>
        <w:adjustRightInd w:val="0"/>
        <w:snapToGrid w:val="0"/>
        <w:spacing w:afterLines="0"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i w:val="0"/>
          <w:iCs w:val="0"/>
          <w:caps w:val="0"/>
          <w:color w:val="auto"/>
          <w:spacing w:val="0"/>
          <w:sz w:val="32"/>
          <w:szCs w:val="32"/>
          <w:shd w:val="clear" w:fill="auto"/>
          <w:lang w:eastAsia="zh" w:bidi="ar"/>
        </w:rPr>
        <w:t>簿记</w:t>
      </w:r>
      <w:r>
        <w:rPr>
          <w:rFonts w:hint="eastAsia" w:ascii="仿宋" w:hAnsi="仿宋" w:eastAsia="仿宋" w:cs="仿宋"/>
          <w:i w:val="0"/>
          <w:iCs w:val="0"/>
          <w:caps w:val="0"/>
          <w:color w:val="auto"/>
          <w:spacing w:val="0"/>
          <w:sz w:val="32"/>
          <w:szCs w:val="32"/>
          <w:shd w:val="clear" w:fill="auto"/>
          <w:lang w:eastAsia="zh-CN" w:bidi="ar"/>
        </w:rPr>
        <w:t>建档</w:t>
      </w:r>
      <w:r>
        <w:rPr>
          <w:rFonts w:hint="eastAsia" w:ascii="仿宋" w:hAnsi="仿宋" w:eastAsia="仿宋" w:cs="仿宋"/>
          <w:i w:val="0"/>
          <w:iCs w:val="0"/>
          <w:caps w:val="0"/>
          <w:color w:val="auto"/>
          <w:spacing w:val="0"/>
          <w:sz w:val="32"/>
          <w:szCs w:val="32"/>
          <w:shd w:val="clear" w:fill="auto"/>
          <w:lang w:eastAsia="zh" w:bidi="ar"/>
        </w:rPr>
        <w:t>系统全天开放（系统升级等特殊事项除外）</w:t>
      </w:r>
      <w:r>
        <w:rPr>
          <w:rFonts w:hint="eastAsia" w:ascii="仿宋" w:hAnsi="仿宋" w:eastAsia="仿宋" w:cs="仿宋"/>
          <w:i w:val="0"/>
          <w:iCs w:val="0"/>
          <w:caps w:val="0"/>
          <w:spacing w:val="0"/>
          <w:sz w:val="32"/>
          <w:szCs w:val="32"/>
          <w:shd w:val="clear"/>
          <w:lang w:eastAsia="zh" w:bidi="ar"/>
        </w:rPr>
        <w:t>，</w:t>
      </w:r>
      <w:r>
        <w:rPr>
          <w:rFonts w:hint="eastAsia" w:ascii="仿宋" w:hAnsi="仿宋" w:eastAsia="仿宋" w:cs="仿宋"/>
          <w:sz w:val="32"/>
          <w:szCs w:val="32"/>
          <w:lang w:eastAsia="zh" w:bidi="ar"/>
        </w:rPr>
        <w:t>债券承销机构可以通过</w:t>
      </w:r>
      <w:r>
        <w:rPr>
          <w:rFonts w:hint="eastAsia" w:ascii="仿宋" w:hAnsi="仿宋" w:eastAsia="仿宋" w:cs="仿宋"/>
          <w:sz w:val="32"/>
          <w:szCs w:val="32"/>
          <w:lang w:bidi="ar"/>
        </w:rPr>
        <w:t>CA证书</w:t>
      </w:r>
      <w:r>
        <w:rPr>
          <w:rFonts w:hint="eastAsia" w:ascii="仿宋" w:hAnsi="仿宋" w:eastAsia="仿宋" w:cs="仿宋"/>
          <w:sz w:val="32"/>
          <w:szCs w:val="32"/>
          <w:lang w:eastAsia="zh" w:bidi="ar"/>
        </w:rPr>
        <w:t>+账号密码方式登录本所簿记建档系统完成债券认购单录入及汇总、配售、生成和发送簿记建档结果等业务；债券交易参与人及承销机构认可的其他专业机构投资者可使用簿记建档系统</w:t>
      </w:r>
      <w:r>
        <w:rPr>
          <w:rFonts w:hint="eastAsia" w:ascii="仿宋" w:hAnsi="仿宋" w:eastAsia="仿宋" w:cs="仿宋"/>
          <w:sz w:val="32"/>
          <w:szCs w:val="32"/>
          <w:lang w:bidi="ar"/>
        </w:rPr>
        <w:t>CA证书</w:t>
      </w:r>
      <w:r>
        <w:rPr>
          <w:rFonts w:hint="eastAsia" w:ascii="仿宋" w:hAnsi="仿宋" w:eastAsia="仿宋" w:cs="仿宋"/>
          <w:sz w:val="32"/>
          <w:szCs w:val="32"/>
          <w:lang w:eastAsia="zh" w:bidi="ar"/>
        </w:rPr>
        <w:t>直接登录簿记建档系统办理认购等业务。</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债券交易参与人及承销机构认可的其他专业机构投资者原则上应当通过簿记建档系统认购公司债券。其他投资者可以通过传真、邮件等方式向簿记管理人或者承销机构发送认购订单，并由簿记管理人在簿记建档系统中录入认购订单</w:t>
      </w:r>
      <w:r>
        <w:rPr>
          <w:rFonts w:hint="eastAsia" w:ascii="仿宋" w:hAnsi="仿宋" w:eastAsia="仿宋" w:cs="仿宋"/>
          <w:sz w:val="32"/>
          <w:szCs w:val="32"/>
          <w:lang w:eastAsia="zh-CN" w:bidi="ar"/>
        </w:rPr>
        <w:t>，录入时间应不晚于簿记建档结束后的两个小时</w:t>
      </w:r>
      <w:r>
        <w:rPr>
          <w:rFonts w:hint="eastAsia" w:ascii="仿宋" w:hAnsi="仿宋" w:eastAsia="仿宋" w:cs="仿宋"/>
          <w:sz w:val="32"/>
          <w:szCs w:val="32"/>
          <w:lang w:bidi="ar"/>
        </w:rPr>
        <w:t>。投资者发送认购订单的时间、方式等应当遵守发行公告文件的相关约定。参与簿记建档的投资者提交的认购申请均视为其自身的申购订单。</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簿记管理人应在缴款结束日终前在簿记建档系统中上传相关订单的原始认购凭证及包含认购时间的传真或邮件记录。</w:t>
      </w:r>
    </w:p>
    <w:p>
      <w:pPr>
        <w:pStyle w:val="3"/>
        <w:adjustRightInd w:val="0"/>
        <w:snapToGrid w:val="0"/>
        <w:spacing w:before="0" w:beforeLines="0" w:after="0" w:afterLines="0" w:line="560" w:lineRule="exact"/>
        <w:ind w:firstLine="640" w:firstLineChars="200"/>
        <w:rPr>
          <w:rFonts w:hint="eastAsia" w:ascii="仿宋" w:hAnsi="仿宋" w:eastAsia="仿宋" w:cs="仿宋"/>
          <w:b w:val="0"/>
          <w:sz w:val="32"/>
          <w:szCs w:val="32"/>
          <w:lang w:eastAsia="zh" w:bidi="ar"/>
        </w:rPr>
      </w:pPr>
      <w:bookmarkStart w:id="73" w:name="_Toc29585"/>
      <w:bookmarkStart w:id="74" w:name="_Toc74"/>
      <w:bookmarkStart w:id="75" w:name="_Toc16512"/>
      <w:bookmarkStart w:id="76" w:name="_Toc27738"/>
      <w:bookmarkStart w:id="77" w:name="_Toc21397"/>
      <w:bookmarkStart w:id="78" w:name="_Toc18078"/>
      <w:bookmarkStart w:id="79" w:name="_Toc12426"/>
      <w:bookmarkStart w:id="80" w:name="_Toc5260"/>
      <w:bookmarkStart w:id="81" w:name="_Toc30090"/>
      <w:r>
        <w:rPr>
          <w:rFonts w:hint="eastAsia" w:ascii="楷体" w:hAnsi="楷体" w:eastAsia="楷体" w:cs="楷体"/>
          <w:b w:val="0"/>
          <w:sz w:val="32"/>
          <w:szCs w:val="32"/>
          <w:lang w:eastAsia="zh" w:bidi="ar"/>
        </w:rPr>
        <w:t>四、簿记建档场所使用说明</w:t>
      </w:r>
      <w:bookmarkEnd w:id="73"/>
      <w:bookmarkEnd w:id="74"/>
      <w:bookmarkEnd w:id="75"/>
      <w:bookmarkEnd w:id="76"/>
      <w:bookmarkEnd w:id="77"/>
      <w:bookmarkEnd w:id="78"/>
      <w:bookmarkEnd w:id="79"/>
      <w:bookmarkEnd w:id="80"/>
      <w:bookmarkEnd w:id="81"/>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如需使用深交所簿记建档专门场所开展簿记建档，簿记管理人应不晚于簿记建档前10个交易日联系本所预约，并提交以下文件：</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《信用债券簿记建档发行承诺函》（附件1</w:t>
      </w:r>
      <w:r>
        <w:rPr>
          <w:rFonts w:hint="eastAsia" w:ascii="仿宋" w:hAnsi="仿宋" w:eastAsia="仿宋" w:cs="仿宋"/>
          <w:sz w:val="32"/>
          <w:szCs w:val="32"/>
          <w:lang w:val="en-US" w:eastAsia="zh-CN" w:bidi="ar"/>
        </w:rPr>
        <w:t>6</w:t>
      </w:r>
      <w:r>
        <w:rPr>
          <w:rFonts w:hint="eastAsia" w:ascii="仿宋" w:hAnsi="仿宋" w:eastAsia="仿宋" w:cs="仿宋"/>
          <w:sz w:val="32"/>
          <w:szCs w:val="32"/>
          <w:lang w:eastAsia="zh" w:bidi="ar"/>
        </w:rPr>
        <w:t>）；</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《信用债券簿记现场工作人员名单》（附件1</w:t>
      </w:r>
      <w:r>
        <w:rPr>
          <w:rFonts w:hint="eastAsia" w:ascii="仿宋" w:hAnsi="仿宋" w:eastAsia="仿宋" w:cs="仿宋"/>
          <w:sz w:val="32"/>
          <w:szCs w:val="32"/>
          <w:lang w:val="en-US" w:eastAsia="zh-CN" w:bidi="ar"/>
        </w:rPr>
        <w:t>7</w:t>
      </w:r>
      <w:r>
        <w:rPr>
          <w:rFonts w:hint="eastAsia" w:ascii="仿宋" w:hAnsi="仿宋" w:eastAsia="仿宋" w:cs="仿宋"/>
          <w:sz w:val="32"/>
          <w:szCs w:val="32"/>
          <w:lang w:eastAsia="zh" w:bidi="ar"/>
        </w:rPr>
        <w:t>）；</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《外部信息设备备案申请表》（附件1</w:t>
      </w:r>
      <w:r>
        <w:rPr>
          <w:rFonts w:hint="eastAsia" w:ascii="仿宋" w:hAnsi="仿宋" w:eastAsia="仿宋" w:cs="仿宋"/>
          <w:sz w:val="32"/>
          <w:szCs w:val="32"/>
          <w:lang w:val="en-US" w:eastAsia="zh-CN" w:bidi="ar"/>
        </w:rPr>
        <w:t>8</w:t>
      </w:r>
      <w:r>
        <w:rPr>
          <w:rFonts w:hint="eastAsia" w:ascii="仿宋" w:hAnsi="仿宋" w:eastAsia="仿宋" w:cs="仿宋"/>
          <w:sz w:val="32"/>
          <w:szCs w:val="32"/>
          <w:lang w:eastAsia="zh" w:bidi="ar"/>
        </w:rPr>
        <w:t>）。</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律师及经簿记管理人同意的其他参与现场发行相关的人员，需将上述《外部信息设备备案申请表》交由簿记管理人一并提交至深交所。</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簿记管理人应对簿记现场参与人员进行严格管理，维护簿记现场秩序。簿记建档开始前，簿记管理人应</w:t>
      </w:r>
      <w:r>
        <w:rPr>
          <w:rFonts w:hint="eastAsia" w:ascii="仿宋" w:hAnsi="仿宋" w:eastAsia="仿宋" w:cs="仿宋"/>
          <w:sz w:val="32"/>
          <w:szCs w:val="32"/>
          <w:lang w:eastAsia="zh-CN" w:bidi="ar"/>
        </w:rPr>
        <w:t>根据</w:t>
      </w:r>
      <w:r>
        <w:rPr>
          <w:rFonts w:hint="eastAsia" w:ascii="仿宋" w:hAnsi="仿宋" w:eastAsia="仿宋" w:cs="仿宋"/>
          <w:sz w:val="32"/>
          <w:szCs w:val="32"/>
          <w:lang w:eastAsia="zh" w:bidi="ar"/>
        </w:rPr>
        <w:t>《信用债券簿记现场工作人员名单》核实工作人员身份。工作人员进入簿记现场应进行登记。在簿记建档发行期间，如工作人员需离开簿记现场，应征得簿记管理人同意，并记录离开事由、时间等相关信息。</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簿记建档期间，现场人员与外界沟通相关事项应当通过深交所簿记建档专门场所配置的专用通讯工具或已通过深交所备案的外部信息设备进行。</w:t>
      </w:r>
    </w:p>
    <w:p>
      <w:pPr>
        <w:pStyle w:val="3"/>
        <w:adjustRightInd w:val="0"/>
        <w:snapToGrid w:val="0"/>
        <w:spacing w:before="0" w:beforeLines="0" w:after="0" w:afterLines="0" w:line="560" w:lineRule="exact"/>
        <w:ind w:firstLine="640" w:firstLineChars="200"/>
        <w:rPr>
          <w:rFonts w:hint="eastAsia" w:ascii="楷体" w:hAnsi="楷体" w:eastAsia="楷体" w:cs="楷体"/>
          <w:b w:val="0"/>
          <w:kern w:val="2"/>
          <w:sz w:val="32"/>
          <w:szCs w:val="32"/>
        </w:rPr>
      </w:pPr>
      <w:bookmarkStart w:id="82" w:name="_Toc15651"/>
      <w:bookmarkStart w:id="83" w:name="_Toc15830"/>
      <w:bookmarkStart w:id="84" w:name="_Toc27292"/>
      <w:bookmarkStart w:id="85" w:name="_Toc26005"/>
      <w:bookmarkStart w:id="86" w:name="_Toc144"/>
      <w:bookmarkStart w:id="87" w:name="_Toc1489479661"/>
      <w:bookmarkStart w:id="88" w:name="_Toc17865"/>
      <w:bookmarkStart w:id="89" w:name="_Toc31403"/>
      <w:bookmarkStart w:id="90" w:name="_Toc29432"/>
      <w:bookmarkStart w:id="91" w:name="_Toc27508"/>
      <w:r>
        <w:rPr>
          <w:rFonts w:hint="eastAsia" w:ascii="楷体" w:hAnsi="楷体" w:eastAsia="楷体" w:cs="楷体"/>
          <w:b w:val="0"/>
          <w:kern w:val="2"/>
          <w:sz w:val="32"/>
          <w:szCs w:val="32"/>
          <w:lang w:val="en-US" w:eastAsia="zh" w:bidi="ar"/>
        </w:rPr>
        <w:t>五、</w:t>
      </w:r>
      <w:r>
        <w:rPr>
          <w:rFonts w:hint="eastAsia" w:ascii="楷体" w:hAnsi="楷体" w:eastAsia="楷体" w:cs="楷体"/>
          <w:b w:val="0"/>
          <w:kern w:val="2"/>
          <w:sz w:val="32"/>
          <w:szCs w:val="32"/>
          <w:lang w:val="en-US" w:eastAsia="zh-CN" w:bidi="ar"/>
        </w:rPr>
        <w:t>本所发行上市业务专用邮箱</w:t>
      </w:r>
      <w:bookmarkEnd w:id="82"/>
      <w:bookmarkEnd w:id="83"/>
      <w:bookmarkEnd w:id="84"/>
      <w:bookmarkEnd w:id="85"/>
      <w:bookmarkEnd w:id="86"/>
      <w:bookmarkEnd w:id="87"/>
      <w:bookmarkEnd w:id="88"/>
      <w:bookmarkEnd w:id="89"/>
      <w:bookmarkEnd w:id="90"/>
      <w:bookmarkEnd w:id="91"/>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为提高业务办理及申请文件受理效率，本所设置业务办</w:t>
      </w:r>
      <w:r>
        <w:rPr>
          <w:rFonts w:hint="default" w:ascii="仿宋" w:hAnsi="仿宋" w:eastAsia="仿宋" w:cs="仿宋"/>
          <w:kern w:val="2"/>
          <w:sz w:val="32"/>
          <w:szCs w:val="32"/>
          <w:lang w:val="en-US" w:eastAsia="zh-CN" w:bidi="ar"/>
        </w:rPr>
        <w:t>理</w:t>
      </w:r>
      <w:r>
        <w:rPr>
          <w:rStyle w:val="32"/>
          <w:rFonts w:hint="default" w:ascii="仿宋" w:hAnsi="仿宋" w:eastAsia="仿宋" w:cs="仿宋"/>
          <w:kern w:val="2"/>
          <w:sz w:val="32"/>
          <w:szCs w:val="32"/>
          <w:lang w:bidi="ar"/>
        </w:rPr>
        <w:t>指定邮箱：</w:t>
      </w:r>
      <w:r>
        <w:rPr>
          <w:rStyle w:val="32"/>
          <w:rFonts w:hint="eastAsia" w:ascii="仿宋" w:hAnsi="仿宋" w:eastAsia="仿宋" w:cs="仿宋"/>
          <w:kern w:val="2"/>
          <w:sz w:val="32"/>
          <w:szCs w:val="32"/>
          <w:lang w:bidi="ar"/>
        </w:rPr>
        <w:t>szsebond@szse.cn</w:t>
      </w:r>
      <w:r>
        <w:rPr>
          <w:rFonts w:hint="eastAsia" w:ascii="仿宋" w:hAnsi="仿宋" w:eastAsia="仿宋" w:cs="仿宋"/>
          <w:kern w:val="2"/>
          <w:sz w:val="32"/>
          <w:szCs w:val="32"/>
          <w:lang w:val="en-US" w:eastAsia="zh-CN" w:bidi="ar"/>
        </w:rPr>
        <w:t>（公司债）、</w:t>
      </w:r>
      <w:r>
        <w:rPr>
          <w:rFonts w:hint="default" w:ascii="仿宋" w:hAnsi="仿宋" w:eastAsia="仿宋" w:cs="仿宋"/>
          <w:kern w:val="2"/>
          <w:sz w:val="32"/>
          <w:szCs w:val="32"/>
          <w:lang w:val="en-US" w:eastAsia="zh-CN" w:bidi="ar"/>
        </w:rPr>
        <w:t>abs@szse.cn(资产支持证券)</w:t>
      </w:r>
      <w:r>
        <w:rPr>
          <w:rFonts w:hint="eastAsia" w:ascii="仿宋" w:hAnsi="仿宋" w:eastAsia="仿宋" w:cs="仿宋"/>
          <w:kern w:val="2"/>
          <w:sz w:val="32"/>
          <w:szCs w:val="32"/>
          <w:lang w:val="en-US" w:eastAsia="zh-CN" w:bidi="ar"/>
        </w:rPr>
        <w:t>。部分业务在系统未就绪时，本所通过指定邮箱进行受理。本所业务人员将在收到材料后及时办理，若未收到反馈，可致电相关业务办理工作人员。</w:t>
      </w:r>
    </w:p>
    <w:p>
      <w:pPr>
        <w:pStyle w:val="3"/>
        <w:widowControl/>
        <w:adjustRightInd w:val="0"/>
        <w:snapToGrid w:val="0"/>
        <w:spacing w:before="0" w:beforeAutospacing="0" w:after="0" w:afterAutospacing="0" w:line="560" w:lineRule="exact"/>
        <w:ind w:left="0" w:firstLine="640" w:firstLineChars="0"/>
        <w:rPr>
          <w:rFonts w:hint="eastAsia" w:ascii="楷体" w:hAnsi="楷体" w:eastAsia="楷体" w:cs="楷体"/>
          <w:b w:val="0"/>
          <w:bCs/>
          <w:kern w:val="2"/>
          <w:sz w:val="32"/>
          <w:szCs w:val="32"/>
          <w:lang w:eastAsia="zh" w:bidi="ar"/>
        </w:rPr>
      </w:pPr>
      <w:bookmarkStart w:id="92" w:name="_Toc26580"/>
      <w:bookmarkStart w:id="93" w:name="_Toc14109"/>
      <w:bookmarkStart w:id="94" w:name="_Toc27015"/>
      <w:bookmarkStart w:id="95" w:name="_Toc7826"/>
      <w:bookmarkStart w:id="96" w:name="_Toc11066"/>
      <w:bookmarkStart w:id="97" w:name="_Toc857080953"/>
      <w:bookmarkStart w:id="98" w:name="_Toc1665445043"/>
      <w:bookmarkStart w:id="99" w:name="_Toc22346"/>
      <w:bookmarkStart w:id="100" w:name="_Toc9563"/>
      <w:bookmarkStart w:id="101" w:name="_Toc14356"/>
      <w:bookmarkStart w:id="102" w:name="_Toc27231"/>
      <w:r>
        <w:rPr>
          <w:rFonts w:hint="eastAsia" w:ascii="楷体" w:hAnsi="楷体" w:eastAsia="楷体" w:cs="楷体"/>
          <w:b w:val="0"/>
          <w:bCs/>
          <w:kern w:val="2"/>
          <w:sz w:val="32"/>
          <w:szCs w:val="32"/>
          <w:lang w:eastAsia="zh" w:bidi="ar"/>
        </w:rPr>
        <w:t>六、通用质押式回购业务申请</w:t>
      </w:r>
      <w:bookmarkEnd w:id="92"/>
      <w:bookmarkEnd w:id="93"/>
      <w:bookmarkEnd w:id="94"/>
      <w:bookmarkEnd w:id="95"/>
      <w:bookmarkEnd w:id="96"/>
      <w:bookmarkEnd w:id="97"/>
      <w:bookmarkEnd w:id="98"/>
      <w:bookmarkEnd w:id="99"/>
      <w:bookmarkEnd w:id="100"/>
      <w:bookmarkEnd w:id="101"/>
      <w:bookmarkEnd w:id="102"/>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bidi="ar"/>
        </w:rPr>
      </w:pPr>
      <w:r>
        <w:rPr>
          <w:rFonts w:hint="eastAsia" w:ascii="仿宋" w:hAnsi="仿宋" w:eastAsia="仿宋" w:cs="仿宋"/>
          <w:kern w:val="2"/>
          <w:sz w:val="32"/>
          <w:szCs w:val="32"/>
          <w:lang w:val="en-US" w:eastAsia="zh-CN" w:bidi="ar"/>
        </w:rPr>
        <w:t>拟向中国结算深圳分公司申请公司债券上市首日参与通用质押式回购业务的，发行人应委托承销机构对照中国结算《中国证券登记结算有限责任公司债券通用质押式回购担保品资格及折算率管理业务指引》等相关规定，确认相应公司债券是否符合规定的准入条件，并在发行前备案申请环节准确填写发行人最新主体评级、债项评级、评级机构、财务指标及是否含次级条款等基本信息。</w:t>
      </w:r>
    </w:p>
    <w:p>
      <w:pPr>
        <w:adjustRightInd w:val="0"/>
        <w:snapToGrid w:val="0"/>
        <w:spacing w:line="560" w:lineRule="exact"/>
        <w:ind w:firstLine="640" w:firstLineChars="200"/>
        <w:rPr>
          <w:rFonts w:hint="eastAsia" w:ascii="仿宋" w:hAnsi="仿宋" w:eastAsia="仿宋" w:cs="仿宋"/>
          <w:sz w:val="32"/>
          <w:szCs w:val="32"/>
          <w:lang w:eastAsia="zh" w:bidi="ar"/>
        </w:rPr>
      </w:pPr>
    </w:p>
    <w:bookmarkEnd w:id="21"/>
    <w:bookmarkEnd w:id="22"/>
    <w:bookmarkEnd w:id="23"/>
    <w:bookmarkEnd w:id="24"/>
    <w:bookmarkEnd w:id="25"/>
    <w:bookmarkEnd w:id="26"/>
    <w:bookmarkEnd w:id="27"/>
    <w:bookmarkEnd w:id="28"/>
    <w:bookmarkEnd w:id="29"/>
    <w:p>
      <w:pPr>
        <w:keepNext w:val="0"/>
        <w:keepLines w:val="0"/>
        <w:adjustRightInd w:val="0"/>
        <w:snapToGrid w:val="0"/>
        <w:spacing w:before="156" w:beforeLines="50" w:after="156" w:afterLines="50" w:line="240" w:lineRule="auto"/>
        <w:jc w:val="center"/>
        <w:rPr>
          <w:rFonts w:hint="eastAsia" w:ascii="黑体" w:hAnsi="黑体" w:eastAsia="黑体" w:cs="黑体"/>
          <w:sz w:val="32"/>
          <w:szCs w:val="32"/>
        </w:rPr>
      </w:pPr>
      <w:bookmarkStart w:id="103" w:name="_Toc6652"/>
      <w:bookmarkStart w:id="104" w:name="_Toc5474"/>
      <w:bookmarkStart w:id="105" w:name="_Toc1638044932"/>
      <w:bookmarkStart w:id="106" w:name="_Toc1699"/>
      <w:bookmarkStart w:id="107" w:name="_Toc25243"/>
      <w:bookmarkStart w:id="108" w:name="_Toc1201863491"/>
      <w:bookmarkStart w:id="109" w:name="_Toc11859"/>
      <w:bookmarkStart w:id="110" w:name="_Toc8990"/>
      <w:bookmarkStart w:id="111" w:name="_Toc2136"/>
      <w:bookmarkStart w:id="112" w:name="_Toc16656"/>
      <w:bookmarkStart w:id="113" w:name="_Toc17769"/>
      <w:bookmarkStart w:id="114" w:name="_Toc23680"/>
      <w:bookmarkStart w:id="115" w:name="_Toc30506"/>
      <w:bookmarkStart w:id="116" w:name="_Toc25169"/>
      <w:r>
        <w:rPr>
          <w:rFonts w:hint="eastAsia" w:ascii="黑体" w:hAnsi="黑体" w:eastAsia="黑体" w:cs="黑体"/>
          <w:sz w:val="32"/>
          <w:szCs w:val="32"/>
        </w:rPr>
        <w:br w:type="page"/>
      </w:r>
    </w:p>
    <w:p>
      <w:pPr>
        <w:pStyle w:val="2"/>
        <w:keepNext w:val="0"/>
        <w:keepLines w:val="0"/>
        <w:adjustRightInd w:val="0"/>
        <w:snapToGrid w:val="0"/>
        <w:spacing w:before="156" w:beforeLines="50" w:after="156" w:afterLines="50" w:line="240" w:lineRule="auto"/>
        <w:jc w:val="center"/>
        <w:rPr>
          <w:rFonts w:hint="eastAsia" w:ascii="黑体" w:hAnsi="黑体" w:eastAsia="黑体" w:cs="黑体"/>
          <w:sz w:val="32"/>
          <w:szCs w:val="32"/>
        </w:rPr>
      </w:pPr>
      <w:r>
        <w:rPr>
          <w:rFonts w:hint="eastAsia" w:ascii="黑体" w:hAnsi="黑体" w:eastAsia="黑体" w:cs="黑体"/>
          <w:sz w:val="32"/>
          <w:szCs w:val="32"/>
        </w:rPr>
        <w:t>第二章 公司债券（含企业债券）发行业务</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3"/>
        <w:adjustRightInd w:val="0"/>
        <w:snapToGrid w:val="0"/>
        <w:spacing w:before="0" w:after="0" w:line="560" w:lineRule="exact"/>
        <w:ind w:firstLine="640" w:firstLineChars="200"/>
        <w:rPr>
          <w:rFonts w:hint="eastAsia" w:ascii="楷体" w:hAnsi="楷体" w:eastAsia="楷体" w:cs="楷体"/>
          <w:b w:val="0"/>
        </w:rPr>
      </w:pPr>
      <w:bookmarkStart w:id="117" w:name="_Toc6893"/>
      <w:bookmarkStart w:id="118" w:name="_Toc24591"/>
      <w:bookmarkStart w:id="119" w:name="_Toc19555"/>
      <w:bookmarkStart w:id="120" w:name="_Toc18883"/>
      <w:bookmarkStart w:id="121" w:name="_Toc27858"/>
      <w:bookmarkStart w:id="122" w:name="_Toc440"/>
      <w:bookmarkStart w:id="123" w:name="_Toc757943441"/>
      <w:bookmarkStart w:id="124" w:name="_Toc92893934"/>
      <w:bookmarkStart w:id="125" w:name="_Toc3795"/>
      <w:bookmarkStart w:id="126" w:name="_Toc14409"/>
      <w:bookmarkStart w:id="127" w:name="_Toc17721"/>
      <w:bookmarkStart w:id="128" w:name="_Toc10155"/>
      <w:bookmarkStart w:id="129" w:name="_Toc30752"/>
      <w:r>
        <w:rPr>
          <w:rFonts w:hint="eastAsia" w:ascii="楷体" w:hAnsi="楷体" w:eastAsia="楷体" w:cs="楷体"/>
          <w:b w:val="0"/>
        </w:rPr>
        <w:t>一、发行方式</w:t>
      </w:r>
      <w:bookmarkEnd w:id="117"/>
      <w:bookmarkEnd w:id="118"/>
      <w:bookmarkEnd w:id="119"/>
      <w:bookmarkEnd w:id="120"/>
      <w:bookmarkEnd w:id="121"/>
      <w:bookmarkEnd w:id="122"/>
      <w:bookmarkEnd w:id="123"/>
      <w:bookmarkEnd w:id="124"/>
      <w:bookmarkEnd w:id="125"/>
      <w:bookmarkEnd w:id="126"/>
      <w:bookmarkEnd w:id="127"/>
      <w:bookmarkEnd w:id="128"/>
      <w:bookmarkEnd w:id="129"/>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公司债券（含企业债券，下同）的发行方式包括“网下发行”“网上发行+网下发行”两种方式。“网下发行”方式是指通过簿记建档或者协议认购</w:t>
      </w:r>
      <w:r>
        <w:rPr>
          <w:rFonts w:hint="eastAsia" w:ascii="仿宋" w:hAnsi="仿宋" w:eastAsia="仿宋" w:cs="仿宋"/>
          <w:sz w:val="32"/>
          <w:szCs w:val="32"/>
          <w:lang w:eastAsia="zh-CN" w:bidi="ar"/>
        </w:rPr>
        <w:t>等</w:t>
      </w:r>
      <w:r>
        <w:rPr>
          <w:rFonts w:hint="eastAsia" w:ascii="仿宋" w:hAnsi="仿宋" w:eastAsia="仿宋" w:cs="仿宋"/>
          <w:sz w:val="32"/>
          <w:szCs w:val="32"/>
          <w:lang w:bidi="ar"/>
        </w:rPr>
        <w:t>方式向专业投资者销售。“网上发行+网下发行”方式目前仅适用于公开发行的公司债券（向普通投资者公开发行的公司债券必选，向专业投资者公开发行的公司债券可选），网上发行是指以确定的发行利率或利率区间通过交易系统以场内挂牌的方式向普通投资者或专业投资者公开销售。</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参与公司债券认购的投资者，应当符合本所债券市场投资者适当性管理规定。</w:t>
      </w:r>
    </w:p>
    <w:p>
      <w:pPr>
        <w:pStyle w:val="3"/>
        <w:widowControl/>
        <w:adjustRightInd w:val="0"/>
        <w:snapToGrid w:val="0"/>
        <w:spacing w:before="0" w:after="0" w:line="560" w:lineRule="exact"/>
        <w:ind w:firstLine="640" w:firstLineChars="200"/>
        <w:rPr>
          <w:rFonts w:hint="eastAsia" w:ascii="楷体" w:hAnsi="楷体" w:eastAsia="楷体" w:cs="楷体"/>
          <w:b w:val="0"/>
        </w:rPr>
      </w:pPr>
      <w:bookmarkStart w:id="130" w:name="_Toc20"/>
      <w:bookmarkStart w:id="131" w:name="_Toc7814"/>
      <w:bookmarkStart w:id="132" w:name="_Toc19784"/>
      <w:bookmarkStart w:id="133" w:name="_Toc2093566859"/>
      <w:bookmarkStart w:id="134" w:name="_Toc28056"/>
      <w:bookmarkStart w:id="135" w:name="_Toc18475"/>
      <w:bookmarkStart w:id="136" w:name="_Toc146734258"/>
      <w:bookmarkStart w:id="137" w:name="_Toc21233"/>
      <w:bookmarkStart w:id="138" w:name="_Toc12588"/>
      <w:bookmarkStart w:id="139" w:name="_Toc15407"/>
      <w:bookmarkStart w:id="140" w:name="_Toc2147092167"/>
      <w:bookmarkStart w:id="141" w:name="_Toc1374"/>
      <w:bookmarkStart w:id="142" w:name="_Toc6576"/>
      <w:bookmarkStart w:id="143" w:name="_Toc2798"/>
      <w:r>
        <w:rPr>
          <w:rFonts w:hint="eastAsia" w:ascii="楷体" w:hAnsi="楷体" w:eastAsia="楷体" w:cs="楷体"/>
          <w:b w:val="0"/>
        </w:rPr>
        <w:t>二、网下发行流程</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pStyle w:val="4"/>
        <w:keepNext w:val="0"/>
        <w:keepLines w:val="0"/>
        <w:adjustRightInd w:val="0"/>
        <w:snapToGrid w:val="0"/>
        <w:spacing w:before="0" w:after="0" w:line="560" w:lineRule="exact"/>
        <w:ind w:firstLine="640" w:firstLineChars="200"/>
        <w:rPr>
          <w:rFonts w:hint="eastAsia" w:ascii="仿宋" w:hAnsi="仿宋" w:eastAsia="仿宋" w:cs="仿宋"/>
          <w:b w:val="0"/>
          <w:bCs w:val="0"/>
        </w:rPr>
      </w:pPr>
      <w:bookmarkStart w:id="144" w:name="_Toc17321"/>
      <w:r>
        <w:rPr>
          <w:rFonts w:hint="eastAsia" w:ascii="仿宋" w:hAnsi="仿宋" w:eastAsia="仿宋" w:cs="仿宋"/>
          <w:b w:val="0"/>
          <w:bCs w:val="0"/>
          <w:lang w:bidi="ar"/>
        </w:rPr>
        <w:t>（一）发行备案</w:t>
      </w:r>
      <w:bookmarkEnd w:id="144"/>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1.提交时间</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仿宋"/>
          <w:kern w:val="2"/>
          <w:sz w:val="32"/>
          <w:szCs w:val="32"/>
          <w:lang w:bidi="ar"/>
        </w:rPr>
      </w:pPr>
      <w:r>
        <w:rPr>
          <w:rFonts w:hint="eastAsia" w:ascii="仿宋" w:hAnsi="仿宋" w:eastAsia="仿宋" w:cs="仿宋"/>
          <w:sz w:val="32"/>
          <w:szCs w:val="32"/>
          <w:lang w:bidi="ar"/>
        </w:rPr>
        <w:t>主承销商通过固收专区提交发行备案文件的最晚时间为发行文件公告日前2个交易日早8:00，知名成熟发行人发行公司债券并将募集资金用于固定资产投资项目的，备案文件提交时间原则上不晚于发行文件公告日前10个交易日。</w:t>
      </w:r>
      <w:r>
        <w:rPr>
          <w:rFonts w:hint="eastAsia" w:ascii="仿宋" w:hAnsi="仿宋" w:eastAsia="仿宋" w:cs="仿宋"/>
          <w:kern w:val="2"/>
          <w:sz w:val="32"/>
          <w:szCs w:val="32"/>
          <w:lang w:val="en-US" w:eastAsia="zh-CN" w:bidi="ar"/>
        </w:rPr>
        <w:t>发行备案通过后20个交易日内未启动发行并披露发行公告文件的，发行人、主承销商应当重新申请发行备案。</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2.提交路径</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发行申请应在固收专区选择</w:t>
      </w:r>
      <w:r>
        <w:rPr>
          <w:rFonts w:hint="eastAsia" w:ascii="仿宋" w:hAnsi="仿宋" w:eastAsia="仿宋" w:cs="仿宋"/>
          <w:sz w:val="32"/>
          <w:szCs w:val="32"/>
          <w:lang w:eastAsia="zh" w:bidi="ar"/>
        </w:rPr>
        <w:t>发行上市</w:t>
      </w:r>
      <w:r>
        <w:rPr>
          <w:rFonts w:hint="eastAsia" w:ascii="仿宋" w:hAnsi="仿宋" w:eastAsia="仿宋" w:cs="仿宋"/>
          <w:sz w:val="32"/>
          <w:szCs w:val="32"/>
          <w:lang w:bidi="ar"/>
        </w:rPr>
        <w:t>栏目下</w:t>
      </w:r>
      <w:r>
        <w:rPr>
          <w:rFonts w:hint="eastAsia" w:ascii="仿宋" w:hAnsi="仿宋" w:eastAsia="仿宋" w:cs="仿宋"/>
          <w:sz w:val="32"/>
          <w:szCs w:val="32"/>
          <w:lang w:eastAsia="zh" w:bidi="ar"/>
        </w:rPr>
        <w:t>办理</w:t>
      </w:r>
      <w:r>
        <w:rPr>
          <w:rFonts w:hint="eastAsia" w:ascii="仿宋" w:hAnsi="仿宋" w:eastAsia="仿宋" w:cs="仿宋"/>
          <w:sz w:val="32"/>
          <w:szCs w:val="32"/>
          <w:lang w:bidi="ar"/>
        </w:rPr>
        <w:t>，该栏目分为</w:t>
      </w:r>
      <w:r>
        <w:rPr>
          <w:rFonts w:hint="eastAsia" w:ascii="仿宋" w:hAnsi="仿宋" w:eastAsia="仿宋" w:cs="仿宋"/>
          <w:sz w:val="32"/>
          <w:szCs w:val="32"/>
          <w:lang w:eastAsia="zh" w:bidi="ar"/>
        </w:rPr>
        <w:t>新增公开发行公司债券申请、新增非公开发行债券申请、新增资产支持型证券申请、新增利率债申请</w:t>
      </w:r>
      <w:r>
        <w:rPr>
          <w:rFonts w:hint="eastAsia" w:ascii="仿宋" w:hAnsi="仿宋" w:eastAsia="仿宋" w:cs="仿宋"/>
          <w:sz w:val="32"/>
          <w:szCs w:val="32"/>
          <w:lang w:bidi="ar"/>
        </w:rPr>
        <w:t>，请根据具体品种提交相应材料。主承销商应在相关页面填写</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（短）、申请经办人及联系方式、全部主承销商名称</w:t>
      </w:r>
      <w:r>
        <w:rPr>
          <w:rFonts w:hint="eastAsia" w:ascii="仿宋" w:hAnsi="仿宋" w:eastAsia="仿宋" w:cs="仿宋"/>
          <w:sz w:val="32"/>
          <w:szCs w:val="32"/>
          <w:lang w:eastAsia="zh-CN" w:bidi="ar"/>
        </w:rPr>
        <w:t>、主承销商</w:t>
      </w:r>
      <w:r>
        <w:rPr>
          <w:rFonts w:hint="eastAsia" w:ascii="仿宋" w:hAnsi="仿宋" w:eastAsia="仿宋" w:cs="仿宋"/>
          <w:sz w:val="32"/>
          <w:szCs w:val="32"/>
          <w:lang w:bidi="ar"/>
        </w:rPr>
        <w:t>联系人</w:t>
      </w:r>
      <w:r>
        <w:rPr>
          <w:rFonts w:hint="eastAsia" w:ascii="仿宋" w:hAnsi="仿宋" w:eastAsia="仿宋" w:cs="仿宋"/>
          <w:sz w:val="32"/>
          <w:szCs w:val="32"/>
          <w:lang w:eastAsia="zh-CN" w:bidi="ar"/>
        </w:rPr>
        <w:t>和</w:t>
      </w:r>
      <w:r>
        <w:rPr>
          <w:rFonts w:hint="eastAsia" w:ascii="仿宋" w:hAnsi="仿宋" w:eastAsia="仿宋" w:cs="仿宋"/>
          <w:sz w:val="32"/>
          <w:szCs w:val="32"/>
          <w:lang w:bidi="ar"/>
        </w:rPr>
        <w:t>债券相关基础信息。</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3.</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要求</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最长为30个字符，</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（短）最长为8个字符，两简称可以相同。</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可使用“年份后两位+发行人缩写+序号”格式。对于特殊品种建议在</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w:t>
      </w:r>
      <w:r>
        <w:rPr>
          <w:rFonts w:hint="eastAsia" w:ascii="仿宋" w:hAnsi="仿宋" w:eastAsia="仿宋" w:cs="仿宋"/>
          <w:sz w:val="32"/>
          <w:szCs w:val="32"/>
          <w:lang w:eastAsia="zh-CN" w:bidi="ar"/>
        </w:rPr>
        <w:t>证券简称</w:t>
      </w:r>
      <w:r>
        <w:rPr>
          <w:rFonts w:hint="eastAsia" w:ascii="仿宋" w:hAnsi="仿宋" w:eastAsia="仿宋" w:cs="仿宋"/>
          <w:sz w:val="32"/>
          <w:szCs w:val="32"/>
          <w:lang w:bidi="ar"/>
        </w:rPr>
        <w:t>（短）中预留字符作为区分，例如可交债使用“E”，可续期使用“Y”，绿色债使用“G”，</w:t>
      </w:r>
      <w:r>
        <w:rPr>
          <w:rFonts w:hint="eastAsia" w:ascii="仿宋" w:hAnsi="仿宋" w:eastAsia="仿宋" w:cs="仿宋"/>
          <w:sz w:val="32"/>
          <w:szCs w:val="32"/>
          <w:lang w:eastAsia="zh" w:bidi="ar"/>
        </w:rPr>
        <w:t>低碳转型债使用“GT”，碳中和债使用“GC”，</w:t>
      </w:r>
      <w:r>
        <w:rPr>
          <w:rFonts w:hint="eastAsia" w:ascii="仿宋" w:hAnsi="仿宋" w:eastAsia="仿宋" w:cs="仿宋"/>
          <w:sz w:val="32"/>
          <w:szCs w:val="32"/>
          <w:lang w:bidi="ar"/>
        </w:rPr>
        <w:t>短债使用“D”</w:t>
      </w:r>
      <w:r>
        <w:rPr>
          <w:rFonts w:hint="eastAsia" w:ascii="仿宋" w:hAnsi="仿宋" w:eastAsia="仿宋" w:cs="仿宋"/>
          <w:sz w:val="32"/>
          <w:szCs w:val="32"/>
          <w:lang w:eastAsia="zh" w:bidi="ar"/>
        </w:rPr>
        <w:t>，科创债使用“K”</w:t>
      </w:r>
      <w:r>
        <w:rPr>
          <w:rFonts w:hint="eastAsia" w:ascii="仿宋" w:hAnsi="仿宋" w:eastAsia="仿宋" w:cs="仿宋"/>
          <w:sz w:val="32"/>
          <w:szCs w:val="32"/>
          <w:lang w:bidi="ar"/>
        </w:rPr>
        <w:t>等。</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4.公司债券发行备案材料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（1）公募公司债券（含企业债券）</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①应提交的必备材料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《募集说明书》（建议参考《深圳证券交易所公司债券发行上市审核业务指南第1号——募集说明书(参考文本）（202</w:t>
      </w:r>
      <w:r>
        <w:rPr>
          <w:rFonts w:hint="eastAsia" w:ascii="仿宋" w:hAnsi="仿宋" w:eastAsia="仿宋" w:cs="仿宋"/>
          <w:sz w:val="32"/>
          <w:szCs w:val="32"/>
          <w:lang w:eastAsia="zh" w:bidi="ar"/>
        </w:rPr>
        <w:t>4</w:t>
      </w:r>
      <w:r>
        <w:rPr>
          <w:rFonts w:hint="eastAsia" w:ascii="仿宋" w:hAnsi="仿宋" w:eastAsia="仿宋" w:cs="仿宋"/>
          <w:sz w:val="32"/>
          <w:szCs w:val="32"/>
          <w:lang w:bidi="ar"/>
        </w:rPr>
        <w:t>年修订）》编制，提交pdf和word两个版本）</w:t>
      </w:r>
    </w:p>
    <w:p>
      <w:pPr>
        <w:adjustRightInd w:val="0"/>
        <w:snapToGrid w:val="0"/>
        <w:spacing w:line="560" w:lineRule="exact"/>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bidi="ar"/>
        </w:rPr>
        <w:t>《发行公告》</w:t>
      </w:r>
      <w:r>
        <w:rPr>
          <w:rFonts w:hint="eastAsia" w:ascii="仿宋" w:hAnsi="仿宋" w:eastAsia="仿宋" w:cs="仿宋"/>
          <w:sz w:val="32"/>
          <w:szCs w:val="32"/>
          <w:lang w:eastAsia="zh-CN" w:bidi="ar"/>
        </w:rPr>
        <w:t>（附件</w:t>
      </w:r>
      <w:r>
        <w:rPr>
          <w:rFonts w:hint="eastAsia" w:ascii="仿宋" w:hAnsi="仿宋" w:eastAsia="仿宋" w:cs="仿宋"/>
          <w:sz w:val="32"/>
          <w:szCs w:val="32"/>
          <w:lang w:val="en-US" w:eastAsia="zh-CN" w:bidi="ar"/>
        </w:rPr>
        <w:t>1</w:t>
      </w:r>
      <w:r>
        <w:rPr>
          <w:rFonts w:hint="eastAsia" w:ascii="仿宋" w:hAnsi="仿宋" w:eastAsia="仿宋" w:cs="仿宋"/>
          <w:sz w:val="32"/>
          <w:szCs w:val="32"/>
          <w:lang w:eastAsia="zh-CN"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《期后重大事项说明》（附件</w:t>
      </w:r>
      <w:r>
        <w:rPr>
          <w:rFonts w:hint="eastAsia" w:ascii="仿宋" w:hAnsi="仿宋" w:eastAsia="仿宋" w:cs="仿宋"/>
          <w:sz w:val="32"/>
          <w:szCs w:val="32"/>
          <w:lang w:val="en-US" w:eastAsia="zh-CN" w:bidi="ar"/>
        </w:rPr>
        <w:t>3</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《深圳证券交易所公司债券上市（挂牌）协议》（附件</w:t>
      </w: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②出现相较审核阶段存在更新等情形时可选择提交的材料以及其他非必备材料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《募集说明书摘要》</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《评级报告》</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《担保文件》（如期后新增担保措施，包括但不限于担保函、担保协议、担保品评估报告及担保人资信情况说明）</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《财务报告延期申请》</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《有权机构决议文件》（如有更新）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《审计报告》（如有更新，本所上市公司豁免）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《受托管理协议》（如有更新）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《持有人会议规则》（如有更新）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《更名公告》（如需更名）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《公司章程》（如有更新，本所上市公司豁免）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③可交债必备材料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可交债标的股票质押登记证明或《用于交换的股票信托及担保账户证券持有信息表》</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sz w:val="32"/>
          <w:szCs w:val="32"/>
          <w:lang w:eastAsia="zh" w:bidi="ar"/>
        </w:rPr>
        <w:t>《可交换公司债券发行人及主承销商承诺书》</w:t>
      </w:r>
    </w:p>
    <w:p>
      <w:pPr>
        <w:adjustRightInd w:val="0"/>
        <w:snapToGrid w:val="0"/>
        <w:spacing w:line="560" w:lineRule="exact"/>
        <w:ind w:firstLine="640" w:firstLineChars="200"/>
        <w:rPr>
          <w:rFonts w:hint="eastAsia" w:ascii="仿宋" w:hAnsi="仿宋" w:eastAsia="仿宋" w:cs="仿宋"/>
          <w:kern w:val="2"/>
          <w:sz w:val="32"/>
          <w:szCs w:val="32"/>
          <w:lang w:bidi="ar"/>
        </w:rPr>
      </w:pPr>
      <w:r>
        <w:rPr>
          <w:rFonts w:hint="eastAsia" w:ascii="仿宋" w:hAnsi="仿宋" w:eastAsia="仿宋" w:cs="仿宋"/>
          <w:sz w:val="32"/>
          <w:szCs w:val="32"/>
          <w:lang w:bidi="ar"/>
        </w:rPr>
        <w:t>④</w:t>
      </w:r>
      <w:r>
        <w:rPr>
          <w:rFonts w:hint="eastAsia" w:ascii="仿宋" w:hAnsi="仿宋" w:eastAsia="仿宋" w:cs="仿宋"/>
          <w:kern w:val="2"/>
          <w:sz w:val="32"/>
          <w:szCs w:val="32"/>
          <w:lang w:bidi="ar"/>
        </w:rPr>
        <w:t>过渡期结束前已取得注册批文、尚未发行的企业债券必备材料</w:t>
      </w:r>
    </w:p>
    <w:p>
      <w:pPr>
        <w:adjustRightInd w:val="0"/>
        <w:snapToGrid w:val="0"/>
        <w:spacing w:line="560" w:lineRule="exact"/>
        <w:ind w:firstLine="640" w:firstLineChars="200"/>
        <w:rPr>
          <w:rFonts w:hint="eastAsia" w:ascii="仿宋" w:hAnsi="仿宋" w:eastAsia="仿宋" w:cs="仿宋"/>
          <w:kern w:val="2"/>
          <w:sz w:val="32"/>
          <w:szCs w:val="32"/>
          <w:lang w:bidi="ar"/>
        </w:rPr>
      </w:pPr>
      <w:r>
        <w:rPr>
          <w:rFonts w:hint="eastAsia" w:ascii="仿宋" w:hAnsi="仿宋" w:eastAsia="仿宋" w:cs="仿宋"/>
          <w:kern w:val="2"/>
          <w:sz w:val="32"/>
          <w:szCs w:val="32"/>
          <w:lang w:bidi="ar"/>
        </w:rPr>
        <w:t>《中国证监会或者其他有权机关同意注册的文件》</w:t>
      </w:r>
    </w:p>
    <w:p>
      <w:pPr>
        <w:adjustRightInd w:val="0"/>
        <w:snapToGrid w:val="0"/>
        <w:spacing w:line="560" w:lineRule="exact"/>
        <w:ind w:firstLine="640" w:firstLineChars="200"/>
        <w:rPr>
          <w:rFonts w:hint="eastAsia" w:ascii="仿宋" w:hAnsi="仿宋" w:eastAsia="仿宋" w:cs="仿宋"/>
          <w:kern w:val="2"/>
          <w:sz w:val="32"/>
          <w:szCs w:val="32"/>
          <w:lang w:bidi="ar"/>
        </w:rPr>
      </w:pPr>
      <w:r>
        <w:rPr>
          <w:rFonts w:hint="eastAsia" w:ascii="仿宋" w:hAnsi="仿宋" w:eastAsia="仿宋" w:cs="仿宋"/>
          <w:kern w:val="2"/>
          <w:sz w:val="32"/>
          <w:szCs w:val="32"/>
          <w:lang w:bidi="ar"/>
        </w:rPr>
        <w:t>《法律意见书》</w:t>
      </w:r>
    </w:p>
    <w:p>
      <w:pPr>
        <w:adjustRightInd w:val="0"/>
        <w:snapToGrid w:val="0"/>
        <w:spacing w:line="560" w:lineRule="exact"/>
        <w:ind w:firstLine="640" w:firstLineChars="200"/>
        <w:rPr>
          <w:rFonts w:hint="eastAsia" w:ascii="仿宋" w:hAnsi="仿宋" w:eastAsia="仿宋" w:cs="仿宋"/>
          <w:kern w:val="2"/>
          <w:sz w:val="32"/>
          <w:szCs w:val="32"/>
          <w:lang w:bidi="ar"/>
        </w:rPr>
      </w:pPr>
      <w:r>
        <w:rPr>
          <w:rFonts w:hint="eastAsia" w:ascii="仿宋" w:hAnsi="仿宋" w:eastAsia="仿宋" w:cs="仿宋"/>
          <w:kern w:val="2"/>
          <w:sz w:val="32"/>
          <w:szCs w:val="32"/>
          <w:lang w:bidi="ar"/>
        </w:rPr>
        <w:t>《信用评级报告》</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（2）私募公司债券</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①应提交的必备材料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《募集说明书》（建议参考《深圳证券交易所公司债券发行上市审核业务指南第1号——募集说明书(参考文本）（202</w:t>
      </w:r>
      <w:r>
        <w:rPr>
          <w:rFonts w:hint="eastAsia" w:ascii="仿宋" w:hAnsi="仿宋" w:eastAsia="仿宋" w:cs="仿宋"/>
          <w:sz w:val="32"/>
          <w:szCs w:val="32"/>
          <w:lang w:eastAsia="zh" w:bidi="ar"/>
        </w:rPr>
        <w:t>4</w:t>
      </w:r>
      <w:r>
        <w:rPr>
          <w:rFonts w:hint="eastAsia" w:ascii="仿宋" w:hAnsi="仿宋" w:eastAsia="仿宋" w:cs="仿宋"/>
          <w:sz w:val="32"/>
          <w:szCs w:val="32"/>
          <w:lang w:bidi="ar"/>
        </w:rPr>
        <w:t>年修订）》编制，提交pdf和word两个版本）</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《发行公告》</w:t>
      </w:r>
      <w:r>
        <w:rPr>
          <w:rFonts w:hint="eastAsia" w:ascii="仿宋" w:hAnsi="仿宋" w:eastAsia="仿宋" w:cs="仿宋"/>
          <w:sz w:val="32"/>
          <w:szCs w:val="32"/>
          <w:lang w:eastAsia="zh-CN" w:bidi="ar"/>
        </w:rPr>
        <w:t>（附件</w:t>
      </w:r>
      <w:r>
        <w:rPr>
          <w:rFonts w:hint="eastAsia" w:ascii="仿宋" w:hAnsi="仿宋" w:eastAsia="仿宋" w:cs="仿宋"/>
          <w:sz w:val="32"/>
          <w:szCs w:val="32"/>
          <w:lang w:val="en-US" w:eastAsia="zh-CN" w:bidi="ar"/>
        </w:rPr>
        <w:t>2</w:t>
      </w:r>
      <w:r>
        <w:rPr>
          <w:rFonts w:hint="eastAsia" w:ascii="仿宋" w:hAnsi="仿宋" w:eastAsia="仿宋" w:cs="仿宋"/>
          <w:sz w:val="32"/>
          <w:szCs w:val="32"/>
          <w:lang w:eastAsia="zh-CN"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《债券转让服务申请书暨转让条件确认后是否发生重大事项变化的说明》（附件</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《承销机构关于债券是否符合转让条件的说明》（附件</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《深圳证券交易所公司债券上市（挂牌）协议》（附件</w:t>
      </w: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②出现相较审核阶段存在更新等情形时可选择提交的材料以及其他非必备材料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《募集说明书摘要》</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《评级报告》</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《担保文件》（如期后新增担保措施，包括但不限于担保函、担保协议、担保品评估报告及担保人资信情况说明）</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《财务报告延期申请》</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《有权机构决议文件》（如有更新）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《审计报告》（如有更新，本所上市公司豁免）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《受托管理协议》（如有更新）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《持有人会议规则》（如有更新）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《更名公告》（如需更名）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《公司章程》（如有更新，本所上市公司豁免）</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③可交债必备材料</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可交债标的股票质押登记证明或《用于交换的股票信托及担保账户证券持有信息表》</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eastAsia="zh" w:bidi="ar"/>
        </w:rPr>
        <w:t>《可交换公司债券发行人及主承销商承诺书》</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5.备案</w:t>
      </w:r>
      <w:r>
        <w:rPr>
          <w:rFonts w:hint="eastAsia" w:ascii="仿宋" w:hAnsi="仿宋" w:eastAsia="仿宋" w:cs="仿宋"/>
          <w:sz w:val="32"/>
          <w:szCs w:val="32"/>
          <w:lang w:eastAsia="zh" w:bidi="ar"/>
        </w:rPr>
        <w:t>申请的受理、反馈和债券代码分配</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仿宋"/>
          <w:kern w:val="2"/>
          <w:sz w:val="32"/>
          <w:szCs w:val="32"/>
          <w:lang w:bidi="ar"/>
        </w:rPr>
      </w:pPr>
      <w:r>
        <w:rPr>
          <w:rFonts w:hint="eastAsia" w:ascii="仿宋" w:hAnsi="仿宋" w:eastAsia="仿宋" w:cs="仿宋"/>
          <w:kern w:val="2"/>
          <w:sz w:val="32"/>
          <w:szCs w:val="32"/>
          <w:lang w:val="en-US" w:eastAsia="zh-CN" w:bidi="ar"/>
        </w:rPr>
        <w:t>发行人、主承销商于交易日17点前提交的发行备案文件，本所收到后原则上不晚于后1个交易日中午12点前完成受理，并于收到发行备案文件后2个交易日内对文件进行核对并反馈备案意见。</w:t>
      </w:r>
      <w:r>
        <w:rPr>
          <w:rFonts w:hint="eastAsia" w:ascii="仿宋" w:hAnsi="仿宋" w:eastAsia="仿宋" w:cs="仿宋"/>
          <w:bCs w:val="0"/>
          <w:kern w:val="2"/>
          <w:sz w:val="32"/>
          <w:szCs w:val="32"/>
          <w:lang w:val="en-US" w:eastAsia="zh-CN" w:bidi="ar"/>
        </w:rPr>
        <w:t>知名成熟发行人发行公司债券并将募集资金用于固定资产投资项目的</w:t>
      </w:r>
      <w:r>
        <w:rPr>
          <w:rFonts w:hint="eastAsia" w:ascii="仿宋" w:hAnsi="仿宋" w:eastAsia="仿宋" w:cs="仿宋"/>
          <w:kern w:val="2"/>
          <w:sz w:val="32"/>
          <w:szCs w:val="32"/>
          <w:lang w:val="en-US" w:eastAsia="zh-CN" w:bidi="ar"/>
        </w:rPr>
        <w:t>，本所收到发行备案文件后10个交易日内对文件进行核对并反馈备案意见。</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kern w:val="2"/>
          <w:sz w:val="32"/>
          <w:szCs w:val="32"/>
          <w:lang w:val="en-US" w:eastAsia="zh-CN" w:bidi="ar"/>
        </w:rPr>
        <w:t>如有处理意见，本所将通过固收专区</w:t>
      </w:r>
      <w:r>
        <w:rPr>
          <w:rFonts w:hint="eastAsia" w:ascii="仿宋" w:hAnsi="仿宋" w:eastAsia="仿宋" w:cs="仿宋"/>
          <w:kern w:val="2"/>
          <w:sz w:val="32"/>
          <w:szCs w:val="32"/>
          <w:lang w:val="en-US" w:eastAsia="zh" w:bidi="ar"/>
        </w:rPr>
        <w:t>或电话</w:t>
      </w:r>
      <w:r>
        <w:rPr>
          <w:rFonts w:hint="eastAsia" w:ascii="仿宋" w:hAnsi="仿宋" w:eastAsia="仿宋" w:cs="仿宋"/>
          <w:kern w:val="2"/>
          <w:sz w:val="32"/>
          <w:szCs w:val="32"/>
          <w:lang w:val="en-US" w:eastAsia="zh-CN" w:bidi="ar"/>
        </w:rPr>
        <w:t>反馈。发行人和主承销商收到反馈意见的，应当及时修改发行备案材料并重新提交，再次提交后本所处理流程如前述。</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备案通过后，本所将为相关债券分派代码，系统将向申请经办人发送短信，请注意查收短信通知。</w:t>
      </w:r>
    </w:p>
    <w:p>
      <w:pPr>
        <w:pStyle w:val="4"/>
        <w:keepNext w:val="0"/>
        <w:keepLines w:val="0"/>
        <w:adjustRightInd w:val="0"/>
        <w:snapToGrid w:val="0"/>
        <w:spacing w:before="0" w:after="0" w:line="560" w:lineRule="exact"/>
        <w:ind w:firstLine="640" w:firstLineChars="200"/>
        <w:rPr>
          <w:rFonts w:hint="eastAsia" w:ascii="仿宋" w:hAnsi="仿宋" w:eastAsia="仿宋" w:cs="仿宋"/>
          <w:b w:val="0"/>
          <w:bCs w:val="0"/>
        </w:rPr>
      </w:pPr>
      <w:bookmarkStart w:id="145" w:name="_Toc16072"/>
      <w:r>
        <w:rPr>
          <w:rFonts w:hint="eastAsia" w:ascii="仿宋" w:hAnsi="仿宋" w:eastAsia="仿宋" w:cs="仿宋"/>
          <w:b w:val="0"/>
          <w:bCs w:val="0"/>
          <w:lang w:bidi="ar"/>
        </w:rPr>
        <w:t>（二）披露发行公告文件</w:t>
      </w:r>
      <w:bookmarkEnd w:id="145"/>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1.披露时间</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sz w:val="32"/>
          <w:szCs w:val="32"/>
          <w:lang w:bidi="ar"/>
        </w:rPr>
        <w:t>发行备案通过后，发行公告文件应当在簿记建档</w:t>
      </w:r>
      <w:r>
        <w:rPr>
          <w:rFonts w:hint="eastAsia" w:ascii="仿宋" w:hAnsi="仿宋" w:eastAsia="仿宋" w:cs="仿宋"/>
          <w:sz w:val="32"/>
          <w:szCs w:val="32"/>
          <w:lang w:eastAsia="zh" w:bidi="ar"/>
        </w:rPr>
        <w:t>日或协议发行日</w:t>
      </w:r>
      <w:r>
        <w:rPr>
          <w:rFonts w:hint="eastAsia" w:ascii="仿宋" w:hAnsi="仿宋" w:eastAsia="仿宋" w:cs="仿宋"/>
          <w:sz w:val="32"/>
          <w:szCs w:val="32"/>
          <w:lang w:bidi="ar"/>
        </w:rPr>
        <w:t>前1至5个交易日内披露。发行公告文件披露最晚日期为备案通过后的第20个交易日，如在此日期前未披露的，原代码将收回，请重新提交备案。</w:t>
      </w:r>
      <w:r>
        <w:rPr>
          <w:rFonts w:hint="eastAsia" w:ascii="仿宋" w:hAnsi="仿宋" w:eastAsia="仿宋" w:cs="仿宋"/>
          <w:kern w:val="2"/>
          <w:sz w:val="32"/>
          <w:szCs w:val="32"/>
          <w:lang w:val="en-US" w:eastAsia="zh-CN" w:bidi="ar"/>
        </w:rPr>
        <w:t>可交债发行公告文件应在备案通过后1个交易日内披露。</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发行前如发生影响发行条件、投资者决策等重大事项的，发行人及承销机构应当及时向本所报告。</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2.提交发行公告文件信息披露申请路径</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公募债券应通过固收专区-</w:t>
      </w:r>
      <w:r>
        <w:rPr>
          <w:rFonts w:hint="eastAsia" w:ascii="仿宋" w:hAnsi="仿宋" w:eastAsia="仿宋" w:cs="仿宋"/>
          <w:sz w:val="32"/>
          <w:szCs w:val="32"/>
          <w:lang w:eastAsia="zh" w:bidi="ar"/>
        </w:rPr>
        <w:t>发行上市-新增</w:t>
      </w:r>
      <w:r>
        <w:rPr>
          <w:rFonts w:hint="eastAsia" w:ascii="仿宋" w:hAnsi="仿宋" w:eastAsia="仿宋" w:cs="仿宋"/>
          <w:sz w:val="32"/>
          <w:szCs w:val="32"/>
          <w:lang w:bidi="ar"/>
        </w:rPr>
        <w:t>公开发行债券</w:t>
      </w:r>
      <w:r>
        <w:rPr>
          <w:rFonts w:hint="eastAsia" w:ascii="仿宋" w:hAnsi="仿宋" w:eastAsia="仿宋" w:cs="仿宋"/>
          <w:sz w:val="32"/>
          <w:szCs w:val="32"/>
          <w:lang w:eastAsia="zh" w:bidi="ar"/>
        </w:rPr>
        <w:t>申请</w:t>
      </w:r>
      <w:r>
        <w:rPr>
          <w:rFonts w:hint="eastAsia" w:ascii="仿宋" w:hAnsi="仿宋" w:eastAsia="仿宋" w:cs="仿宋"/>
          <w:sz w:val="32"/>
          <w:szCs w:val="32"/>
          <w:lang w:bidi="ar"/>
        </w:rPr>
        <w:t>-信</w:t>
      </w:r>
      <w:r>
        <w:rPr>
          <w:rFonts w:hint="eastAsia" w:ascii="仿宋" w:hAnsi="仿宋" w:eastAsia="仿宋" w:cs="仿宋"/>
          <w:sz w:val="32"/>
          <w:szCs w:val="32"/>
          <w:lang w:eastAsia="zh" w:bidi="ar"/>
        </w:rPr>
        <w:t>息</w:t>
      </w:r>
      <w:r>
        <w:rPr>
          <w:rFonts w:hint="eastAsia" w:ascii="仿宋" w:hAnsi="仿宋" w:eastAsia="仿宋" w:cs="仿宋"/>
          <w:sz w:val="32"/>
          <w:szCs w:val="32"/>
          <w:lang w:bidi="ar"/>
        </w:rPr>
        <w:t>披露申请提交</w:t>
      </w:r>
      <w:r>
        <w:rPr>
          <w:rFonts w:hint="eastAsia" w:ascii="仿宋" w:hAnsi="仿宋" w:eastAsia="仿宋" w:cs="仿宋"/>
          <w:sz w:val="32"/>
          <w:szCs w:val="32"/>
          <w:lang w:eastAsia="zh" w:bidi="ar"/>
        </w:rPr>
        <w:t>公告文件</w:t>
      </w:r>
      <w:r>
        <w:rPr>
          <w:rFonts w:hint="eastAsia" w:ascii="仿宋" w:hAnsi="仿宋" w:eastAsia="仿宋" w:cs="仿宋"/>
          <w:sz w:val="32"/>
          <w:szCs w:val="32"/>
          <w:lang w:bidi="ar"/>
        </w:rPr>
        <w:t>；私募债券应通过固收专区-</w:t>
      </w:r>
      <w:r>
        <w:rPr>
          <w:rFonts w:hint="eastAsia" w:ascii="仿宋" w:hAnsi="仿宋" w:eastAsia="仿宋" w:cs="仿宋"/>
          <w:sz w:val="32"/>
          <w:szCs w:val="32"/>
          <w:lang w:eastAsia="zh" w:bidi="ar"/>
        </w:rPr>
        <w:t>发行上市-新增</w:t>
      </w:r>
      <w:r>
        <w:rPr>
          <w:rFonts w:hint="eastAsia" w:ascii="仿宋" w:hAnsi="仿宋" w:eastAsia="仿宋" w:cs="仿宋"/>
          <w:sz w:val="32"/>
          <w:szCs w:val="32"/>
          <w:lang w:bidi="ar"/>
        </w:rPr>
        <w:t>非公开发行债券</w:t>
      </w:r>
      <w:r>
        <w:rPr>
          <w:rFonts w:hint="eastAsia" w:ascii="仿宋" w:hAnsi="仿宋" w:eastAsia="仿宋" w:cs="仿宋"/>
          <w:sz w:val="32"/>
          <w:szCs w:val="32"/>
          <w:lang w:eastAsia="zh" w:bidi="ar"/>
        </w:rPr>
        <w:t>申请</w:t>
      </w:r>
      <w:r>
        <w:rPr>
          <w:rFonts w:hint="eastAsia" w:ascii="仿宋" w:hAnsi="仿宋" w:eastAsia="仿宋" w:cs="仿宋"/>
          <w:sz w:val="32"/>
          <w:szCs w:val="32"/>
          <w:lang w:bidi="ar"/>
        </w:rPr>
        <w:t>-信息披露申请提交</w:t>
      </w:r>
      <w:r>
        <w:rPr>
          <w:rFonts w:hint="eastAsia" w:ascii="仿宋" w:hAnsi="仿宋" w:eastAsia="仿宋" w:cs="仿宋"/>
          <w:sz w:val="32"/>
          <w:szCs w:val="32"/>
          <w:lang w:eastAsia="zh" w:bidi="ar"/>
        </w:rPr>
        <w:t>公告文件</w:t>
      </w:r>
      <w:r>
        <w:rPr>
          <w:rFonts w:hint="eastAsia" w:ascii="仿宋" w:hAnsi="仿宋" w:eastAsia="仿宋" w:cs="仿宋"/>
          <w:sz w:val="32"/>
          <w:szCs w:val="32"/>
          <w:lang w:bidi="ar"/>
        </w:rPr>
        <w:t>。发行公告为事前审查公告，本所处理相关公告后，提交公告的承销机构应点击确认相关信息披露申请。</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3.发行公告文件披露地点</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公募债券在本所网站公开披露募集说明书等文件（不要求报纸刊登），私募债券在本所固定收益信息平台中的信息披露-通知与公告-信息公告（定向）栏目披露。</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4.发行公告披露内容</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发行公告中应当包含拟发行规模、发行期限、发行方式、发行利率或者价格区间、发行时间、起息日、到期日等发行要素。</w:t>
      </w:r>
    </w:p>
    <w:p>
      <w:pPr>
        <w:adjustRightInd w:val="0"/>
        <w:snapToGrid w:val="0"/>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lang w:bidi="ar"/>
        </w:rPr>
        <w:t>除发行方式、发行利率或者价格区间、起息日、到期日等可以调整的发行要素外，发行公告文件内容应当与发行备案文</w:t>
      </w:r>
      <w:r>
        <w:rPr>
          <w:rFonts w:hint="eastAsia" w:ascii="仿宋" w:hAnsi="仿宋" w:eastAsia="仿宋" w:cs="仿宋"/>
          <w:sz w:val="32"/>
          <w:szCs w:val="32"/>
          <w:highlight w:val="none"/>
          <w:lang w:bidi="ar"/>
        </w:rPr>
        <w:t>件保持一致。公募债券应当在中国证监会或相关有权机关同意注册文件</w:t>
      </w:r>
      <w:r>
        <w:rPr>
          <w:rFonts w:hint="eastAsia" w:ascii="仿宋" w:hAnsi="仿宋" w:eastAsia="仿宋" w:cs="仿宋"/>
          <w:sz w:val="32"/>
          <w:szCs w:val="32"/>
          <w:highlight w:val="none"/>
        </w:rPr>
        <w:t>的有效期内完成缴款，私募债券应当在本所出具无异议函的有效期内提交转让</w:t>
      </w:r>
      <w:r>
        <w:rPr>
          <w:rFonts w:hint="eastAsia" w:ascii="仿宋" w:hAnsi="仿宋" w:eastAsia="仿宋" w:cs="仿宋"/>
          <w:sz w:val="32"/>
          <w:szCs w:val="32"/>
          <w:highlight w:val="none"/>
          <w:lang w:eastAsia="zh-CN"/>
        </w:rPr>
        <w:t>服务</w:t>
      </w:r>
      <w:r>
        <w:rPr>
          <w:rFonts w:hint="eastAsia" w:ascii="仿宋" w:hAnsi="仿宋" w:eastAsia="仿宋" w:cs="仿宋"/>
          <w:sz w:val="32"/>
          <w:szCs w:val="32"/>
          <w:highlight w:val="none"/>
        </w:rPr>
        <w:t>申请，请关注发行相关安排应符合上述日期。</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公告文件的文件名应以文件内标题全称命名。发行人与主承销商应确保公告披露的准确性和及时性。</w:t>
      </w:r>
    </w:p>
    <w:p>
      <w:pPr>
        <w:adjustRightInd w:val="0"/>
        <w:snapToGrid w:val="0"/>
        <w:spacing w:line="560" w:lineRule="exact"/>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bidi="ar"/>
        </w:rPr>
        <w:t>发行人应当在发行公告文件中承诺合规发行，不从事《关于进一步规范债券发行业务有关事项的通知》第三条第二款规定的行为。投资者应当</w:t>
      </w:r>
      <w:r>
        <w:rPr>
          <w:rFonts w:hint="eastAsia" w:ascii="仿宋" w:hAnsi="仿宋" w:eastAsia="仿宋" w:cs="仿宋"/>
          <w:sz w:val="32"/>
          <w:szCs w:val="32"/>
          <w:lang w:eastAsia="zh-CN" w:bidi="ar"/>
        </w:rPr>
        <w:t>在认购环节</w:t>
      </w:r>
      <w:r>
        <w:rPr>
          <w:rFonts w:hint="eastAsia" w:ascii="仿宋" w:hAnsi="仿宋" w:eastAsia="仿宋" w:cs="仿宋"/>
          <w:sz w:val="32"/>
          <w:szCs w:val="32"/>
          <w:lang w:bidi="ar"/>
        </w:rPr>
        <w:t>向承销机构承诺审慎合理投资，不从事《关于进一步规范债券发行业务有关事项的通知》第八条第二款、第三款规定的行为</w:t>
      </w:r>
      <w:r>
        <w:rPr>
          <w:rFonts w:hint="eastAsia" w:ascii="仿宋" w:hAnsi="仿宋" w:eastAsia="仿宋" w:cs="仿宋"/>
          <w:sz w:val="32"/>
          <w:szCs w:val="32"/>
          <w:lang w:eastAsia="zh-CN"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5.调整要素或簿记</w:t>
      </w:r>
      <w:r>
        <w:rPr>
          <w:rFonts w:hint="eastAsia" w:ascii="仿宋" w:hAnsi="仿宋" w:eastAsia="仿宋" w:cs="仿宋"/>
          <w:sz w:val="32"/>
          <w:szCs w:val="32"/>
          <w:lang w:eastAsia="zh" w:bidi="ar"/>
        </w:rPr>
        <w:t>/协议定价</w:t>
      </w:r>
      <w:r>
        <w:rPr>
          <w:rFonts w:hint="eastAsia" w:ascii="仿宋" w:hAnsi="仿宋" w:eastAsia="仿宋" w:cs="仿宋"/>
          <w:sz w:val="32"/>
          <w:szCs w:val="32"/>
          <w:lang w:bidi="ar"/>
        </w:rPr>
        <w:t>日期应当重新披露发行公告文件</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发行公告文件披露后，发行前拟调整相关发行要素或调整簿记建档、协议定价日期的，发行人与主承销商应当重新披露发行公告文件，并同时披露更正公告。如相关发行要素涉及调整债券基础信息的，应主动联系本所经办人。</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发行公告文件披露后，如需取消发行的，发行人与主承销商应当于簿记建档、协议定价结束日前通过固收专区</w:t>
      </w:r>
      <w:r>
        <w:rPr>
          <w:rFonts w:hint="eastAsia" w:ascii="仿宋" w:hAnsi="仿宋" w:eastAsia="仿宋" w:cs="仿宋"/>
          <w:sz w:val="32"/>
          <w:szCs w:val="32"/>
          <w:lang w:eastAsia="zh" w:bidi="ar"/>
        </w:rPr>
        <w:t>-发行上市-新增</w:t>
      </w:r>
      <w:r>
        <w:rPr>
          <w:rFonts w:hint="eastAsia" w:ascii="仿宋" w:hAnsi="仿宋" w:eastAsia="仿宋" w:cs="仿宋"/>
          <w:sz w:val="32"/>
          <w:szCs w:val="32"/>
          <w:lang w:bidi="ar"/>
        </w:rPr>
        <w:t>公开发行债券</w:t>
      </w:r>
      <w:r>
        <w:rPr>
          <w:rFonts w:hint="eastAsia" w:ascii="仿宋" w:hAnsi="仿宋" w:eastAsia="仿宋" w:cs="仿宋"/>
          <w:sz w:val="32"/>
          <w:szCs w:val="32"/>
          <w:lang w:eastAsia="zh" w:bidi="ar"/>
        </w:rPr>
        <w:t>申请</w:t>
      </w:r>
      <w:r>
        <w:rPr>
          <w:rFonts w:ascii="仿宋" w:hAnsi="仿宋" w:eastAsia="仿宋" w:cs="仿宋"/>
          <w:sz w:val="32"/>
          <w:szCs w:val="32"/>
          <w:lang w:bidi="ar"/>
        </w:rPr>
        <w:t>-</w:t>
      </w:r>
      <w:r>
        <w:rPr>
          <w:rFonts w:hint="eastAsia" w:ascii="仿宋" w:hAnsi="仿宋" w:eastAsia="仿宋" w:cs="仿宋"/>
          <w:sz w:val="32"/>
          <w:szCs w:val="32"/>
          <w:lang w:bidi="ar"/>
        </w:rPr>
        <w:t>信息披露申请</w:t>
      </w:r>
      <w:r>
        <w:rPr>
          <w:rFonts w:hint="eastAsia" w:ascii="仿宋" w:hAnsi="仿宋" w:eastAsia="仿宋" w:cs="仿宋"/>
          <w:sz w:val="32"/>
          <w:szCs w:val="32"/>
          <w:lang w:eastAsia="zh" w:bidi="ar"/>
        </w:rPr>
        <w:t>/新增</w:t>
      </w:r>
      <w:r>
        <w:rPr>
          <w:rFonts w:hint="eastAsia" w:ascii="仿宋" w:hAnsi="仿宋" w:eastAsia="仿宋" w:cs="仿宋"/>
          <w:sz w:val="32"/>
          <w:szCs w:val="32"/>
          <w:lang w:bidi="ar"/>
        </w:rPr>
        <w:t>非公开发行债券</w:t>
      </w:r>
      <w:r>
        <w:rPr>
          <w:rFonts w:hint="eastAsia" w:ascii="仿宋" w:hAnsi="仿宋" w:eastAsia="仿宋" w:cs="仿宋"/>
          <w:sz w:val="32"/>
          <w:szCs w:val="32"/>
          <w:lang w:eastAsia="zh" w:bidi="ar"/>
        </w:rPr>
        <w:t>申请</w:t>
      </w:r>
      <w:r>
        <w:rPr>
          <w:rFonts w:ascii="仿宋" w:hAnsi="仿宋" w:eastAsia="仿宋" w:cs="仿宋"/>
          <w:sz w:val="32"/>
          <w:szCs w:val="32"/>
          <w:lang w:bidi="ar"/>
        </w:rPr>
        <w:t>-</w:t>
      </w:r>
      <w:r>
        <w:rPr>
          <w:rFonts w:hint="eastAsia" w:ascii="仿宋" w:hAnsi="仿宋" w:eastAsia="仿宋" w:cs="仿宋"/>
          <w:sz w:val="32"/>
          <w:szCs w:val="32"/>
          <w:lang w:bidi="ar"/>
        </w:rPr>
        <w:t>信息披露申请提交信息披露申请，披露取消发行公告。取消发行公告为事前审查公告。</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取消发行后，本期公司债再次发行的，发行人与主承销商应当重新申请发行备案。簿记建档、协议定价结束并披露票面利率公告</w:t>
      </w:r>
      <w:r>
        <w:rPr>
          <w:rFonts w:hint="eastAsia" w:ascii="仿宋" w:hAnsi="仿宋" w:eastAsia="仿宋" w:cs="仿宋"/>
          <w:sz w:val="32"/>
          <w:szCs w:val="32"/>
          <w:lang w:eastAsia="zh" w:bidi="ar"/>
        </w:rPr>
        <w:t>/发行价格公告</w:t>
      </w:r>
      <w:r>
        <w:rPr>
          <w:rFonts w:hint="eastAsia" w:ascii="仿宋" w:hAnsi="仿宋" w:eastAsia="仿宋" w:cs="仿宋"/>
          <w:sz w:val="32"/>
          <w:szCs w:val="32"/>
          <w:lang w:bidi="ar"/>
        </w:rPr>
        <w:t>后，本期公司债券不得取消发行。</w:t>
      </w:r>
    </w:p>
    <w:p>
      <w:pPr>
        <w:pStyle w:val="4"/>
        <w:keepNext w:val="0"/>
        <w:keepLines w:val="0"/>
        <w:numPr>
          <w:ilvl w:val="-1"/>
          <w:numId w:val="0"/>
        </w:numPr>
        <w:adjustRightInd w:val="0"/>
        <w:snapToGrid w:val="0"/>
        <w:spacing w:before="0" w:after="0" w:line="560" w:lineRule="exact"/>
        <w:ind w:firstLine="640" w:firstLineChars="200"/>
        <w:rPr>
          <w:rFonts w:hint="eastAsia" w:ascii="仿宋" w:hAnsi="仿宋" w:eastAsia="仿宋" w:cs="仿宋"/>
          <w:lang w:bidi="ar"/>
        </w:rPr>
      </w:pPr>
      <w:bookmarkStart w:id="146" w:name="_Toc5702"/>
      <w:r>
        <w:rPr>
          <w:rFonts w:hint="eastAsia" w:ascii="仿宋" w:hAnsi="仿宋" w:eastAsia="仿宋" w:cs="仿宋"/>
          <w:b w:val="0"/>
          <w:bCs w:val="0"/>
          <w:lang w:eastAsia="zh-CN" w:bidi="ar"/>
        </w:rPr>
        <w:t>（三）</w:t>
      </w:r>
      <w:r>
        <w:rPr>
          <w:rFonts w:hint="eastAsia" w:ascii="仿宋" w:hAnsi="仿宋" w:eastAsia="仿宋" w:cs="仿宋"/>
          <w:b w:val="0"/>
          <w:bCs w:val="0"/>
          <w:lang w:bidi="ar"/>
        </w:rPr>
        <w:t>簿记建档</w:t>
      </w:r>
      <w:bookmarkEnd w:id="146"/>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bCs/>
          <w:kern w:val="2"/>
          <w:sz w:val="32"/>
          <w:szCs w:val="32"/>
        </w:rPr>
      </w:pPr>
      <w:r>
        <w:rPr>
          <w:rFonts w:hint="eastAsia" w:ascii="仿宋" w:hAnsi="仿宋" w:eastAsia="仿宋" w:cs="仿宋"/>
          <w:kern w:val="2"/>
          <w:sz w:val="32"/>
          <w:szCs w:val="32"/>
          <w:lang w:val="en-US" w:eastAsia="zh-CN" w:bidi="ar"/>
        </w:rPr>
        <w:t>发行公告文件披露后，发行前拟调整簿记建档日期的，发行人与簿记管理人应当不晚于拟簿记建档日通过固收专区披露“调整簿记日期”公告，并重新提交</w:t>
      </w:r>
      <w:r>
        <w:rPr>
          <w:rFonts w:hint="eastAsia" w:ascii="仿宋" w:hAnsi="仿宋" w:eastAsia="仿宋" w:cs="仿宋"/>
          <w:bCs/>
          <w:kern w:val="2"/>
          <w:sz w:val="32"/>
          <w:szCs w:val="32"/>
          <w:lang w:val="en-US" w:eastAsia="zh-CN" w:bidi="ar"/>
        </w:rPr>
        <w:t>发行公告文件的更新公告</w:t>
      </w:r>
      <w:r>
        <w:rPr>
          <w:rFonts w:hint="eastAsia" w:ascii="仿宋" w:hAnsi="仿宋" w:eastAsia="仿宋" w:cs="仿宋"/>
          <w:kern w:val="2"/>
          <w:sz w:val="32"/>
          <w:szCs w:val="32"/>
          <w:lang w:val="en-US" w:eastAsia="zh-CN" w:bidi="ar"/>
        </w:rPr>
        <w:t>。簿记管理人应当</w:t>
      </w:r>
      <w:r>
        <w:rPr>
          <w:rFonts w:hint="eastAsia" w:ascii="仿宋" w:hAnsi="仿宋" w:eastAsia="仿宋" w:cs="仿宋"/>
          <w:bCs/>
          <w:kern w:val="2"/>
          <w:sz w:val="32"/>
          <w:szCs w:val="32"/>
          <w:lang w:val="en-US" w:eastAsia="zh-CN" w:bidi="ar"/>
        </w:rPr>
        <w:t>正确填报调整后的簿记日期、发行起始日、起息日等字段，确保与公告文件相应字段保持一致。</w:t>
      </w:r>
    </w:p>
    <w:p>
      <w:pPr>
        <w:adjustRightInd w:val="0"/>
        <w:snapToGrid w:val="0"/>
        <w:spacing w:line="560" w:lineRule="exact"/>
        <w:ind w:firstLine="640" w:firstLineChars="200"/>
        <w:jc w:val="left"/>
        <w:rPr>
          <w:rFonts w:hint="eastAsia" w:ascii="仿宋" w:hAnsi="仿宋" w:eastAsia="仿宋" w:cs="仿宋"/>
          <w:sz w:val="32"/>
          <w:szCs w:val="32"/>
          <w:lang w:val="en-US" w:eastAsia="zh-CN" w:bidi="ar"/>
        </w:rPr>
      </w:pPr>
      <w:r>
        <w:rPr>
          <w:rFonts w:hint="eastAsia" w:ascii="仿宋" w:hAnsi="仿宋" w:eastAsia="仿宋" w:cs="仿宋"/>
          <w:kern w:val="2"/>
          <w:sz w:val="32"/>
          <w:szCs w:val="32"/>
          <w:lang w:val="en-US" w:eastAsia="zh-CN" w:bidi="ar"/>
        </w:rPr>
        <w:t>发行公告文件披露后，簿记管理人应当及时在簿记建档系统完成债券基础信息录入。系统填报的信息应注意务必与发行公告文件中披露的要素保持一致。簿记开始后，不支持信息调整。</w:t>
      </w:r>
    </w:p>
    <w:p>
      <w:pPr>
        <w:adjustRightInd w:val="0"/>
        <w:snapToGrid w:val="0"/>
        <w:spacing w:line="560" w:lineRule="exact"/>
        <w:ind w:firstLine="640"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val="en-US" w:eastAsia="zh" w:bidi="ar"/>
        </w:rPr>
        <w:t>1</w:t>
      </w:r>
      <w:r>
        <w:rPr>
          <w:rFonts w:hint="eastAsia" w:ascii="仿宋" w:hAnsi="仿宋" w:eastAsia="仿宋" w:cs="仿宋"/>
          <w:sz w:val="32"/>
          <w:szCs w:val="32"/>
          <w:lang w:val="en-US" w:eastAsia="zh-CN" w:bidi="ar"/>
        </w:rPr>
        <w:t>.簿记建档时间</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簿记建档发行的公司债券发行公告文件中需明确簿记建档时间区间，簿记管理人应当按照公告约定的申购截止时间结束簿记建档，不得擅自延长簿记时间。</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簿记建档截止时间原则上不得晚于簿记建档当日</w:t>
      </w:r>
      <w:r>
        <w:rPr>
          <w:rFonts w:ascii="仿宋" w:hAnsi="仿宋" w:eastAsia="仿宋" w:cs="仿宋"/>
          <w:sz w:val="32"/>
          <w:szCs w:val="32"/>
          <w:lang w:bidi="ar"/>
        </w:rPr>
        <w:t>18:00</w:t>
      </w:r>
      <w:r>
        <w:rPr>
          <w:rFonts w:hint="eastAsia" w:ascii="仿宋" w:hAnsi="仿宋" w:eastAsia="仿宋" w:cs="仿宋"/>
          <w:sz w:val="32"/>
          <w:szCs w:val="32"/>
          <w:lang w:bidi="ar"/>
        </w:rPr>
        <w:t>，经发行人与簿记管理人协商一致，可以在原定的截止时间前延时一次，延时后应不晚于19:00结束簿记。</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提交簿记建档延长公告的路径为</w:t>
      </w:r>
      <w:r>
        <w:rPr>
          <w:rFonts w:hint="eastAsia" w:ascii="仿宋" w:hAnsi="仿宋" w:eastAsia="仿宋" w:cs="仿宋"/>
          <w:sz w:val="32"/>
          <w:szCs w:val="32"/>
          <w:lang w:eastAsia="zh" w:bidi="ar"/>
        </w:rPr>
        <w:t>新增</w:t>
      </w:r>
      <w:r>
        <w:rPr>
          <w:rFonts w:hint="eastAsia" w:ascii="仿宋" w:hAnsi="仿宋" w:eastAsia="仿宋" w:cs="仿宋"/>
          <w:sz w:val="32"/>
          <w:szCs w:val="32"/>
          <w:lang w:bidi="ar"/>
        </w:rPr>
        <w:t>公开发行债券</w:t>
      </w:r>
      <w:r>
        <w:rPr>
          <w:rFonts w:ascii="仿宋" w:hAnsi="仿宋" w:eastAsia="仿宋" w:cs="仿宋"/>
          <w:sz w:val="32"/>
          <w:szCs w:val="32"/>
          <w:lang w:bidi="ar"/>
        </w:rPr>
        <w:t>-</w:t>
      </w:r>
      <w:r>
        <w:rPr>
          <w:rFonts w:hint="eastAsia" w:ascii="仿宋" w:hAnsi="仿宋" w:eastAsia="仿宋" w:cs="仿宋"/>
          <w:sz w:val="32"/>
          <w:szCs w:val="32"/>
          <w:lang w:bidi="ar"/>
        </w:rPr>
        <w:t>信息披露申请（选择公告类别为公开发行债券信息披露申请-延长簿记建档时间</w:t>
      </w:r>
      <w:r>
        <w:rPr>
          <w:rFonts w:hint="eastAsia" w:ascii="仿宋" w:hAnsi="仿宋" w:eastAsia="仿宋" w:cs="仿宋"/>
          <w:sz w:val="32"/>
          <w:szCs w:val="32"/>
          <w:lang w:eastAsia="zh-CN" w:bidi="ar"/>
        </w:rPr>
        <w:t>（发行上市））</w:t>
      </w:r>
      <w:r>
        <w:rPr>
          <w:rFonts w:hint="eastAsia" w:ascii="仿宋" w:hAnsi="仿宋" w:eastAsia="仿宋" w:cs="仿宋"/>
          <w:sz w:val="32"/>
          <w:szCs w:val="32"/>
          <w:lang w:bidi="ar"/>
        </w:rPr>
        <w:t>、</w:t>
      </w:r>
      <w:r>
        <w:rPr>
          <w:rFonts w:hint="eastAsia" w:ascii="仿宋" w:hAnsi="仿宋" w:eastAsia="仿宋" w:cs="仿宋"/>
          <w:sz w:val="32"/>
          <w:szCs w:val="32"/>
          <w:lang w:eastAsia="zh" w:bidi="ar"/>
        </w:rPr>
        <w:t>新增</w:t>
      </w:r>
      <w:r>
        <w:rPr>
          <w:rFonts w:hint="eastAsia" w:ascii="仿宋" w:hAnsi="仿宋" w:eastAsia="仿宋" w:cs="仿宋"/>
          <w:sz w:val="32"/>
          <w:szCs w:val="32"/>
          <w:lang w:bidi="ar"/>
        </w:rPr>
        <w:t>非公开发行债券</w:t>
      </w:r>
      <w:r>
        <w:rPr>
          <w:rFonts w:ascii="仿宋" w:hAnsi="仿宋" w:eastAsia="仿宋" w:cs="仿宋"/>
          <w:sz w:val="32"/>
          <w:szCs w:val="32"/>
          <w:lang w:bidi="ar"/>
        </w:rPr>
        <w:t>-</w:t>
      </w:r>
      <w:r>
        <w:rPr>
          <w:rFonts w:hint="eastAsia" w:ascii="仿宋" w:hAnsi="仿宋" w:eastAsia="仿宋" w:cs="仿宋"/>
          <w:sz w:val="32"/>
          <w:szCs w:val="32"/>
          <w:lang w:bidi="ar"/>
        </w:rPr>
        <w:t>信息披露申请（选择公告类别为非公开发行债券信息披露申请-私募延长簿记时间公告</w:t>
      </w:r>
      <w:r>
        <w:rPr>
          <w:rFonts w:hint="eastAsia" w:ascii="仿宋" w:hAnsi="仿宋" w:eastAsia="仿宋" w:cs="仿宋"/>
          <w:sz w:val="32"/>
          <w:szCs w:val="32"/>
          <w:lang w:eastAsia="zh-CN" w:bidi="ar"/>
        </w:rPr>
        <w:t>（发行上市））</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簿记建档延长公告为事后审查公告。提交簿记建档延长公告时，请同步报备簿记建档延长申请，该文件请在信息披露页面选择报备。</w:t>
      </w:r>
    </w:p>
    <w:p>
      <w:pPr>
        <w:adjustRightInd w:val="0"/>
        <w:snapToGrid w:val="0"/>
        <w:spacing w:line="560" w:lineRule="exact"/>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 w:bidi="ar"/>
        </w:rPr>
        <w:t>2</w:t>
      </w:r>
      <w:r>
        <w:rPr>
          <w:rFonts w:hint="eastAsia" w:ascii="仿宋" w:hAnsi="仿宋" w:eastAsia="仿宋" w:cs="仿宋"/>
          <w:sz w:val="32"/>
          <w:szCs w:val="32"/>
          <w:lang w:val="en-US" w:eastAsia="zh-CN" w:bidi="ar"/>
        </w:rPr>
        <w:t>.应急处置方式</w:t>
      </w:r>
    </w:p>
    <w:p>
      <w:pPr>
        <w:adjustRightInd w:val="0"/>
        <w:snapToGrid w:val="0"/>
        <w:spacing w:beforeLines="-2147483648" w:afterLines="-2147483648" w:line="560" w:lineRule="exact"/>
        <w:ind w:firstLine="640" w:firstLineChars="200"/>
        <w:jc w:val="left"/>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 xml:space="preserve">如投资者端出现接入故障，投资者应当通过线下传真、邮件等方式向主承销商发送申购单，由簿记管理人代为录入认购订单。 </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如簿记管理人出现接入故障或系统本身故障，根据系统恢复时间，簿记管理人将披露相应公告说明是否采用线下簿记。如采用线下簿记的，故障发生前已</w:t>
      </w:r>
      <w:r>
        <w:rPr>
          <w:rFonts w:hint="eastAsia" w:ascii="仿宋" w:hAnsi="仿宋" w:eastAsia="仿宋" w:cs="仿宋"/>
          <w:sz w:val="32"/>
          <w:szCs w:val="32"/>
          <w:lang w:eastAsia="zh-CN" w:bidi="ar"/>
        </w:rPr>
        <w:t>成功</w:t>
      </w:r>
      <w:r>
        <w:rPr>
          <w:rFonts w:hint="eastAsia" w:ascii="仿宋" w:hAnsi="仿宋" w:eastAsia="仿宋" w:cs="仿宋"/>
          <w:sz w:val="32"/>
          <w:szCs w:val="32"/>
          <w:lang w:bidi="ar"/>
        </w:rPr>
        <w:t>提交的线上认购有效，投资者无需线下再次申购。</w:t>
      </w:r>
    </w:p>
    <w:p>
      <w:pPr>
        <w:adjustRightInd w:val="0"/>
        <w:snapToGrid w:val="0"/>
        <w:spacing w:line="560" w:lineRule="exact"/>
        <w:ind w:firstLine="640" w:firstLineChars="200"/>
        <w:outlineLvl w:val="9"/>
        <w:rPr>
          <w:rFonts w:hint="eastAsia" w:ascii="仿宋" w:hAnsi="仿宋" w:eastAsia="仿宋" w:cs="仿宋"/>
          <w:sz w:val="32"/>
          <w:szCs w:val="32"/>
          <w:lang w:bidi="ar"/>
        </w:rPr>
      </w:pPr>
      <w:r>
        <w:rPr>
          <w:rFonts w:hint="eastAsia" w:ascii="仿宋" w:hAnsi="仿宋" w:eastAsia="仿宋" w:cs="仿宋"/>
          <w:sz w:val="32"/>
          <w:szCs w:val="32"/>
          <w:lang w:eastAsia="zh-CN" w:bidi="ar"/>
        </w:rPr>
        <w:t>3</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应急处置公告</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簿记建档过程中，出现人为操作失误、系统故障等情形导致簿记建档工作无法继续的，发行人和簿记管理人应当按照发行公告约定的应急预案采取变更簿记建档场所、变更簿记建档时间、应急认购、取消发行等应急处置措施。簿记管理人应当通过</w:t>
      </w:r>
      <w:r>
        <w:rPr>
          <w:rFonts w:hint="eastAsia" w:ascii="仿宋" w:hAnsi="仿宋" w:eastAsia="仿宋" w:cs="仿宋"/>
          <w:sz w:val="32"/>
          <w:szCs w:val="32"/>
          <w:lang w:eastAsia="zh" w:bidi="ar"/>
        </w:rPr>
        <w:t>“</w:t>
      </w:r>
      <w:r>
        <w:rPr>
          <w:rFonts w:hint="eastAsia" w:ascii="仿宋" w:hAnsi="仿宋" w:eastAsia="仿宋" w:cs="仿宋"/>
          <w:sz w:val="32"/>
          <w:szCs w:val="32"/>
          <w:lang w:bidi="ar"/>
        </w:rPr>
        <w:t>固收专区</w:t>
      </w:r>
      <w:r>
        <w:rPr>
          <w:rFonts w:hint="eastAsia" w:ascii="仿宋" w:hAnsi="仿宋" w:eastAsia="仿宋" w:cs="仿宋"/>
          <w:sz w:val="32"/>
          <w:szCs w:val="32"/>
          <w:lang w:eastAsia="zh" w:bidi="ar"/>
        </w:rPr>
        <w:t>--发行上市--新增公开/非公开发行债券申请-信息披露申请-</w:t>
      </w:r>
      <w:r>
        <w:rPr>
          <w:rFonts w:hint="eastAsia" w:ascii="仿宋" w:hAnsi="仿宋" w:eastAsia="仿宋" w:cs="仿宋"/>
          <w:i w:val="0"/>
          <w:iCs w:val="0"/>
          <w:caps w:val="0"/>
          <w:spacing w:val="0"/>
          <w:sz w:val="32"/>
          <w:szCs w:val="32"/>
          <w:shd w:val="clear"/>
          <w:lang w:bidi="ar"/>
        </w:rPr>
        <w:t>债券重大事项公告（适用其他情形）</w:t>
      </w:r>
      <w:r>
        <w:rPr>
          <w:rFonts w:hint="eastAsia" w:ascii="仿宋" w:hAnsi="仿宋" w:eastAsia="仿宋" w:cs="仿宋"/>
          <w:sz w:val="32"/>
          <w:szCs w:val="32"/>
          <w:lang w:eastAsia="zh" w:bidi="ar"/>
        </w:rPr>
        <w:t>”提交公告</w:t>
      </w:r>
      <w:r>
        <w:rPr>
          <w:rFonts w:hint="eastAsia" w:ascii="仿宋" w:hAnsi="仿宋" w:eastAsia="仿宋" w:cs="仿宋"/>
          <w:sz w:val="32"/>
          <w:szCs w:val="32"/>
          <w:lang w:bidi="ar"/>
        </w:rPr>
        <w:t>披露应急处置的相关情况，并向本所报告。</w:t>
      </w:r>
    </w:p>
    <w:p>
      <w:pPr>
        <w:keepNext w:val="0"/>
        <w:keepLines w:val="0"/>
        <w:widowControl w:val="0"/>
        <w:numPr>
          <w:ilvl w:val="-1"/>
          <w:numId w:val="0"/>
        </w:numPr>
        <w:suppressLineNumbers w:val="0"/>
        <w:adjustRightInd w:val="0"/>
        <w:snapToGrid w:val="0"/>
        <w:spacing w:before="0" w:beforeAutospacing="0" w:after="0" w:afterAutospacing="0" w:line="560" w:lineRule="exact"/>
        <w:ind w:left="0" w:leftChars="0" w:right="0" w:firstLine="640" w:firstLineChars="200"/>
        <w:jc w:val="both"/>
        <w:outlineLvl w:val="2"/>
        <w:rPr>
          <w:rFonts w:hint="eastAsia" w:ascii="仿宋" w:hAnsi="仿宋" w:eastAsia="仿宋" w:cs="仿宋"/>
          <w:b/>
          <w:bCs/>
          <w:kern w:val="2"/>
          <w:sz w:val="32"/>
          <w:szCs w:val="32"/>
          <w:lang w:bidi="ar"/>
        </w:rPr>
      </w:pPr>
      <w:r>
        <w:rPr>
          <w:rFonts w:hint="eastAsia" w:ascii="仿宋" w:hAnsi="仿宋" w:eastAsia="仿宋" w:cs="仿宋"/>
          <w:b w:val="0"/>
          <w:bCs w:val="0"/>
          <w:kern w:val="2"/>
          <w:sz w:val="32"/>
          <w:szCs w:val="32"/>
          <w:lang w:val="en-US" w:eastAsia="zh" w:bidi="ar"/>
        </w:rPr>
        <w:t>（四）</w:t>
      </w:r>
      <w:r>
        <w:rPr>
          <w:rFonts w:hint="eastAsia" w:ascii="仿宋" w:hAnsi="仿宋" w:eastAsia="仿宋" w:cs="仿宋"/>
          <w:b w:val="0"/>
          <w:bCs w:val="0"/>
          <w:kern w:val="2"/>
          <w:sz w:val="32"/>
          <w:szCs w:val="32"/>
          <w:lang w:val="en-US" w:eastAsia="zh-CN" w:bidi="ar"/>
        </w:rPr>
        <w:t>协议发行</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公司债券拟采取协议发行，则发行公告文件中需明确协议发行日，发行人和主承销商应当在公告约定的协议定价日当天内确定公司债券的发行利率或价格，且协议发行不得跨日。</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b/>
          <w:bCs w:val="0"/>
          <w:kern w:val="2"/>
          <w:sz w:val="32"/>
          <w:szCs w:val="32"/>
        </w:rPr>
      </w:pPr>
      <w:r>
        <w:rPr>
          <w:rFonts w:hint="eastAsia" w:ascii="仿宋" w:hAnsi="仿宋" w:eastAsia="仿宋" w:cs="仿宋"/>
          <w:kern w:val="2"/>
          <w:sz w:val="32"/>
          <w:szCs w:val="32"/>
          <w:lang w:val="en-US" w:eastAsia="zh-CN" w:bidi="ar"/>
        </w:rPr>
        <w:t>若因市场环境变化或其他原因，导致协议发行日期需要调整的，发行人和主承销商应当于原协议发行日前一交易日通过固收专区</w:t>
      </w:r>
      <w:r>
        <w:rPr>
          <w:rFonts w:hint="eastAsia" w:ascii="仿宋" w:hAnsi="仿宋" w:eastAsia="仿宋" w:cs="仿宋"/>
          <w:kern w:val="2"/>
          <w:sz w:val="32"/>
          <w:szCs w:val="32"/>
          <w:lang w:val="en-US" w:eastAsia="zh" w:bidi="ar"/>
        </w:rPr>
        <w:t>-发行上市-新增公开/非公开债券发行申请-信息披露申请-</w:t>
      </w:r>
      <w:r>
        <w:rPr>
          <w:rFonts w:hint="eastAsia" w:ascii="仿宋" w:hAnsi="仿宋" w:eastAsia="仿宋" w:cs="仿宋"/>
          <w:i w:val="0"/>
          <w:iCs w:val="0"/>
          <w:caps w:val="0"/>
          <w:spacing w:val="0"/>
          <w:sz w:val="32"/>
          <w:szCs w:val="32"/>
          <w:shd w:val="clear"/>
          <w:lang w:bidi="ar"/>
        </w:rPr>
        <w:t>债券重大事项公告（适用其他情形）</w:t>
      </w:r>
      <w:r>
        <w:rPr>
          <w:rFonts w:hint="eastAsia" w:ascii="仿宋" w:hAnsi="仿宋" w:eastAsia="仿宋" w:cs="仿宋"/>
          <w:kern w:val="2"/>
          <w:sz w:val="32"/>
          <w:szCs w:val="32"/>
          <w:lang w:val="en-US" w:eastAsia="zh-CN" w:bidi="ar"/>
        </w:rPr>
        <w:t>提交“调整协议发行日的公告”并重新提交</w:t>
      </w:r>
      <w:r>
        <w:rPr>
          <w:rFonts w:hint="eastAsia" w:ascii="仿宋" w:hAnsi="仿宋" w:eastAsia="仿宋" w:cs="仿宋"/>
          <w:bCs/>
          <w:kern w:val="2"/>
          <w:sz w:val="32"/>
          <w:szCs w:val="32"/>
          <w:lang w:val="en-US" w:eastAsia="zh-CN" w:bidi="ar"/>
        </w:rPr>
        <w:t>发行公告文件的更新公告。</w:t>
      </w:r>
    </w:p>
    <w:p>
      <w:pPr>
        <w:pStyle w:val="4"/>
        <w:keepNext w:val="0"/>
        <w:keepLines w:val="0"/>
        <w:adjustRightInd w:val="0"/>
        <w:snapToGrid w:val="0"/>
        <w:spacing w:before="0" w:after="0" w:line="560" w:lineRule="exact"/>
        <w:ind w:firstLine="640" w:firstLineChars="200"/>
        <w:rPr>
          <w:rFonts w:hint="eastAsia" w:ascii="仿宋" w:hAnsi="仿宋" w:eastAsia="仿宋" w:cs="仿宋"/>
          <w:lang w:eastAsia="zh" w:bidi="ar"/>
        </w:rPr>
      </w:pPr>
      <w:bookmarkStart w:id="147" w:name="_Toc23535"/>
      <w:r>
        <w:rPr>
          <w:rFonts w:hint="eastAsia" w:ascii="仿宋" w:hAnsi="仿宋" w:eastAsia="仿宋" w:cs="仿宋"/>
          <w:b w:val="0"/>
          <w:bCs w:val="0"/>
          <w:lang w:bidi="ar"/>
        </w:rPr>
        <w:t>（</w:t>
      </w:r>
      <w:r>
        <w:rPr>
          <w:rFonts w:hint="eastAsia" w:ascii="仿宋" w:hAnsi="仿宋" w:eastAsia="仿宋" w:cs="仿宋"/>
          <w:b w:val="0"/>
          <w:bCs w:val="0"/>
          <w:lang w:eastAsia="zh" w:bidi="ar"/>
        </w:rPr>
        <w:t>五</w:t>
      </w:r>
      <w:r>
        <w:rPr>
          <w:rFonts w:hint="eastAsia" w:ascii="仿宋" w:hAnsi="仿宋" w:eastAsia="仿宋" w:cs="仿宋"/>
          <w:b w:val="0"/>
          <w:bCs w:val="0"/>
          <w:lang w:bidi="ar"/>
        </w:rPr>
        <w:t>）披露票面利率公告</w:t>
      </w:r>
      <w:bookmarkEnd w:id="147"/>
      <w:r>
        <w:rPr>
          <w:rFonts w:hint="eastAsia" w:ascii="仿宋" w:hAnsi="仿宋" w:eastAsia="仿宋" w:cs="仿宋"/>
          <w:b w:val="0"/>
          <w:bCs w:val="0"/>
          <w:lang w:eastAsia="zh" w:bidi="ar"/>
        </w:rPr>
        <w:t>或发行价格公告</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仿宋" w:hAnsi="仿宋" w:eastAsia="仿宋" w:cs="仿宋"/>
          <w:sz w:val="32"/>
          <w:szCs w:val="32"/>
          <w:lang w:bidi="ar"/>
        </w:rPr>
      </w:pPr>
      <w:r>
        <w:rPr>
          <w:rFonts w:hint="eastAsia" w:ascii="仿宋" w:hAnsi="仿宋" w:eastAsia="仿宋" w:cs="仿宋"/>
          <w:sz w:val="32"/>
          <w:szCs w:val="32"/>
          <w:lang w:bidi="ar"/>
        </w:rPr>
        <w:t>主承销商应在簿记建档、协议定价结束后当日（T</w:t>
      </w:r>
      <w:r>
        <w:rPr>
          <w:rFonts w:ascii="仿宋" w:hAnsi="仿宋" w:eastAsia="仿宋" w:cs="仿宋"/>
          <w:sz w:val="32"/>
          <w:szCs w:val="32"/>
          <w:lang w:bidi="ar"/>
        </w:rPr>
        <w:t>-1</w:t>
      </w:r>
      <w:r>
        <w:rPr>
          <w:rFonts w:hint="eastAsia" w:ascii="仿宋" w:hAnsi="仿宋" w:eastAsia="仿宋" w:cs="仿宋"/>
          <w:sz w:val="32"/>
          <w:szCs w:val="32"/>
          <w:lang w:bidi="ar"/>
        </w:rPr>
        <w:t>日）披露票面利率公告</w:t>
      </w:r>
      <w:r>
        <w:rPr>
          <w:rFonts w:hint="eastAsia" w:ascii="仿宋" w:hAnsi="仿宋" w:eastAsia="仿宋" w:cs="仿宋"/>
          <w:kern w:val="2"/>
          <w:sz w:val="32"/>
          <w:szCs w:val="32"/>
          <w:lang w:val="en-US" w:eastAsia="zh-CN" w:bidi="ar"/>
        </w:rPr>
        <w:t>或价格公告。未实际发行的品种无需提交票面利率公告/发行价格公告。票面利率公告或发行价格公告中应当明确</w:t>
      </w:r>
      <w:r>
        <w:rPr>
          <w:rFonts w:hint="eastAsia" w:ascii="仿宋" w:hAnsi="仿宋" w:eastAsia="仿宋" w:cs="仿宋"/>
          <w:bCs/>
          <w:kern w:val="2"/>
          <w:sz w:val="32"/>
          <w:szCs w:val="32"/>
          <w:lang w:val="en-US" w:eastAsia="zh-CN" w:bidi="ar"/>
        </w:rPr>
        <w:t>发行利率或者价格。</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提交公告的路径为</w:t>
      </w:r>
      <w:r>
        <w:rPr>
          <w:rFonts w:hint="eastAsia" w:ascii="仿宋" w:hAnsi="仿宋" w:eastAsia="仿宋" w:cs="仿宋"/>
          <w:sz w:val="32"/>
          <w:szCs w:val="32"/>
          <w:lang w:eastAsia="zh" w:bidi="ar"/>
        </w:rPr>
        <w:t>固收专区-发行上市-新增</w:t>
      </w:r>
      <w:r>
        <w:rPr>
          <w:rFonts w:hint="eastAsia" w:ascii="仿宋" w:hAnsi="仿宋" w:eastAsia="仿宋" w:cs="仿宋"/>
          <w:sz w:val="32"/>
          <w:szCs w:val="32"/>
          <w:lang w:bidi="ar"/>
        </w:rPr>
        <w:t>公开发行债券</w:t>
      </w:r>
      <w:r>
        <w:rPr>
          <w:rFonts w:hint="eastAsia" w:ascii="仿宋" w:hAnsi="仿宋" w:eastAsia="仿宋" w:cs="仿宋"/>
          <w:sz w:val="32"/>
          <w:szCs w:val="32"/>
          <w:lang w:eastAsia="zh" w:bidi="ar"/>
        </w:rPr>
        <w:t>申请</w:t>
      </w:r>
      <w:r>
        <w:rPr>
          <w:rFonts w:ascii="仿宋" w:hAnsi="仿宋" w:eastAsia="仿宋" w:cs="仿宋"/>
          <w:sz w:val="32"/>
          <w:szCs w:val="32"/>
          <w:lang w:bidi="ar"/>
        </w:rPr>
        <w:t>-</w:t>
      </w:r>
      <w:r>
        <w:rPr>
          <w:rFonts w:hint="eastAsia" w:ascii="仿宋" w:hAnsi="仿宋" w:eastAsia="仿宋" w:cs="仿宋"/>
          <w:sz w:val="32"/>
          <w:szCs w:val="32"/>
          <w:lang w:bidi="ar"/>
        </w:rPr>
        <w:t>信息披露申请-公开发行公司债券票面利率公告</w:t>
      </w:r>
      <w:r>
        <w:rPr>
          <w:rFonts w:hint="eastAsia" w:ascii="仿宋" w:hAnsi="仿宋" w:eastAsia="仿宋" w:cs="仿宋"/>
          <w:sz w:val="32"/>
          <w:szCs w:val="32"/>
          <w:lang w:eastAsia="zh" w:bidi="ar"/>
        </w:rPr>
        <w:t>/发行价格公告</w:t>
      </w:r>
      <w:r>
        <w:rPr>
          <w:rFonts w:hint="eastAsia" w:ascii="仿宋" w:hAnsi="仿宋" w:eastAsia="仿宋" w:cs="仿宋"/>
          <w:sz w:val="32"/>
          <w:szCs w:val="32"/>
          <w:lang w:eastAsia="zh-CN" w:bidi="ar"/>
        </w:rPr>
        <w:t>（发行上市</w:t>
      </w:r>
      <w:r>
        <w:rPr>
          <w:rFonts w:hint="eastAsia" w:ascii="仿宋" w:hAnsi="仿宋" w:eastAsia="仿宋" w:cs="仿宋"/>
          <w:sz w:val="32"/>
          <w:szCs w:val="32"/>
          <w:lang w:bidi="ar"/>
        </w:rPr>
        <w:t>）、</w:t>
      </w:r>
      <w:r>
        <w:rPr>
          <w:rFonts w:hint="eastAsia" w:ascii="仿宋" w:hAnsi="仿宋" w:eastAsia="仿宋" w:cs="仿宋"/>
          <w:sz w:val="32"/>
          <w:szCs w:val="32"/>
          <w:lang w:eastAsia="zh" w:bidi="ar"/>
        </w:rPr>
        <w:t>新增</w:t>
      </w:r>
      <w:r>
        <w:rPr>
          <w:rFonts w:hint="eastAsia" w:ascii="仿宋" w:hAnsi="仿宋" w:eastAsia="仿宋" w:cs="仿宋"/>
          <w:sz w:val="32"/>
          <w:szCs w:val="32"/>
          <w:lang w:bidi="ar"/>
        </w:rPr>
        <w:t>非公开发行债券</w:t>
      </w:r>
      <w:r>
        <w:rPr>
          <w:rFonts w:hint="eastAsia" w:ascii="仿宋" w:hAnsi="仿宋" w:eastAsia="仿宋" w:cs="仿宋"/>
          <w:sz w:val="32"/>
          <w:szCs w:val="32"/>
          <w:lang w:eastAsia="zh" w:bidi="ar"/>
        </w:rPr>
        <w:t>申请</w:t>
      </w:r>
      <w:r>
        <w:rPr>
          <w:rFonts w:ascii="仿宋" w:hAnsi="仿宋" w:eastAsia="仿宋" w:cs="仿宋"/>
          <w:sz w:val="32"/>
          <w:szCs w:val="32"/>
          <w:lang w:bidi="ar"/>
        </w:rPr>
        <w:t>-</w:t>
      </w:r>
      <w:r>
        <w:rPr>
          <w:rFonts w:hint="eastAsia" w:ascii="仿宋" w:hAnsi="仿宋" w:eastAsia="仿宋" w:cs="仿宋"/>
          <w:sz w:val="32"/>
          <w:szCs w:val="32"/>
          <w:lang w:bidi="ar"/>
        </w:rPr>
        <w:t>信息披露申请</w:t>
      </w:r>
      <w:r>
        <w:rPr>
          <w:rFonts w:ascii="仿宋" w:hAnsi="仿宋" w:eastAsia="仿宋" w:cs="仿宋"/>
          <w:sz w:val="32"/>
          <w:szCs w:val="32"/>
          <w:lang w:bidi="ar"/>
        </w:rPr>
        <w:t>-</w:t>
      </w:r>
      <w:r>
        <w:rPr>
          <w:rFonts w:hint="eastAsia" w:ascii="仿宋" w:hAnsi="仿宋" w:eastAsia="仿宋" w:cs="仿宋"/>
          <w:sz w:val="32"/>
          <w:szCs w:val="32"/>
          <w:lang w:bidi="ar"/>
        </w:rPr>
        <w:t>私募债票面利率公告</w:t>
      </w:r>
      <w:r>
        <w:rPr>
          <w:rFonts w:hint="eastAsia" w:ascii="仿宋" w:hAnsi="仿宋" w:eastAsia="仿宋" w:cs="仿宋"/>
          <w:sz w:val="32"/>
          <w:szCs w:val="32"/>
          <w:lang w:eastAsia="zh" w:bidi="ar"/>
        </w:rPr>
        <w:t>/发行价格公告</w:t>
      </w:r>
      <w:r>
        <w:rPr>
          <w:rFonts w:hint="eastAsia" w:ascii="仿宋" w:hAnsi="仿宋" w:eastAsia="仿宋" w:cs="仿宋"/>
          <w:sz w:val="32"/>
          <w:szCs w:val="32"/>
          <w:lang w:eastAsia="zh-CN" w:bidi="ar"/>
        </w:rPr>
        <w:t>（发行上市）</w:t>
      </w:r>
      <w:r>
        <w:rPr>
          <w:rFonts w:hint="eastAsia" w:ascii="仿宋" w:hAnsi="仿宋" w:eastAsia="仿宋" w:cs="仿宋"/>
          <w:sz w:val="32"/>
          <w:szCs w:val="32"/>
          <w:lang w:bidi="ar"/>
        </w:rPr>
        <w:t>）。未实际发行的品种不需提交票面利率公告</w:t>
      </w:r>
      <w:r>
        <w:rPr>
          <w:rFonts w:hint="eastAsia" w:ascii="仿宋" w:hAnsi="仿宋" w:eastAsia="仿宋" w:cs="仿宋"/>
          <w:sz w:val="32"/>
          <w:szCs w:val="32"/>
          <w:lang w:eastAsia="zh" w:bidi="ar"/>
        </w:rPr>
        <w:t>/发行价格公告</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《票面利率公告》</w:t>
      </w:r>
      <w:r>
        <w:rPr>
          <w:rFonts w:hint="eastAsia" w:ascii="仿宋" w:hAnsi="仿宋" w:eastAsia="仿宋" w:cs="仿宋"/>
          <w:sz w:val="32"/>
          <w:szCs w:val="32"/>
          <w:lang w:eastAsia="zh" w:bidi="ar"/>
        </w:rPr>
        <w:t>/《发行价格公告》</w:t>
      </w:r>
      <w:r>
        <w:rPr>
          <w:rFonts w:hint="eastAsia" w:ascii="仿宋" w:hAnsi="仿宋" w:eastAsia="仿宋" w:cs="仿宋"/>
          <w:sz w:val="32"/>
          <w:szCs w:val="32"/>
          <w:lang w:bidi="ar"/>
        </w:rPr>
        <w:t>为事后审查公告，模板见附件</w:t>
      </w:r>
      <w:r>
        <w:rPr>
          <w:rFonts w:hint="eastAsia" w:ascii="仿宋" w:hAnsi="仿宋" w:eastAsia="仿宋" w:cs="仿宋"/>
          <w:sz w:val="32"/>
          <w:szCs w:val="32"/>
          <w:lang w:val="en-US" w:eastAsia="zh-CN" w:bidi="ar"/>
        </w:rPr>
        <w:t>7</w:t>
      </w:r>
      <w:r>
        <w:rPr>
          <w:rFonts w:hint="eastAsia" w:ascii="仿宋" w:hAnsi="仿宋" w:eastAsia="仿宋" w:cs="仿宋"/>
          <w:sz w:val="32"/>
          <w:szCs w:val="32"/>
          <w:lang w:bidi="ar"/>
        </w:rPr>
        <w:t>。</w:t>
      </w:r>
    </w:p>
    <w:p>
      <w:pPr>
        <w:pStyle w:val="4"/>
        <w:keepNext w:val="0"/>
        <w:keepLines w:val="0"/>
        <w:adjustRightInd w:val="0"/>
        <w:snapToGrid w:val="0"/>
        <w:spacing w:before="0" w:after="0" w:line="560" w:lineRule="exact"/>
        <w:ind w:firstLine="640" w:firstLineChars="200"/>
        <w:rPr>
          <w:rFonts w:hint="eastAsia" w:ascii="仿宋" w:hAnsi="仿宋" w:eastAsia="仿宋" w:cs="仿宋"/>
          <w:b w:val="0"/>
          <w:bCs w:val="0"/>
          <w:lang w:bidi="ar"/>
        </w:rPr>
      </w:pPr>
      <w:bookmarkStart w:id="148" w:name="_Toc29309"/>
      <w:r>
        <w:rPr>
          <w:rFonts w:hint="eastAsia" w:ascii="仿宋" w:hAnsi="仿宋" w:eastAsia="仿宋" w:cs="仿宋"/>
          <w:b w:val="0"/>
          <w:bCs w:val="0"/>
          <w:lang w:bidi="ar"/>
        </w:rPr>
        <w:t>（</w:t>
      </w:r>
      <w:r>
        <w:rPr>
          <w:rFonts w:hint="eastAsia" w:ascii="仿宋" w:hAnsi="仿宋" w:eastAsia="仿宋" w:cs="仿宋"/>
          <w:b w:val="0"/>
          <w:bCs w:val="0"/>
          <w:lang w:eastAsia="zh" w:bidi="ar"/>
        </w:rPr>
        <w:t>六</w:t>
      </w:r>
      <w:r>
        <w:rPr>
          <w:rFonts w:hint="eastAsia" w:ascii="仿宋" w:hAnsi="仿宋" w:eastAsia="仿宋" w:cs="仿宋"/>
          <w:b w:val="0"/>
          <w:bCs w:val="0"/>
          <w:lang w:bidi="ar"/>
        </w:rPr>
        <w:t>）缴款和披露发行结果公告</w:t>
      </w:r>
      <w:bookmarkEnd w:id="148"/>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获得配售的投资者应当按照有关协议约定或者发行公告文件要求在缴款日按时缴款。</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使用本所簿记建档系统的，簿记管理人应当于发送配售缴款通知后确认登记托管明细，并可以代获得配售的投资者进行分仓登记。获得配售的债券交易参与人及承销机构认可的其他专业机构投资者可以在簿记管理人确定的投资者证券账户信息补充截止时间前，自行通过本所簿记建档系统确认分仓及托管账户信息。</w:t>
      </w:r>
    </w:p>
    <w:p>
      <w:pPr>
        <w:adjustRightInd w:val="0"/>
        <w:snapToGrid w:val="0"/>
        <w:spacing w:line="560" w:lineRule="exact"/>
        <w:ind w:firstLine="640" w:firstLineChars="200"/>
        <w:rPr>
          <w:rFonts w:hint="default" w:ascii="仿宋" w:hAnsi="仿宋" w:eastAsia="仿宋" w:cs="仿宋"/>
          <w:sz w:val="32"/>
          <w:szCs w:val="32"/>
          <w:lang w:val="en-US" w:eastAsia="zh-CN" w:bidi="ar"/>
        </w:rPr>
      </w:pPr>
      <w:r>
        <w:rPr>
          <w:rFonts w:hint="eastAsia" w:ascii="仿宋" w:hAnsi="仿宋" w:eastAsia="仿宋" w:cs="仿宋"/>
          <w:sz w:val="32"/>
          <w:szCs w:val="32"/>
          <w:lang w:bidi="ar"/>
        </w:rPr>
        <w:t>发行结束日，主承销商应提交发行结果公告，并加盖发行人、所有主承销商公章。发行结果公告内容应包括实际发行规模、票面利率、认购倍数等基本要素。发行结果公告应不晚于发行结束日当日</w:t>
      </w:r>
      <w:r>
        <w:rPr>
          <w:rFonts w:ascii="仿宋" w:hAnsi="仿宋" w:eastAsia="仿宋" w:cs="仿宋"/>
          <w:sz w:val="32"/>
          <w:szCs w:val="32"/>
          <w:lang w:bidi="ar"/>
        </w:rPr>
        <w:t>18:00</w:t>
      </w:r>
      <w:r>
        <w:rPr>
          <w:rFonts w:hint="eastAsia" w:ascii="仿宋" w:hAnsi="仿宋" w:eastAsia="仿宋" w:cs="仿宋"/>
          <w:sz w:val="32"/>
          <w:szCs w:val="32"/>
          <w:lang w:bidi="ar"/>
        </w:rPr>
        <w:t>提交。确有不可抗力原因导致无法及时提交发行结果公告的，主承销商应当提交书面文件说明原因。如有未实际发行的品种，发行结果公告中应说明对应品种未实际发行。如</w:t>
      </w:r>
      <w:r>
        <w:rPr>
          <w:rFonts w:ascii="仿宋" w:hAnsi="仿宋" w:eastAsia="仿宋" w:cs="仿宋"/>
          <w:sz w:val="32"/>
          <w:szCs w:val="32"/>
          <w:lang w:bidi="ar"/>
        </w:rPr>
        <w:t>实际</w:t>
      </w:r>
      <w:r>
        <w:rPr>
          <w:rFonts w:hint="eastAsia" w:ascii="仿宋" w:hAnsi="仿宋" w:eastAsia="仿宋" w:cs="仿宋"/>
          <w:sz w:val="32"/>
          <w:szCs w:val="32"/>
          <w:lang w:bidi="ar"/>
        </w:rPr>
        <w:t>发行结果小于</w:t>
      </w:r>
      <w:r>
        <w:rPr>
          <w:rFonts w:ascii="仿宋" w:hAnsi="仿宋" w:eastAsia="仿宋" w:cs="仿宋"/>
          <w:sz w:val="32"/>
          <w:szCs w:val="32"/>
          <w:lang w:bidi="ar"/>
        </w:rPr>
        <w:t>计划</w:t>
      </w:r>
      <w:r>
        <w:rPr>
          <w:rFonts w:hint="eastAsia" w:ascii="仿宋" w:hAnsi="仿宋" w:eastAsia="仿宋" w:cs="仿宋"/>
          <w:sz w:val="32"/>
          <w:szCs w:val="32"/>
          <w:lang w:bidi="ar"/>
        </w:rPr>
        <w:t>发行规模，</w:t>
      </w:r>
      <w:r>
        <w:rPr>
          <w:rFonts w:ascii="仿宋" w:hAnsi="仿宋" w:eastAsia="仿宋" w:cs="仿宋"/>
          <w:sz w:val="32"/>
          <w:szCs w:val="32"/>
          <w:lang w:bidi="ar"/>
        </w:rPr>
        <w:t>发行人须</w:t>
      </w:r>
      <w:r>
        <w:rPr>
          <w:rFonts w:hint="eastAsia" w:ascii="仿宋" w:hAnsi="仿宋" w:eastAsia="仿宋" w:cs="仿宋"/>
          <w:sz w:val="32"/>
          <w:szCs w:val="32"/>
          <w:lang w:bidi="ar"/>
        </w:rPr>
        <w:t>在</w:t>
      </w:r>
      <w:r>
        <w:rPr>
          <w:rFonts w:ascii="仿宋" w:hAnsi="仿宋" w:eastAsia="仿宋" w:cs="仿宋"/>
          <w:sz w:val="32"/>
          <w:szCs w:val="32"/>
          <w:lang w:bidi="ar"/>
        </w:rPr>
        <w:t>发行结果</w:t>
      </w:r>
      <w:r>
        <w:rPr>
          <w:rFonts w:hint="eastAsia" w:ascii="仿宋" w:hAnsi="仿宋" w:eastAsia="仿宋" w:cs="仿宋"/>
          <w:sz w:val="32"/>
          <w:szCs w:val="32"/>
          <w:lang w:bidi="ar"/>
        </w:rPr>
        <w:t>公告中明确募集资金</w:t>
      </w:r>
      <w:r>
        <w:rPr>
          <w:rFonts w:ascii="仿宋" w:hAnsi="仿宋" w:eastAsia="仿宋" w:cs="仿宋"/>
          <w:sz w:val="32"/>
          <w:szCs w:val="32"/>
          <w:lang w:bidi="ar"/>
        </w:rPr>
        <w:t>的具体</w:t>
      </w:r>
      <w:r>
        <w:rPr>
          <w:rFonts w:hint="eastAsia" w:ascii="仿宋" w:hAnsi="仿宋" w:eastAsia="仿宋" w:cs="仿宋"/>
          <w:sz w:val="32"/>
          <w:szCs w:val="32"/>
          <w:lang w:bidi="ar"/>
        </w:rPr>
        <w:t>用途</w:t>
      </w:r>
      <w:r>
        <w:rPr>
          <w:rFonts w:ascii="仿宋" w:hAnsi="仿宋" w:eastAsia="仿宋" w:cs="仿宋"/>
          <w:sz w:val="32"/>
          <w:szCs w:val="32"/>
          <w:lang w:bidi="ar"/>
        </w:rPr>
        <w:t>，该用途需与募集说明书约定的范围、比例等保持一致。如在募集说明书未说明募集资金专户的，可在发行结果公告中披露</w:t>
      </w:r>
      <w:r>
        <w:rPr>
          <w:rFonts w:hint="eastAsia" w:ascii="仿宋" w:hAnsi="仿宋" w:eastAsia="仿宋" w:cs="仿宋"/>
          <w:sz w:val="32"/>
          <w:szCs w:val="32"/>
          <w:lang w:bidi="ar"/>
        </w:rPr>
        <w:t>专户信息或在</w:t>
      </w:r>
      <w:r>
        <w:rPr>
          <w:rFonts w:hint="eastAsia" w:ascii="仿宋" w:hAnsi="仿宋" w:eastAsia="仿宋" w:cs="仿宋"/>
          <w:sz w:val="32"/>
          <w:szCs w:val="32"/>
          <w:lang w:eastAsia="zh-CN" w:bidi="ar"/>
        </w:rPr>
        <w:t>上市申请</w:t>
      </w:r>
      <w:r>
        <w:rPr>
          <w:rFonts w:hint="eastAsia" w:ascii="仿宋" w:hAnsi="仿宋" w:eastAsia="仿宋" w:cs="仿宋"/>
          <w:sz w:val="32"/>
          <w:szCs w:val="32"/>
          <w:lang w:val="en-US" w:eastAsia="zh-CN" w:bidi="ar"/>
        </w:rPr>
        <w:t>/转让服务申请环节报备。</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发行人的董事、监事、高级管理人员、持股比例超过</w:t>
      </w:r>
      <w:r>
        <w:rPr>
          <w:rFonts w:ascii="仿宋" w:hAnsi="仿宋" w:eastAsia="仿宋" w:cs="仿宋"/>
          <w:sz w:val="32"/>
          <w:szCs w:val="32"/>
          <w:lang w:bidi="ar"/>
        </w:rPr>
        <w:t>5%</w:t>
      </w:r>
      <w:r>
        <w:rPr>
          <w:rFonts w:hint="eastAsia" w:ascii="仿宋" w:hAnsi="仿宋" w:eastAsia="仿宋" w:cs="仿宋"/>
          <w:sz w:val="32"/>
          <w:szCs w:val="32"/>
          <w:lang w:bidi="ar"/>
        </w:rPr>
        <w:t>的股东及其他关联方参与相关债券认购，属于应披露的重大事项，发行人应当在发行结果公告中就相关认购情况进行披露。</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《发行结果公告》为事后审查公告，模板见附件</w:t>
      </w:r>
      <w:r>
        <w:rPr>
          <w:rFonts w:hint="eastAsia" w:ascii="仿宋" w:hAnsi="仿宋" w:eastAsia="仿宋" w:cs="仿宋"/>
          <w:sz w:val="32"/>
          <w:szCs w:val="32"/>
          <w:lang w:val="en-US" w:eastAsia="zh-CN" w:bidi="ar"/>
        </w:rPr>
        <w:t>8</w:t>
      </w:r>
      <w:r>
        <w:rPr>
          <w:rFonts w:hint="eastAsia" w:ascii="仿宋" w:hAnsi="仿宋" w:eastAsia="仿宋" w:cs="仿宋"/>
          <w:sz w:val="32"/>
          <w:szCs w:val="32"/>
          <w:lang w:bidi="ar"/>
        </w:rPr>
        <w:t>。</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投资者应当在认购环节向承销机构承诺审慎合理投资，不从事《关于进一步规范债券发行业务有关事项的通知》第八条第二款、第三款规定的行为。</w:t>
      </w:r>
    </w:p>
    <w:p>
      <w:pPr>
        <w:pStyle w:val="3"/>
        <w:widowControl/>
        <w:adjustRightInd w:val="0"/>
        <w:snapToGrid w:val="0"/>
        <w:spacing w:before="0" w:after="0" w:line="560" w:lineRule="exact"/>
        <w:ind w:firstLine="640" w:firstLineChars="200"/>
        <w:rPr>
          <w:rFonts w:ascii="仿宋" w:hAnsi="仿宋" w:eastAsia="仿宋" w:cs="仿宋"/>
          <w:b w:val="0"/>
          <w:bCs w:val="0"/>
          <w:highlight w:val="none"/>
          <w:lang w:bidi="ar"/>
        </w:rPr>
      </w:pPr>
      <w:bookmarkStart w:id="149" w:name="_Toc27055"/>
      <w:bookmarkStart w:id="150" w:name="_Toc22057"/>
      <w:bookmarkStart w:id="151" w:name="_Toc30963"/>
      <w:bookmarkStart w:id="152" w:name="_Toc14201"/>
      <w:bookmarkStart w:id="153" w:name="_Toc10530"/>
      <w:bookmarkStart w:id="154" w:name="_Toc988286017"/>
      <w:bookmarkStart w:id="155" w:name="_Toc1559945486"/>
      <w:bookmarkStart w:id="156" w:name="_Toc28938"/>
      <w:bookmarkStart w:id="157" w:name="_Toc18207"/>
      <w:bookmarkStart w:id="158" w:name="_Toc7117"/>
      <w:bookmarkStart w:id="159" w:name="_Toc10149"/>
      <w:bookmarkStart w:id="160" w:name="_Toc21605"/>
      <w:bookmarkStart w:id="161" w:name="_Toc6306"/>
      <w:r>
        <w:rPr>
          <w:rFonts w:hint="eastAsia" w:ascii="楷体" w:hAnsi="楷体" w:eastAsia="楷体" w:cs="楷体"/>
          <w:b w:val="0"/>
          <w:bCs w:val="0"/>
          <w:highlight w:val="none"/>
          <w:lang w:bidi="ar"/>
        </w:rPr>
        <w:t>三、网上发行+网下发行流程</w:t>
      </w:r>
      <w:bookmarkEnd w:id="149"/>
      <w:bookmarkEnd w:id="150"/>
      <w:bookmarkEnd w:id="151"/>
      <w:bookmarkEnd w:id="152"/>
      <w:bookmarkEnd w:id="153"/>
      <w:bookmarkEnd w:id="154"/>
      <w:bookmarkEnd w:id="155"/>
      <w:bookmarkEnd w:id="156"/>
      <w:bookmarkEnd w:id="157"/>
      <w:bookmarkEnd w:id="158"/>
      <w:bookmarkEnd w:id="159"/>
      <w:bookmarkEnd w:id="160"/>
      <w:bookmarkEnd w:id="161"/>
    </w:p>
    <w:p>
      <w:pPr>
        <w:adjustRightInd w:val="0"/>
        <w:snapToGrid w:val="0"/>
        <w:spacing w:line="56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本节未明确的部分流程请参见网</w:t>
      </w:r>
      <w:r>
        <w:rPr>
          <w:rFonts w:hint="eastAsia" w:ascii="仿宋" w:hAnsi="仿宋" w:eastAsia="仿宋" w:cs="仿宋"/>
          <w:sz w:val="32"/>
          <w:szCs w:val="32"/>
          <w:highlight w:val="none"/>
          <w:lang w:eastAsia="zh" w:bidi="ar"/>
        </w:rPr>
        <w:t>下</w:t>
      </w:r>
      <w:r>
        <w:rPr>
          <w:rFonts w:hint="eastAsia" w:ascii="仿宋" w:hAnsi="仿宋" w:eastAsia="仿宋" w:cs="仿宋"/>
          <w:sz w:val="32"/>
          <w:szCs w:val="32"/>
          <w:highlight w:val="none"/>
          <w:lang w:bidi="ar"/>
        </w:rPr>
        <w:t>发行流程。</w:t>
      </w:r>
    </w:p>
    <w:p>
      <w:pPr>
        <w:adjustRightInd w:val="0"/>
        <w:snapToGrid w:val="0"/>
        <w:spacing w:line="560" w:lineRule="exact"/>
        <w:ind w:firstLine="640" w:firstLineChars="200"/>
        <w:outlineLvl w:val="2"/>
        <w:rPr>
          <w:rFonts w:hint="eastAsia" w:ascii="仿宋" w:hAnsi="仿宋" w:eastAsia="仿宋" w:cs="仿宋"/>
          <w:sz w:val="32"/>
          <w:szCs w:val="32"/>
          <w:lang w:bidi="ar"/>
        </w:rPr>
      </w:pPr>
      <w:bookmarkStart w:id="162" w:name="_Toc26977"/>
      <w:r>
        <w:rPr>
          <w:rFonts w:hint="eastAsia" w:ascii="仿宋" w:hAnsi="仿宋" w:eastAsia="仿宋" w:cs="仿宋"/>
          <w:sz w:val="32"/>
          <w:szCs w:val="32"/>
          <w:lang w:bidi="ar"/>
        </w:rPr>
        <w:t>（一）提交发行备案申请</w:t>
      </w:r>
      <w:bookmarkEnd w:id="162"/>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除仅网下发行提交的材料外，主承销商应提交《网上发行申请表》。发行申请通过后，除债券代码外，将分派网上发行代码。</w:t>
      </w:r>
    </w:p>
    <w:p>
      <w:pPr>
        <w:adjustRightInd w:val="0"/>
        <w:snapToGrid w:val="0"/>
        <w:spacing w:line="560" w:lineRule="exact"/>
        <w:ind w:firstLine="640" w:firstLineChars="200"/>
        <w:outlineLvl w:val="2"/>
        <w:rPr>
          <w:rFonts w:ascii="仿宋" w:hAnsi="仿宋" w:eastAsia="仿宋" w:cs="仿宋"/>
          <w:sz w:val="32"/>
          <w:szCs w:val="32"/>
          <w:lang w:bidi="ar"/>
        </w:rPr>
      </w:pPr>
      <w:bookmarkStart w:id="163" w:name="_Toc14338"/>
      <w:r>
        <w:rPr>
          <w:rFonts w:hint="eastAsia" w:ascii="仿宋" w:hAnsi="仿宋" w:eastAsia="仿宋" w:cs="仿宋"/>
          <w:sz w:val="32"/>
          <w:szCs w:val="32"/>
          <w:lang w:bidi="ar"/>
        </w:rPr>
        <w:t>（二）披露发行公告文件</w:t>
      </w:r>
      <w:bookmarkEnd w:id="163"/>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除仅网下发行提交的发行文件外，应在《发行公告》的重要事项提示章节明确本期债券采用网上发行</w:t>
      </w:r>
      <w:r>
        <w:rPr>
          <w:rFonts w:ascii="仿宋" w:hAnsi="仿宋" w:eastAsia="仿宋" w:cs="仿宋"/>
          <w:sz w:val="32"/>
          <w:szCs w:val="32"/>
          <w:lang w:bidi="ar"/>
        </w:rPr>
        <w:t>+</w:t>
      </w:r>
      <w:r>
        <w:rPr>
          <w:rFonts w:hint="eastAsia" w:ascii="仿宋" w:hAnsi="仿宋" w:eastAsia="仿宋" w:cs="仿宋"/>
          <w:sz w:val="32"/>
          <w:szCs w:val="32"/>
          <w:lang w:bidi="ar"/>
        </w:rPr>
        <w:t>网下发行的方式、是否设立网上</w:t>
      </w:r>
      <w:r>
        <w:rPr>
          <w:rFonts w:ascii="仿宋" w:hAnsi="仿宋" w:eastAsia="仿宋" w:cs="仿宋"/>
          <w:sz w:val="32"/>
          <w:szCs w:val="32"/>
          <w:lang w:bidi="ar"/>
        </w:rPr>
        <w:t>/</w:t>
      </w:r>
      <w:r>
        <w:rPr>
          <w:rFonts w:hint="eastAsia" w:ascii="仿宋" w:hAnsi="仿宋" w:eastAsia="仿宋" w:cs="仿宋"/>
          <w:sz w:val="32"/>
          <w:szCs w:val="32"/>
          <w:lang w:bidi="ar"/>
        </w:rPr>
        <w:t>网下回拨机制、网上发行的方式等，并在《发行公告》的正文中说明网上发行的发行对象、发行规模、发行时间、认购方法、结算与登记等事项。</w:t>
      </w:r>
    </w:p>
    <w:p>
      <w:pPr>
        <w:adjustRightInd w:val="0"/>
        <w:snapToGrid w:val="0"/>
        <w:spacing w:line="560" w:lineRule="exact"/>
        <w:ind w:firstLine="640" w:firstLineChars="200"/>
        <w:outlineLvl w:val="2"/>
        <w:rPr>
          <w:rFonts w:ascii="仿宋" w:hAnsi="仿宋" w:eastAsia="仿宋" w:cs="仿宋"/>
          <w:sz w:val="32"/>
          <w:szCs w:val="32"/>
          <w:lang w:bidi="ar"/>
        </w:rPr>
      </w:pPr>
      <w:bookmarkStart w:id="164" w:name="_Toc10832"/>
      <w:r>
        <w:rPr>
          <w:rFonts w:hint="eastAsia" w:ascii="仿宋" w:hAnsi="仿宋" w:eastAsia="仿宋" w:cs="仿宋"/>
          <w:sz w:val="32"/>
          <w:szCs w:val="32"/>
          <w:lang w:bidi="ar"/>
        </w:rPr>
        <w:t>（三）网上发行</w:t>
      </w:r>
      <w:bookmarkEnd w:id="164"/>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网上发行的对象为开立深市</w:t>
      </w:r>
      <w:r>
        <w:rPr>
          <w:rFonts w:ascii="仿宋" w:hAnsi="仿宋" w:eastAsia="仿宋" w:cs="仿宋"/>
          <w:sz w:val="32"/>
          <w:szCs w:val="32"/>
          <w:lang w:bidi="ar"/>
        </w:rPr>
        <w:t>A</w:t>
      </w:r>
      <w:r>
        <w:rPr>
          <w:rFonts w:hint="eastAsia" w:ascii="仿宋" w:hAnsi="仿宋" w:eastAsia="仿宋" w:cs="仿宋"/>
          <w:sz w:val="32"/>
          <w:szCs w:val="32"/>
          <w:lang w:bidi="ar"/>
        </w:rPr>
        <w:t>股证券账户的普通投资者。在本所交易时间，参与网上发行的投资者通过本所交易系统，以网上发行代码进行买入申报。本所交易系统将按照“时间优先”的原则实时确认成交。当网上发行累积成交数量达到网上发行的预设数量时，网上发行即结束。如网上发行日结束时成交数量未达到网上发行数量，且设立了网上</w:t>
      </w:r>
      <w:r>
        <w:rPr>
          <w:rFonts w:ascii="仿宋" w:hAnsi="仿宋" w:eastAsia="仿宋" w:cs="仿宋"/>
          <w:sz w:val="32"/>
          <w:szCs w:val="32"/>
          <w:lang w:bidi="ar"/>
        </w:rPr>
        <w:t>/</w:t>
      </w:r>
      <w:r>
        <w:rPr>
          <w:rFonts w:hint="eastAsia" w:ascii="仿宋" w:hAnsi="仿宋" w:eastAsia="仿宋" w:cs="仿宋"/>
          <w:sz w:val="32"/>
          <w:szCs w:val="32"/>
          <w:lang w:bidi="ar"/>
        </w:rPr>
        <w:t>网下回拨机制，网上发行剩余数量将回拨至网下发行。</w:t>
      </w:r>
    </w:p>
    <w:p>
      <w:pPr>
        <w:adjustRightInd w:val="0"/>
        <w:snapToGrid w:val="0"/>
        <w:spacing w:line="560" w:lineRule="exact"/>
        <w:ind w:firstLine="640" w:firstLineChars="200"/>
        <w:outlineLvl w:val="2"/>
        <w:rPr>
          <w:rFonts w:hint="eastAsia" w:ascii="仿宋" w:hAnsi="仿宋" w:eastAsia="仿宋" w:cs="仿宋"/>
          <w:sz w:val="32"/>
          <w:szCs w:val="32"/>
          <w:lang w:bidi="ar"/>
        </w:rPr>
      </w:pPr>
      <w:bookmarkStart w:id="165" w:name="_Toc25602"/>
      <w:r>
        <w:rPr>
          <w:rFonts w:hint="eastAsia" w:ascii="仿宋" w:hAnsi="仿宋" w:eastAsia="仿宋" w:cs="仿宋"/>
          <w:sz w:val="32"/>
          <w:szCs w:val="32"/>
          <w:lang w:bidi="ar"/>
        </w:rPr>
        <w:t>（四）披露发行结果公告</w:t>
      </w:r>
      <w:bookmarkEnd w:id="165"/>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《发行结果公告》中应披露网上、网下预设发行的金额、占比，以及网上、网下最终认购的金额及占比。</w:t>
      </w:r>
    </w:p>
    <w:p>
      <w:pPr>
        <w:pStyle w:val="3"/>
        <w:widowControl/>
        <w:adjustRightInd w:val="0"/>
        <w:snapToGrid w:val="0"/>
        <w:spacing w:before="0" w:after="0" w:line="560" w:lineRule="exact"/>
        <w:ind w:firstLine="640" w:firstLineChars="200"/>
        <w:rPr>
          <w:rFonts w:hint="eastAsia" w:ascii="楷体" w:hAnsi="楷体" w:eastAsia="楷体" w:cs="楷体"/>
          <w:b w:val="0"/>
          <w:bCs w:val="0"/>
          <w:lang w:bidi="ar"/>
        </w:rPr>
      </w:pPr>
      <w:bookmarkStart w:id="166" w:name="_Toc404017353"/>
      <w:bookmarkStart w:id="167" w:name="_Toc4619"/>
      <w:bookmarkStart w:id="168" w:name="_Toc25229"/>
      <w:bookmarkStart w:id="169" w:name="_Toc30160"/>
      <w:bookmarkStart w:id="170" w:name="_Toc17287"/>
      <w:bookmarkStart w:id="171" w:name="_Toc29247"/>
      <w:bookmarkStart w:id="172" w:name="_Toc146734260"/>
      <w:bookmarkStart w:id="173" w:name="_Toc16534"/>
      <w:bookmarkStart w:id="174" w:name="_Toc18275"/>
      <w:bookmarkStart w:id="175" w:name="_Toc21420"/>
      <w:bookmarkStart w:id="176" w:name="_Toc4073"/>
      <w:bookmarkStart w:id="177" w:name="_Toc200977303"/>
      <w:bookmarkStart w:id="178" w:name="_Toc25501"/>
      <w:bookmarkStart w:id="179" w:name="_Toc7769"/>
      <w:r>
        <w:rPr>
          <w:rFonts w:hint="eastAsia" w:ascii="楷体" w:hAnsi="楷体" w:eastAsia="楷体" w:cs="楷体"/>
          <w:b w:val="0"/>
          <w:bCs w:val="0"/>
          <w:lang w:bidi="ar"/>
        </w:rPr>
        <w:t>四、可交债网上发行+网下发行流程</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网上和网下同时发行的可交债</w:t>
      </w:r>
      <w:r>
        <w:rPr>
          <w:rFonts w:ascii="仿宋" w:hAnsi="仿宋" w:eastAsia="仿宋" w:cs="仿宋"/>
          <w:sz w:val="32"/>
          <w:szCs w:val="32"/>
          <w:lang w:bidi="ar"/>
        </w:rPr>
        <w:t>参见</w:t>
      </w:r>
      <w:r>
        <w:rPr>
          <w:rFonts w:hint="eastAsia" w:ascii="仿宋" w:hAnsi="仿宋" w:eastAsia="仿宋" w:cs="仿宋"/>
          <w:sz w:val="32"/>
          <w:szCs w:val="32"/>
          <w:lang w:bidi="ar"/>
        </w:rPr>
        <w:t>《深圳证券交易所可交换公司债券发行上市业务办理指南（</w:t>
      </w:r>
      <w:r>
        <w:rPr>
          <w:rFonts w:ascii="仿宋" w:hAnsi="仿宋" w:eastAsia="仿宋" w:cs="仿宋"/>
          <w:sz w:val="32"/>
          <w:szCs w:val="32"/>
          <w:lang w:bidi="ar"/>
        </w:rPr>
        <w:t>2018</w:t>
      </w:r>
      <w:r>
        <w:rPr>
          <w:rFonts w:hint="eastAsia" w:ascii="仿宋" w:hAnsi="仿宋" w:eastAsia="仿宋" w:cs="仿宋"/>
          <w:sz w:val="32"/>
          <w:szCs w:val="32"/>
          <w:lang w:bidi="ar"/>
        </w:rPr>
        <w:t>年</w:t>
      </w:r>
      <w:r>
        <w:rPr>
          <w:rFonts w:ascii="仿宋" w:hAnsi="仿宋" w:eastAsia="仿宋" w:cs="仿宋"/>
          <w:sz w:val="32"/>
          <w:szCs w:val="32"/>
          <w:lang w:bidi="ar"/>
        </w:rPr>
        <w:t>12</w:t>
      </w:r>
      <w:r>
        <w:rPr>
          <w:rFonts w:hint="eastAsia" w:ascii="仿宋" w:hAnsi="仿宋" w:eastAsia="仿宋" w:cs="仿宋"/>
          <w:sz w:val="32"/>
          <w:szCs w:val="32"/>
          <w:lang w:bidi="ar"/>
        </w:rPr>
        <w:t>月修订）》的相关内容进行。</w:t>
      </w:r>
    </w:p>
    <w:p>
      <w:pPr>
        <w:pStyle w:val="3"/>
        <w:widowControl/>
        <w:adjustRightInd w:val="0"/>
        <w:snapToGrid w:val="0"/>
        <w:spacing w:before="0" w:beforeLines="-2147483648" w:after="0" w:afterLines="-2147483648" w:line="560" w:lineRule="exact"/>
        <w:ind w:left="0" w:firstLine="640" w:firstLineChars="200"/>
        <w:rPr>
          <w:rFonts w:hint="eastAsia" w:ascii="楷体" w:hAnsi="楷体" w:eastAsia="楷体" w:cs="楷体"/>
          <w:b w:val="0"/>
          <w:bCs w:val="0"/>
          <w:kern w:val="2"/>
          <w:sz w:val="32"/>
          <w:szCs w:val="32"/>
          <w:lang w:bidi="ar"/>
        </w:rPr>
      </w:pPr>
      <w:bookmarkStart w:id="180" w:name="_Toc2024740662"/>
      <w:bookmarkStart w:id="181" w:name="_Toc25256"/>
      <w:bookmarkStart w:id="182" w:name="_Toc5864"/>
      <w:bookmarkStart w:id="183" w:name="_Toc16268"/>
      <w:bookmarkStart w:id="184" w:name="_Toc26184"/>
      <w:bookmarkStart w:id="185" w:name="_Toc9851"/>
      <w:bookmarkStart w:id="186" w:name="_Toc839844117"/>
      <w:bookmarkStart w:id="187" w:name="_Toc25175"/>
      <w:bookmarkStart w:id="188" w:name="_Toc11744"/>
      <w:bookmarkStart w:id="189" w:name="_Toc31363"/>
      <w:bookmarkStart w:id="190" w:name="_Toc27332"/>
      <w:r>
        <w:rPr>
          <w:rFonts w:hint="eastAsia" w:ascii="楷体" w:hAnsi="楷体" w:eastAsia="楷体" w:cs="楷体"/>
          <w:b w:val="0"/>
          <w:bCs w:val="0"/>
          <w:kern w:val="2"/>
          <w:sz w:val="32"/>
          <w:szCs w:val="32"/>
          <w:lang w:bidi="ar"/>
        </w:rPr>
        <w:t>五、公司债券续发行（试点）</w:t>
      </w:r>
      <w:bookmarkEnd w:id="180"/>
      <w:bookmarkEnd w:id="181"/>
      <w:bookmarkEnd w:id="182"/>
      <w:bookmarkEnd w:id="183"/>
      <w:bookmarkEnd w:id="184"/>
      <w:bookmarkEnd w:id="185"/>
      <w:bookmarkEnd w:id="186"/>
      <w:bookmarkEnd w:id="187"/>
      <w:bookmarkEnd w:id="188"/>
      <w:bookmarkEnd w:id="189"/>
      <w:bookmarkEnd w:id="190"/>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公司债券续发行是指已在本所上市挂牌的存量公司债券的发行人进行增量发行并将增量发行债券与存量债券合并上市挂牌</w:t>
      </w:r>
      <w:r>
        <w:rPr>
          <w:rFonts w:hint="eastAsia" w:ascii="仿宋" w:hAnsi="仿宋" w:eastAsia="仿宋" w:cs="仿宋"/>
          <w:kern w:val="0"/>
          <w:sz w:val="32"/>
          <w:szCs w:val="32"/>
          <w:lang w:val="en-US" w:eastAsia="zh-CN" w:bidi="ar"/>
        </w:rPr>
        <w:t>。</w:t>
      </w:r>
      <w:r>
        <w:rPr>
          <w:rFonts w:hint="eastAsia" w:ascii="仿宋" w:hAnsi="仿宋" w:eastAsia="仿宋" w:cs="仿宋"/>
          <w:kern w:val="2"/>
          <w:sz w:val="32"/>
          <w:szCs w:val="32"/>
          <w:lang w:val="en-US" w:eastAsia="zh-CN" w:bidi="ar"/>
        </w:rPr>
        <w:t>合并上市挂牌首日，续发行公司债券的</w:t>
      </w:r>
      <w:r>
        <w:rPr>
          <w:rFonts w:hint="eastAsia" w:ascii="仿宋" w:hAnsi="仿宋" w:eastAsia="仿宋" w:cs="仿宋"/>
          <w:kern w:val="2"/>
          <w:sz w:val="32"/>
          <w:szCs w:val="32"/>
          <w:lang w:val="en-US" w:eastAsia="zh" w:bidi="ar"/>
        </w:rPr>
        <w:t>债</w:t>
      </w:r>
      <w:r>
        <w:rPr>
          <w:rFonts w:hint="eastAsia" w:ascii="仿宋" w:hAnsi="仿宋" w:eastAsia="仿宋" w:cs="仿宋"/>
          <w:kern w:val="2"/>
          <w:sz w:val="32"/>
          <w:szCs w:val="32"/>
          <w:lang w:val="en-US" w:eastAsia="zh-CN" w:bidi="ar"/>
        </w:rPr>
        <w:t>券全称、</w:t>
      </w:r>
      <w:r>
        <w:rPr>
          <w:rFonts w:hint="eastAsia" w:ascii="仿宋" w:hAnsi="仿宋" w:eastAsia="仿宋" w:cs="仿宋"/>
          <w:kern w:val="2"/>
          <w:sz w:val="32"/>
          <w:szCs w:val="32"/>
          <w:lang w:val="en-US" w:eastAsia="zh" w:bidi="ar"/>
        </w:rPr>
        <w:t>债</w:t>
      </w:r>
      <w:r>
        <w:rPr>
          <w:rFonts w:hint="eastAsia" w:ascii="仿宋" w:hAnsi="仿宋" w:eastAsia="仿宋" w:cs="仿宋"/>
          <w:kern w:val="2"/>
          <w:sz w:val="32"/>
          <w:szCs w:val="32"/>
          <w:lang w:val="en-US" w:eastAsia="zh-CN" w:bidi="ar"/>
        </w:rPr>
        <w:t>券代码、证券简称、证券简称</w:t>
      </w:r>
      <w:r>
        <w:rPr>
          <w:rFonts w:hint="eastAsia" w:ascii="仿宋" w:hAnsi="仿宋" w:eastAsia="仿宋" w:cs="仿宋"/>
          <w:kern w:val="2"/>
          <w:sz w:val="32"/>
          <w:szCs w:val="32"/>
          <w:lang w:val="en-US" w:eastAsia="zh" w:bidi="ar"/>
        </w:rPr>
        <w:t>（短）</w:t>
      </w:r>
      <w:r>
        <w:rPr>
          <w:rFonts w:hint="eastAsia" w:ascii="仿宋" w:hAnsi="仿宋" w:eastAsia="仿宋" w:cs="仿宋"/>
          <w:kern w:val="2"/>
          <w:sz w:val="32"/>
          <w:szCs w:val="32"/>
          <w:lang w:val="en-US" w:eastAsia="zh-CN" w:bidi="ar"/>
        </w:rPr>
        <w:t>、起息日、付息日、到期日、面值、票面利率和特殊条款等基本信息应与存量债券保持一致。</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如果拟与续发行债券合并上市挂牌的存量公司债券需要支付递延利息，发行人需在续发行债券募集说明书等发行文件中明确续发行债券持有人享有与存续债券持有人相同的递延利息获取权。</w:t>
      </w:r>
    </w:p>
    <w:p>
      <w:pPr>
        <w:pStyle w:val="27"/>
        <w:keepNext w:val="0"/>
        <w:keepLines w:val="0"/>
        <w:pageBreakBefore w:val="0"/>
        <w:widowControl/>
        <w:suppressLineNumbers w:val="0"/>
        <w:shd w:val="clear" w:fill="FFFFFF"/>
        <w:kinsoku/>
        <w:wordWrap w:val="0"/>
        <w:overflowPunct/>
        <w:topLinePunct w:val="0"/>
        <w:autoSpaceDE/>
        <w:autoSpaceDN/>
        <w:bidi w:val="0"/>
        <w:adjustRightInd w:val="0"/>
        <w:snapToGrid w:val="0"/>
        <w:spacing w:before="0" w:beforeAutospacing="0" w:after="0" w:afterAutospacing="0" w:line="560" w:lineRule="exact"/>
        <w:ind w:left="0" w:firstLine="640" w:firstLineChars="200"/>
        <w:jc w:val="left"/>
        <w:textAlignment w:val="auto"/>
        <w:rPr>
          <w:rFonts w:hint="eastAsia" w:ascii="仿宋" w:hAnsi="仿宋" w:eastAsia="仿宋" w:cs="仿宋"/>
          <w:i w:val="0"/>
          <w:caps w:val="0"/>
          <w:color w:val="auto"/>
          <w:spacing w:val="0"/>
          <w:sz w:val="32"/>
          <w:szCs w:val="32"/>
          <w:highlight w:val="none"/>
        </w:rPr>
      </w:pPr>
      <w:r>
        <w:rPr>
          <w:rFonts w:hint="eastAsia" w:ascii="仿宋" w:hAnsi="仿宋" w:eastAsia="仿宋" w:cs="仿宋"/>
          <w:i w:val="0"/>
          <w:caps w:val="0"/>
          <w:color w:val="auto"/>
          <w:spacing w:val="0"/>
          <w:sz w:val="32"/>
          <w:szCs w:val="32"/>
          <w:shd w:val="clear" w:fill="FFFFFF"/>
        </w:rPr>
        <w:t>发行人、主承销商应当以询价等市场化方式确定续发行的发行价格。发行人应当在发行公告中详细披露发行价格的确</w:t>
      </w:r>
      <w:r>
        <w:rPr>
          <w:rFonts w:hint="eastAsia" w:ascii="仿宋" w:hAnsi="仿宋" w:eastAsia="仿宋" w:cs="仿宋"/>
          <w:i w:val="0"/>
          <w:caps w:val="0"/>
          <w:color w:val="auto"/>
          <w:spacing w:val="0"/>
          <w:sz w:val="32"/>
          <w:szCs w:val="32"/>
          <w:highlight w:val="none"/>
          <w:shd w:val="clear" w:fill="FFFFFF"/>
        </w:rPr>
        <w:t>定原则和确定方式。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发行人应合理确定续发行及登记上市时间安排，不应与公司债券派息兑付、回售赎回等业务期间重合。</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lang w:val="en-US" w:eastAsia="zh-CN" w:bidi="ar"/>
        </w:rPr>
        <w:t>拟采取簿记建档方式续发行的，则簿记建档开始时间原则上不早于簿记建档当日15:30。确有必要的，续发行期间发行人可以按照本所相关规定申请存量公司债券停牌。发行人、主承销商应当按照本所业务规则的规定和本指南“网下发行流程”完成发行备案、按要求履行发行信息披露义务并组织发行。</w:t>
      </w:r>
    </w:p>
    <w:p>
      <w:pPr>
        <w:adjustRightInd/>
        <w:snapToGrid/>
        <w:spacing w:line="240" w:lineRule="auto"/>
        <w:ind w:firstLine="0" w:firstLineChars="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br w:type="page"/>
      </w:r>
    </w:p>
    <w:p>
      <w:pPr>
        <w:pStyle w:val="2"/>
        <w:keepNext w:val="0"/>
        <w:keepLines w:val="0"/>
        <w:adjustRightInd w:val="0"/>
        <w:snapToGrid w:val="0"/>
        <w:spacing w:before="156" w:beforeLines="50" w:after="156" w:afterLines="50" w:line="240" w:lineRule="auto"/>
        <w:jc w:val="center"/>
        <w:rPr>
          <w:rFonts w:hint="eastAsia" w:ascii="黑体" w:hAnsi="黑体" w:eastAsia="黑体" w:cs="黑体"/>
          <w:kern w:val="44"/>
          <w:sz w:val="32"/>
          <w:szCs w:val="32"/>
          <w:highlight w:val="none"/>
          <w:lang w:bidi="ar"/>
        </w:rPr>
      </w:pPr>
      <w:bookmarkStart w:id="191" w:name="_Toc29761"/>
      <w:bookmarkStart w:id="192" w:name="_Toc8863"/>
      <w:bookmarkStart w:id="193" w:name="_Toc25347"/>
      <w:bookmarkStart w:id="194" w:name="_Toc25726"/>
      <w:bookmarkStart w:id="195" w:name="_Toc7408"/>
      <w:bookmarkStart w:id="196" w:name="_Toc29876"/>
      <w:bookmarkStart w:id="197" w:name="_Toc6992"/>
      <w:bookmarkStart w:id="198" w:name="_Toc7167"/>
      <w:bookmarkStart w:id="199" w:name="_Toc19317"/>
      <w:bookmarkStart w:id="200" w:name="_Toc432230653"/>
      <w:bookmarkStart w:id="201" w:name="_Toc1168099819"/>
      <w:r>
        <w:rPr>
          <w:rFonts w:hint="eastAsia" w:ascii="黑体" w:hAnsi="黑体" w:eastAsia="黑体" w:cs="黑体"/>
          <w:sz w:val="32"/>
          <w:szCs w:val="32"/>
          <w:highlight w:val="none"/>
          <w:lang w:eastAsia="zh-CN" w:bidi="ar"/>
        </w:rPr>
        <w:t>第三章</w:t>
      </w:r>
      <w:r>
        <w:rPr>
          <w:rFonts w:hint="eastAsia" w:ascii="黑体" w:hAnsi="黑体" w:eastAsia="黑体" w:cs="黑体"/>
          <w:sz w:val="32"/>
          <w:szCs w:val="32"/>
          <w:highlight w:val="none"/>
          <w:lang w:eastAsia="zh" w:bidi="ar"/>
        </w:rPr>
        <w:t xml:space="preserve"> </w:t>
      </w:r>
      <w:bookmarkStart w:id="202" w:name="_Toc989"/>
      <w:bookmarkStart w:id="203" w:name="_Toc19928"/>
      <w:r>
        <w:rPr>
          <w:rFonts w:hint="eastAsia" w:ascii="黑体" w:hAnsi="黑体" w:eastAsia="黑体" w:cs="黑体"/>
          <w:kern w:val="44"/>
          <w:sz w:val="32"/>
          <w:szCs w:val="32"/>
          <w:highlight w:val="none"/>
          <w:lang w:bidi="ar"/>
        </w:rPr>
        <w:t>公司债券登记与上市挂牌业务</w:t>
      </w:r>
      <w:bookmarkEnd w:id="191"/>
      <w:bookmarkEnd w:id="192"/>
      <w:bookmarkEnd w:id="193"/>
      <w:bookmarkEnd w:id="194"/>
      <w:bookmarkEnd w:id="195"/>
      <w:bookmarkEnd w:id="196"/>
      <w:bookmarkEnd w:id="197"/>
      <w:bookmarkEnd w:id="198"/>
      <w:bookmarkEnd w:id="199"/>
      <w:bookmarkEnd w:id="200"/>
      <w:bookmarkEnd w:id="201"/>
      <w:bookmarkEnd w:id="202"/>
      <w:bookmarkEnd w:id="203"/>
    </w:p>
    <w:p>
      <w:pPr>
        <w:pStyle w:val="3"/>
        <w:keepNext w:val="0"/>
        <w:keepLines w:val="0"/>
        <w:adjustRightInd w:val="0"/>
        <w:snapToGrid w:val="0"/>
        <w:spacing w:before="0" w:after="0" w:line="560" w:lineRule="exact"/>
        <w:ind w:firstLine="640" w:firstLineChars="200"/>
        <w:rPr>
          <w:rFonts w:hint="eastAsia" w:ascii="楷体" w:hAnsi="楷体" w:eastAsia="楷体" w:cs="楷体"/>
          <w:b w:val="0"/>
          <w:bCs w:val="0"/>
          <w:highlight w:val="none"/>
          <w:lang w:bidi="ar"/>
        </w:rPr>
      </w:pPr>
      <w:bookmarkStart w:id="204" w:name="_Toc5706"/>
      <w:bookmarkStart w:id="205" w:name="_Toc4954"/>
      <w:bookmarkStart w:id="206" w:name="_Toc438026768"/>
      <w:bookmarkStart w:id="207" w:name="_Toc2095240003"/>
      <w:bookmarkStart w:id="208" w:name="_Toc22985"/>
      <w:bookmarkStart w:id="209" w:name="_Toc17609"/>
      <w:bookmarkStart w:id="210" w:name="_Toc22559"/>
      <w:bookmarkStart w:id="211" w:name="_Toc6940"/>
      <w:bookmarkStart w:id="212" w:name="_Toc29706"/>
      <w:bookmarkStart w:id="213" w:name="_Toc21862"/>
      <w:bookmarkStart w:id="214" w:name="_Toc21122"/>
      <w:bookmarkStart w:id="215" w:name="_Toc20334"/>
      <w:bookmarkStart w:id="216" w:name="_Toc5316"/>
      <w:r>
        <w:rPr>
          <w:rFonts w:hint="eastAsia" w:ascii="楷体" w:hAnsi="楷体" w:eastAsia="楷体" w:cs="楷体"/>
          <w:b w:val="0"/>
          <w:bCs w:val="0"/>
          <w:highlight w:val="none"/>
          <w:lang w:bidi="ar"/>
        </w:rPr>
        <w:t>一、债券登记申请</w:t>
      </w:r>
      <w:bookmarkEnd w:id="204"/>
      <w:bookmarkEnd w:id="205"/>
      <w:bookmarkEnd w:id="206"/>
      <w:bookmarkEnd w:id="207"/>
      <w:bookmarkEnd w:id="208"/>
      <w:bookmarkEnd w:id="209"/>
      <w:bookmarkEnd w:id="210"/>
      <w:bookmarkEnd w:id="211"/>
      <w:bookmarkEnd w:id="212"/>
      <w:bookmarkEnd w:id="213"/>
      <w:bookmarkEnd w:id="214"/>
      <w:bookmarkEnd w:id="215"/>
      <w:bookmarkEnd w:id="216"/>
    </w:p>
    <w:p>
      <w:pPr>
        <w:adjustRightInd w:val="0"/>
        <w:snapToGrid w:val="0"/>
        <w:spacing w:line="56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主承销商应不晚于发行结束</w:t>
      </w:r>
      <w:r>
        <w:rPr>
          <w:rFonts w:hint="eastAsia" w:ascii="仿宋" w:hAnsi="仿宋" w:eastAsia="仿宋" w:cs="仿宋"/>
          <w:sz w:val="32"/>
          <w:szCs w:val="32"/>
          <w:highlight w:val="none"/>
          <w:lang w:eastAsia="zh" w:bidi="ar"/>
        </w:rPr>
        <w:t>日（</w:t>
      </w:r>
      <w:r>
        <w:rPr>
          <w:rFonts w:hint="eastAsia" w:ascii="仿宋" w:hAnsi="仿宋" w:eastAsia="仿宋" w:cs="仿宋"/>
          <w:b w:val="0"/>
          <w:bCs w:val="0"/>
          <w:sz w:val="32"/>
          <w:szCs w:val="32"/>
          <w:highlight w:val="none"/>
          <w:lang w:val="en-US" w:eastAsia="zh-CN" w:bidi="ar"/>
        </w:rPr>
        <w:t>S</w:t>
      </w:r>
      <w:r>
        <w:rPr>
          <w:rFonts w:hint="eastAsia" w:ascii="仿宋" w:hAnsi="仿宋" w:eastAsia="仿宋" w:cs="仿宋"/>
          <w:sz w:val="32"/>
          <w:szCs w:val="32"/>
          <w:highlight w:val="none"/>
          <w:lang w:eastAsia="zh" w:bidi="ar"/>
        </w:rPr>
        <w:t>日）次</w:t>
      </w:r>
      <w:r>
        <w:rPr>
          <w:rFonts w:hint="eastAsia" w:ascii="仿宋" w:hAnsi="仿宋" w:eastAsia="仿宋" w:cs="仿宋"/>
          <w:sz w:val="32"/>
          <w:szCs w:val="32"/>
          <w:highlight w:val="none"/>
          <w:lang w:bidi="ar"/>
        </w:rPr>
        <w:t>日通过本所</w:t>
      </w:r>
      <w:r>
        <w:rPr>
          <w:rFonts w:ascii="仿宋" w:hAnsi="仿宋" w:eastAsia="仿宋" w:cs="仿宋"/>
          <w:sz w:val="32"/>
          <w:szCs w:val="32"/>
          <w:highlight w:val="none"/>
          <w:lang w:bidi="ar"/>
        </w:rPr>
        <w:t>固收</w:t>
      </w:r>
      <w:r>
        <w:rPr>
          <w:rFonts w:hint="eastAsia" w:ascii="仿宋" w:hAnsi="仿宋" w:eastAsia="仿宋" w:cs="仿宋"/>
          <w:sz w:val="32"/>
          <w:szCs w:val="32"/>
          <w:highlight w:val="none"/>
          <w:lang w:bidi="ar"/>
        </w:rPr>
        <w:t>专区提交初始登记申请。</w:t>
      </w:r>
    </w:p>
    <w:p>
      <w:pPr>
        <w:pStyle w:val="4"/>
        <w:keepNext w:val="0"/>
        <w:keepLines w:val="0"/>
        <w:adjustRightInd w:val="0"/>
        <w:snapToGrid w:val="0"/>
        <w:spacing w:before="0" w:after="0" w:line="560" w:lineRule="exact"/>
        <w:ind w:firstLine="640" w:firstLineChars="200"/>
        <w:rPr>
          <w:rFonts w:hint="eastAsia" w:ascii="仿宋" w:hAnsi="仿宋" w:eastAsia="仿宋" w:cs="仿宋"/>
          <w:b w:val="0"/>
          <w:bCs w:val="0"/>
          <w:highlight w:val="none"/>
          <w:lang w:bidi="ar"/>
        </w:rPr>
      </w:pPr>
      <w:bookmarkStart w:id="217" w:name="_Toc17849"/>
      <w:r>
        <w:rPr>
          <w:rFonts w:hint="eastAsia" w:ascii="仿宋" w:hAnsi="仿宋" w:eastAsia="仿宋" w:cs="仿宋"/>
          <w:b w:val="0"/>
          <w:bCs w:val="0"/>
          <w:highlight w:val="none"/>
          <w:lang w:bidi="ar"/>
        </w:rPr>
        <w:t>（一）提交登记申请</w:t>
      </w:r>
      <w:bookmarkEnd w:id="217"/>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highlight w:val="none"/>
          <w:lang w:bidi="ar"/>
        </w:rPr>
        <w:t>主承销商应当通过固收专区-</w:t>
      </w:r>
      <w:r>
        <w:rPr>
          <w:rFonts w:hint="eastAsia" w:ascii="仿宋" w:hAnsi="仿宋" w:eastAsia="仿宋" w:cs="仿宋"/>
          <w:sz w:val="32"/>
          <w:szCs w:val="32"/>
          <w:highlight w:val="none"/>
          <w:lang w:eastAsia="zh" w:bidi="ar"/>
        </w:rPr>
        <w:t>发行上市-新增</w:t>
      </w:r>
      <w:r>
        <w:rPr>
          <w:rFonts w:hint="eastAsia" w:ascii="仿宋" w:hAnsi="仿宋" w:eastAsia="仿宋" w:cs="仿宋"/>
          <w:sz w:val="32"/>
          <w:szCs w:val="32"/>
          <w:highlight w:val="none"/>
          <w:lang w:bidi="ar"/>
        </w:rPr>
        <w:t>公开发行债券</w:t>
      </w:r>
      <w:r>
        <w:rPr>
          <w:rFonts w:hint="eastAsia" w:ascii="仿宋" w:hAnsi="仿宋" w:eastAsia="仿宋" w:cs="仿宋"/>
          <w:sz w:val="32"/>
          <w:szCs w:val="32"/>
          <w:highlight w:val="none"/>
          <w:lang w:eastAsia="zh" w:bidi="ar"/>
        </w:rPr>
        <w:t>申请</w:t>
      </w:r>
      <w:r>
        <w:rPr>
          <w:rFonts w:hint="eastAsia" w:ascii="仿宋" w:hAnsi="仿宋" w:eastAsia="仿宋" w:cs="仿宋"/>
          <w:sz w:val="32"/>
          <w:szCs w:val="32"/>
          <w:highlight w:val="none"/>
          <w:lang w:bidi="ar"/>
        </w:rPr>
        <w:t>-初始登记</w:t>
      </w:r>
      <w:r>
        <w:rPr>
          <w:rFonts w:ascii="仿宋" w:hAnsi="仿宋" w:eastAsia="仿宋" w:cs="仿宋"/>
          <w:sz w:val="32"/>
          <w:szCs w:val="32"/>
          <w:highlight w:val="none"/>
          <w:lang w:bidi="ar"/>
        </w:rPr>
        <w:t>申请或者</w:t>
      </w:r>
      <w:r>
        <w:rPr>
          <w:rFonts w:hint="eastAsia" w:ascii="仿宋" w:hAnsi="仿宋" w:eastAsia="仿宋" w:cs="仿宋"/>
          <w:sz w:val="32"/>
          <w:szCs w:val="32"/>
          <w:highlight w:val="none"/>
          <w:lang w:bidi="ar"/>
        </w:rPr>
        <w:t>固收专区-</w:t>
      </w:r>
      <w:r>
        <w:rPr>
          <w:rFonts w:hint="eastAsia" w:ascii="仿宋" w:hAnsi="仿宋" w:eastAsia="仿宋" w:cs="仿宋"/>
          <w:sz w:val="32"/>
          <w:szCs w:val="32"/>
          <w:highlight w:val="none"/>
          <w:lang w:eastAsia="zh" w:bidi="ar"/>
        </w:rPr>
        <w:t>发行上市</w:t>
      </w:r>
      <w:r>
        <w:rPr>
          <w:rFonts w:hint="eastAsia" w:ascii="仿宋" w:hAnsi="仿宋" w:eastAsia="仿宋" w:cs="仿宋"/>
          <w:sz w:val="32"/>
          <w:szCs w:val="32"/>
          <w:lang w:eastAsia="zh" w:bidi="ar"/>
        </w:rPr>
        <w:t>-新增</w:t>
      </w:r>
      <w:r>
        <w:rPr>
          <w:rFonts w:hint="eastAsia" w:ascii="仿宋" w:hAnsi="仿宋" w:eastAsia="仿宋" w:cs="仿宋"/>
          <w:sz w:val="32"/>
          <w:szCs w:val="32"/>
          <w:lang w:bidi="ar"/>
        </w:rPr>
        <w:t>非公开发行债券</w:t>
      </w:r>
      <w:r>
        <w:rPr>
          <w:rFonts w:hint="eastAsia" w:ascii="仿宋" w:hAnsi="仿宋" w:eastAsia="仿宋" w:cs="仿宋"/>
          <w:sz w:val="32"/>
          <w:szCs w:val="32"/>
          <w:lang w:eastAsia="zh" w:bidi="ar"/>
        </w:rPr>
        <w:t>申请</w:t>
      </w:r>
      <w:r>
        <w:rPr>
          <w:rFonts w:hint="eastAsia" w:ascii="仿宋" w:hAnsi="仿宋" w:eastAsia="仿宋" w:cs="仿宋"/>
          <w:sz w:val="32"/>
          <w:szCs w:val="32"/>
          <w:lang w:bidi="ar"/>
        </w:rPr>
        <w:t>-初始登记申请</w:t>
      </w:r>
      <w:r>
        <w:rPr>
          <w:rFonts w:ascii="仿宋" w:hAnsi="仿宋" w:eastAsia="仿宋" w:cs="仿宋"/>
          <w:sz w:val="32"/>
          <w:szCs w:val="32"/>
          <w:lang w:bidi="ar"/>
        </w:rPr>
        <w:t>-</w:t>
      </w:r>
      <w:r>
        <w:rPr>
          <w:rFonts w:hint="eastAsia" w:ascii="仿宋" w:hAnsi="仿宋" w:eastAsia="仿宋" w:cs="仿宋"/>
          <w:sz w:val="32"/>
          <w:szCs w:val="32"/>
          <w:lang w:bidi="ar"/>
        </w:rPr>
        <w:t>提交初始登记申请。请根据登记申请界面操作提示的要求填写“选择证券”栏目内信息和经办人信息，并依次填写登记申请信息、登记明细、材料信息（可交债还需填写质押信息）。</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1.登记申请信息</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请填写发行人是否为深市上市公司、主承销商名称、结算存续期业务授权承销商名称等信息。</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2.登记明细</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页面提供模板下载，请根据模板提交登记明细。登记明细导入数据后，需自助核验通过</w:t>
      </w:r>
      <w:r>
        <w:rPr>
          <w:rFonts w:ascii="仿宋" w:hAnsi="仿宋" w:eastAsia="仿宋" w:cs="仿宋"/>
          <w:sz w:val="32"/>
          <w:szCs w:val="32"/>
          <w:lang w:bidi="ar"/>
        </w:rPr>
        <w:t>后</w:t>
      </w:r>
      <w:r>
        <w:rPr>
          <w:rFonts w:hint="eastAsia" w:ascii="仿宋" w:hAnsi="仿宋" w:eastAsia="仿宋" w:cs="仿宋"/>
          <w:sz w:val="32"/>
          <w:szCs w:val="32"/>
          <w:lang w:bidi="ar"/>
        </w:rPr>
        <w:t>再点击提交。</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3.材料信息</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请逐项上传以下材料</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核准文件/注册文件；</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2</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营业执照；</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3</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承销协议（如有）；</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4</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网下发行登记数据（以</w:t>
      </w:r>
      <w:r>
        <w:rPr>
          <w:rFonts w:hint="eastAsia" w:ascii="仿宋" w:hAnsi="仿宋" w:eastAsia="仿宋" w:cs="仿宋"/>
          <w:sz w:val="32"/>
          <w:szCs w:val="32"/>
          <w:lang w:eastAsia="zh" w:bidi="ar"/>
        </w:rPr>
        <w:t>债</w:t>
      </w:r>
      <w:r>
        <w:rPr>
          <w:rFonts w:hint="eastAsia" w:ascii="仿宋" w:hAnsi="仿宋" w:eastAsia="仿宋" w:cs="仿宋"/>
          <w:sz w:val="32"/>
          <w:szCs w:val="32"/>
          <w:lang w:bidi="ar"/>
        </w:rPr>
        <w:t>券代码命名，******.xlsx）（请在登记明细中增加一列证券账户名称）；</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5</w:t>
      </w:r>
      <w:r>
        <w:rPr>
          <w:rFonts w:hint="eastAsia" w:ascii="仿宋" w:hAnsi="仿宋" w:eastAsia="仿宋" w:cs="仿宋"/>
          <w:sz w:val="32"/>
          <w:szCs w:val="32"/>
          <w:lang w:eastAsia="zh-CN" w:bidi="ar"/>
        </w:rPr>
        <w:t>）</w:t>
      </w:r>
      <w:r>
        <w:rPr>
          <w:rFonts w:ascii="仿宋" w:hAnsi="仿宋" w:eastAsia="仿宋" w:cs="仿宋"/>
          <w:sz w:val="32"/>
          <w:szCs w:val="32"/>
          <w:lang w:bidi="ar"/>
        </w:rPr>
        <w:t>《资金到账证明</w:t>
      </w:r>
      <w:r>
        <w:rPr>
          <w:rFonts w:hint="eastAsia" w:ascii="仿宋" w:hAnsi="仿宋" w:eastAsia="仿宋" w:cs="仿宋"/>
          <w:sz w:val="32"/>
          <w:szCs w:val="32"/>
          <w:lang w:bidi="ar"/>
        </w:rPr>
        <w:t>及责任承诺》（附件</w:t>
      </w:r>
      <w:r>
        <w:rPr>
          <w:rFonts w:hint="eastAsia" w:ascii="仿宋" w:hAnsi="仿宋" w:eastAsia="仿宋" w:cs="仿宋"/>
          <w:sz w:val="32"/>
          <w:szCs w:val="32"/>
          <w:lang w:val="en-US" w:eastAsia="zh-CN" w:bidi="ar"/>
        </w:rPr>
        <w:t>9</w:t>
      </w:r>
      <w:r>
        <w:rPr>
          <w:rFonts w:hint="eastAsia" w:ascii="仿宋" w:hAnsi="仿宋" w:eastAsia="仿宋" w:cs="仿宋"/>
          <w:sz w:val="32"/>
          <w:szCs w:val="32"/>
          <w:lang w:bidi="ar"/>
        </w:rPr>
        <w:t>）（模板见中国结算网站）；</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6</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证券登记及服务协议(可通过中国结算网站下载)；</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7</w:t>
      </w:r>
      <w:r>
        <w:rPr>
          <w:rFonts w:hint="eastAsia" w:ascii="仿宋" w:hAnsi="仿宋" w:eastAsia="仿宋" w:cs="仿宋"/>
          <w:sz w:val="32"/>
          <w:szCs w:val="32"/>
          <w:lang w:eastAsia="zh-CN" w:bidi="ar"/>
        </w:rPr>
        <w:t>）</w:t>
      </w:r>
      <w:r>
        <w:rPr>
          <w:rFonts w:ascii="仿宋" w:hAnsi="仿宋" w:eastAsia="仿宋" w:cs="仿宋"/>
          <w:sz w:val="32"/>
          <w:szCs w:val="32"/>
          <w:lang w:bidi="ar"/>
        </w:rPr>
        <w:t>《</w:t>
      </w:r>
      <w:r>
        <w:rPr>
          <w:rFonts w:hint="eastAsia" w:ascii="仿宋" w:hAnsi="仿宋" w:eastAsia="仿宋" w:cs="仿宋"/>
          <w:sz w:val="32"/>
          <w:szCs w:val="32"/>
          <w:lang w:bidi="ar"/>
        </w:rPr>
        <w:t>授权委托书</w:t>
      </w:r>
      <w:r>
        <w:rPr>
          <w:rFonts w:ascii="仿宋" w:hAnsi="仿宋" w:eastAsia="仿宋" w:cs="仿宋"/>
          <w:sz w:val="32"/>
          <w:szCs w:val="32"/>
          <w:lang w:bidi="ar"/>
        </w:rPr>
        <w:t>》</w:t>
      </w:r>
      <w:r>
        <w:rPr>
          <w:rFonts w:hint="eastAsia" w:ascii="仿宋" w:hAnsi="仿宋" w:eastAsia="仿宋" w:cs="仿宋"/>
          <w:sz w:val="32"/>
          <w:szCs w:val="32"/>
          <w:lang w:bidi="ar"/>
        </w:rPr>
        <w:t>及指定联络人身份证（附件</w:t>
      </w:r>
      <w:r>
        <w:rPr>
          <w:rFonts w:hint="eastAsia" w:ascii="仿宋" w:hAnsi="仿宋" w:eastAsia="仿宋" w:cs="仿宋"/>
          <w:sz w:val="32"/>
          <w:szCs w:val="32"/>
          <w:lang w:val="en-US" w:eastAsia="zh-CN" w:bidi="ar"/>
        </w:rPr>
        <w:t>10</w:t>
      </w:r>
      <w:r>
        <w:rPr>
          <w:rFonts w:hint="eastAsia" w:ascii="仿宋" w:hAnsi="仿宋" w:eastAsia="仿宋" w:cs="仿宋"/>
          <w:sz w:val="32"/>
          <w:szCs w:val="32"/>
          <w:lang w:bidi="ar"/>
        </w:rPr>
        <w:t>）；</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8</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可交债必备</w:t>
      </w:r>
      <w:r>
        <w:rPr>
          <w:rFonts w:ascii="仿宋" w:hAnsi="仿宋" w:eastAsia="仿宋" w:cs="仿宋"/>
          <w:sz w:val="32"/>
          <w:szCs w:val="32"/>
          <w:lang w:bidi="ar"/>
        </w:rPr>
        <w:t>：《</w:t>
      </w:r>
      <w:r>
        <w:rPr>
          <w:rFonts w:hint="eastAsia" w:ascii="仿宋" w:hAnsi="仿宋" w:eastAsia="仿宋" w:cs="仿宋"/>
          <w:sz w:val="32"/>
          <w:szCs w:val="32"/>
          <w:lang w:bidi="ar"/>
        </w:rPr>
        <w:t>可交换公司债券发行人证券账户信息备案表</w:t>
      </w:r>
      <w:r>
        <w:rPr>
          <w:rFonts w:ascii="仿宋" w:hAnsi="仿宋" w:eastAsia="仿宋" w:cs="仿宋"/>
          <w:sz w:val="32"/>
          <w:szCs w:val="32"/>
          <w:lang w:bidi="ar"/>
        </w:rPr>
        <w:t>》</w:t>
      </w:r>
      <w:r>
        <w:rPr>
          <w:rFonts w:hint="eastAsia" w:ascii="仿宋" w:hAnsi="仿宋" w:eastAsia="仿宋" w:cs="仿宋"/>
          <w:sz w:val="32"/>
          <w:szCs w:val="32"/>
          <w:lang w:bidi="ar"/>
        </w:rPr>
        <w:t>（附件</w:t>
      </w:r>
      <w:r>
        <w:rPr>
          <w:rFonts w:hint="eastAsia" w:ascii="仿宋" w:hAnsi="仿宋" w:eastAsia="仿宋" w:cs="仿宋"/>
          <w:sz w:val="32"/>
          <w:szCs w:val="32"/>
          <w:lang w:val="en-US" w:eastAsia="zh-CN" w:bidi="ar"/>
        </w:rPr>
        <w:t>11</w:t>
      </w:r>
      <w:r>
        <w:rPr>
          <w:rFonts w:hint="eastAsia" w:ascii="仿宋" w:hAnsi="仿宋" w:eastAsia="仿宋" w:cs="仿宋"/>
          <w:sz w:val="32"/>
          <w:szCs w:val="32"/>
          <w:lang w:bidi="ar"/>
        </w:rPr>
        <w:t>）、《用于交换的股票信托及担保账户证券持有信息表》（公募可交债</w:t>
      </w:r>
      <w:r>
        <w:rPr>
          <w:rFonts w:ascii="仿宋" w:hAnsi="仿宋" w:eastAsia="仿宋" w:cs="仿宋"/>
          <w:sz w:val="32"/>
          <w:szCs w:val="32"/>
          <w:lang w:bidi="ar"/>
        </w:rPr>
        <w:t>或者</w:t>
      </w:r>
      <w:r>
        <w:rPr>
          <w:rFonts w:hint="eastAsia" w:ascii="仿宋" w:hAnsi="仿宋" w:eastAsia="仿宋" w:cs="仿宋"/>
          <w:sz w:val="32"/>
          <w:szCs w:val="32"/>
          <w:lang w:bidi="ar"/>
        </w:rPr>
        <w:t>开立信托担保账户的私募可交债适用）；</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9</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网下发行登记数据--签字版（以证券代码命名，******.pdf）；</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10</w:t>
      </w:r>
      <w:r>
        <w:rPr>
          <w:rFonts w:hint="eastAsia" w:ascii="仿宋" w:hAnsi="仿宋" w:eastAsia="仿宋" w:cs="仿宋"/>
          <w:sz w:val="32"/>
          <w:szCs w:val="32"/>
          <w:lang w:eastAsia="zh-CN" w:bidi="ar"/>
        </w:rPr>
        <w:t>）</w:t>
      </w:r>
      <w:r>
        <w:rPr>
          <w:rFonts w:ascii="仿宋" w:hAnsi="仿宋" w:eastAsia="仿宋" w:cs="仿宋"/>
          <w:sz w:val="32"/>
          <w:szCs w:val="32"/>
          <w:lang w:bidi="ar"/>
        </w:rPr>
        <w:t>《</w:t>
      </w:r>
      <w:r>
        <w:rPr>
          <w:rFonts w:hint="eastAsia" w:ascii="仿宋" w:hAnsi="仿宋" w:eastAsia="仿宋" w:cs="仿宋"/>
          <w:sz w:val="32"/>
          <w:szCs w:val="32"/>
          <w:lang w:bidi="ar"/>
        </w:rPr>
        <w:t>民企承诺函</w:t>
      </w:r>
      <w:r>
        <w:rPr>
          <w:rFonts w:ascii="仿宋" w:hAnsi="仿宋" w:eastAsia="仿宋" w:cs="仿宋"/>
          <w:sz w:val="32"/>
          <w:szCs w:val="32"/>
          <w:lang w:bidi="ar"/>
        </w:rPr>
        <w:t>》</w:t>
      </w:r>
      <w:r>
        <w:rPr>
          <w:rFonts w:hint="eastAsia" w:ascii="仿宋" w:hAnsi="仿宋" w:eastAsia="仿宋" w:cs="仿宋"/>
          <w:sz w:val="32"/>
          <w:szCs w:val="32"/>
          <w:lang w:bidi="ar"/>
        </w:rPr>
        <w:t>（如发行人为民企）（附件1</w:t>
      </w:r>
      <w:r>
        <w:rPr>
          <w:rFonts w:hint="eastAsia" w:ascii="仿宋" w:hAnsi="仿宋" w:eastAsia="仿宋" w:cs="仿宋"/>
          <w:sz w:val="32"/>
          <w:szCs w:val="32"/>
          <w:lang w:val="en-US" w:eastAsia="zh-CN" w:bidi="ar"/>
        </w:rPr>
        <w:t>2</w:t>
      </w:r>
      <w:r>
        <w:rPr>
          <w:rFonts w:hint="eastAsia" w:ascii="仿宋" w:hAnsi="仿宋" w:eastAsia="仿宋" w:cs="仿宋"/>
          <w:sz w:val="32"/>
          <w:szCs w:val="32"/>
          <w:lang w:bidi="ar"/>
        </w:rPr>
        <w:t>）；</w:t>
      </w:r>
    </w:p>
    <w:p>
      <w:pPr>
        <w:numPr>
          <w:ilvl w:val="-1"/>
          <w:numId w:val="0"/>
        </w:numPr>
        <w:adjustRightInd w:val="0"/>
        <w:snapToGrid w:val="0"/>
        <w:spacing w:line="560" w:lineRule="exact"/>
        <w:ind w:left="0"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11</w:t>
      </w:r>
      <w:r>
        <w:rPr>
          <w:rFonts w:hint="eastAsia" w:ascii="仿宋" w:hAnsi="仿宋" w:eastAsia="仿宋" w:cs="仿宋"/>
          <w:sz w:val="32"/>
          <w:szCs w:val="32"/>
          <w:lang w:eastAsia="zh-CN" w:bidi="ar"/>
        </w:rPr>
        <w:t>）</w:t>
      </w:r>
      <w:r>
        <w:rPr>
          <w:rFonts w:hint="eastAsia" w:ascii="仿宋" w:hAnsi="仿宋" w:eastAsia="仿宋" w:cs="仿宋"/>
          <w:sz w:val="32"/>
          <w:szCs w:val="32"/>
          <w:lang w:bidi="ar"/>
        </w:rPr>
        <w:t xml:space="preserve">中国结算要求的其他登记申请文件。 </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根据《中国证券登记结算有限责任公司深圳分公司债券登记结算业务指南》，上述文件中，除核准文件/注册文件、以外的其他材料，均需加盖发行人公章。</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18" w:name="_Toc32567"/>
      <w:r>
        <w:rPr>
          <w:rFonts w:hint="eastAsia" w:ascii="仿宋" w:hAnsi="仿宋" w:eastAsia="仿宋" w:cs="仿宋"/>
          <w:b w:val="0"/>
          <w:bCs w:val="0"/>
          <w:lang w:bidi="ar"/>
        </w:rPr>
        <w:t>（二）后续工作</w:t>
      </w:r>
      <w:bookmarkEnd w:id="218"/>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主承销商于发行结</w:t>
      </w:r>
      <w:r>
        <w:rPr>
          <w:rFonts w:hint="eastAsia" w:ascii="仿宋" w:hAnsi="仿宋" w:eastAsia="仿宋" w:cs="仿宋"/>
          <w:b w:val="0"/>
          <w:bCs w:val="0"/>
          <w:sz w:val="32"/>
          <w:szCs w:val="32"/>
          <w:lang w:bidi="ar"/>
        </w:rPr>
        <w:t>束日次日（</w:t>
      </w:r>
      <w:r>
        <w:rPr>
          <w:rFonts w:hint="eastAsia" w:ascii="仿宋" w:hAnsi="仿宋" w:eastAsia="仿宋" w:cs="仿宋"/>
          <w:b w:val="0"/>
          <w:bCs w:val="0"/>
          <w:sz w:val="32"/>
          <w:szCs w:val="32"/>
          <w:lang w:val="en-US" w:eastAsia="zh-CN" w:bidi="ar"/>
        </w:rPr>
        <w:t>S</w:t>
      </w:r>
      <w:r>
        <w:rPr>
          <w:rFonts w:hint="eastAsia" w:ascii="仿宋" w:hAnsi="仿宋" w:eastAsia="仿宋" w:cs="仿宋"/>
          <w:b w:val="0"/>
          <w:bCs w:val="0"/>
          <w:sz w:val="32"/>
          <w:szCs w:val="32"/>
          <w:lang w:bidi="ar"/>
        </w:rPr>
        <w:t>+1日）12:00前提交登记申请的，本所当日办理；12:00后提交的次日12</w:t>
      </w:r>
      <w:r>
        <w:rPr>
          <w:rFonts w:hint="eastAsia" w:ascii="仿宋" w:hAnsi="仿宋" w:eastAsia="仿宋" w:cs="仿宋"/>
          <w:sz w:val="32"/>
          <w:szCs w:val="32"/>
          <w:lang w:bidi="ar"/>
        </w:rPr>
        <w:t>:00前办理。登记材料不符合要求的，需根据本所反馈意见进行补正。</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当登记明细页面显示“核验通过”且材料信息页面显示“已办结”后，主承销商经办人需审慎确认《证券登记申报明细清单》。确认前需与投资者逐一仔细核对登记申报信息准确性，重点关注证券账户号码、账户名称以及托管单元编码、托管单元名称；如发现错误，可以修改登记申请信息和登记明细数据并重新提交核验。确认后，相关信息无法修改。通常情况下，主承销商于14:00前确认《证券登记申报明细清单》的，中国结算当日完成股份登记并反馈《发行登记费付款通知》，14:00后确认的次日完成股份登记并反馈。主承销商收到付款通知后，应严格按通知中要求的“备注”进行付款操作。</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主</w:t>
      </w:r>
      <w:r>
        <w:rPr>
          <w:rFonts w:hint="eastAsia" w:ascii="仿宋" w:hAnsi="仿宋" w:eastAsia="仿宋" w:cs="仿宋"/>
          <w:sz w:val="32"/>
          <w:szCs w:val="32"/>
          <w:lang w:bidi="ar"/>
        </w:rPr>
        <w:t>承销商接收《发行登记费付款通知》后的次日，可接收查看《证券登记证明》文件。</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如需开具登记费发票，请登录中国结算发行人E通道，点击页面右上角“返回中国结算统一用户平台”按钮，跳转后在“增值税发票信息-增值税发票信息维护”</w:t>
      </w:r>
      <w:r>
        <w:rPr>
          <w:rFonts w:ascii="仿宋" w:hAnsi="仿宋" w:eastAsia="仿宋" w:cs="仿宋"/>
          <w:sz w:val="32"/>
          <w:szCs w:val="32"/>
          <w:lang w:bidi="ar"/>
        </w:rPr>
        <w:t>栏目</w:t>
      </w:r>
      <w:r>
        <w:rPr>
          <w:rFonts w:hint="eastAsia" w:ascii="仿宋" w:hAnsi="仿宋" w:eastAsia="仿宋" w:cs="仿宋"/>
          <w:sz w:val="32"/>
          <w:szCs w:val="32"/>
          <w:lang w:bidi="ar"/>
        </w:rPr>
        <w:t>维护发票信息（上市公司信息已存档，无需提交）。发票开具情况可在发行人E通道“公共功能-发票查询-发票及邮寄信息查询”查询。</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19" w:name="_Toc18317"/>
      <w:r>
        <w:rPr>
          <w:rFonts w:hint="eastAsia" w:ascii="仿宋" w:hAnsi="仿宋" w:eastAsia="仿宋" w:cs="仿宋"/>
          <w:b w:val="0"/>
          <w:bCs w:val="0"/>
          <w:lang w:bidi="ar"/>
        </w:rPr>
        <w:t>（三）网上发行公司债券登记</w:t>
      </w:r>
      <w:bookmarkEnd w:id="219"/>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采用分销模式网上发行的公司债券登记流程参照上述规定办理。网上发行的公司债券须提供“证券登记及服务协议补充协议”（模板见中国结算网站）。</w:t>
      </w:r>
    </w:p>
    <w:p>
      <w:pPr>
        <w:pStyle w:val="4"/>
        <w:keepNext w:val="0"/>
        <w:keepLines w:val="0"/>
        <w:adjustRightInd w:val="0"/>
        <w:snapToGrid w:val="0"/>
        <w:spacing w:before="0" w:after="0" w:line="560" w:lineRule="exact"/>
        <w:ind w:firstLine="640" w:firstLineChars="200"/>
        <w:rPr>
          <w:rFonts w:hint="eastAsia" w:ascii="仿宋" w:hAnsi="仿宋" w:eastAsia="仿宋" w:cs="仿宋"/>
          <w:lang w:eastAsia="zh-CN" w:bidi="ar"/>
        </w:rPr>
      </w:pPr>
      <w:r>
        <w:rPr>
          <w:rFonts w:hint="eastAsia" w:ascii="仿宋" w:hAnsi="仿宋" w:eastAsia="仿宋" w:cs="仿宋"/>
          <w:b w:val="0"/>
          <w:bCs w:val="0"/>
          <w:lang w:bidi="ar"/>
        </w:rPr>
        <w:t>（</w:t>
      </w:r>
      <w:r>
        <w:rPr>
          <w:rFonts w:hint="eastAsia" w:ascii="仿宋" w:hAnsi="仿宋" w:eastAsia="仿宋" w:cs="仿宋"/>
          <w:b w:val="0"/>
          <w:bCs w:val="0"/>
          <w:lang w:eastAsia="zh-CN" w:bidi="ar"/>
        </w:rPr>
        <w:t>四</w:t>
      </w:r>
      <w:r>
        <w:rPr>
          <w:rFonts w:hint="eastAsia" w:ascii="仿宋" w:hAnsi="仿宋" w:eastAsia="仿宋" w:cs="仿宋"/>
          <w:b w:val="0"/>
          <w:bCs w:val="0"/>
          <w:lang w:bidi="ar"/>
        </w:rPr>
        <w:t>）</w:t>
      </w:r>
      <w:r>
        <w:rPr>
          <w:rFonts w:hint="eastAsia" w:ascii="仿宋" w:hAnsi="仿宋" w:eastAsia="仿宋" w:cs="仿宋"/>
          <w:b w:val="0"/>
          <w:bCs w:val="0"/>
          <w:lang w:eastAsia="zh-CN" w:bidi="ar"/>
        </w:rPr>
        <w:t>企业</w:t>
      </w:r>
      <w:r>
        <w:rPr>
          <w:rFonts w:hint="eastAsia" w:ascii="仿宋" w:hAnsi="仿宋" w:eastAsia="仿宋" w:cs="仿宋"/>
          <w:b w:val="0"/>
          <w:bCs w:val="0"/>
          <w:lang w:bidi="ar"/>
        </w:rPr>
        <w:t>债券登记</w:t>
      </w:r>
    </w:p>
    <w:p>
      <w:pPr>
        <w:adjustRightInd w:val="0"/>
        <w:snapToGrid w:val="0"/>
        <w:spacing w:line="560" w:lineRule="exact"/>
        <w:ind w:firstLine="640" w:firstLineChars="200"/>
        <w:rPr>
          <w:rFonts w:hint="eastAsia" w:ascii="仿宋" w:hAnsi="仿宋" w:eastAsia="仿宋" w:cs="仿宋"/>
          <w:sz w:val="32"/>
          <w:szCs w:val="32"/>
          <w:lang w:eastAsia="zh-CN" w:bidi="ar"/>
        </w:rPr>
      </w:pPr>
      <w:r>
        <w:rPr>
          <w:rFonts w:hint="eastAsia" w:ascii="仿宋" w:hAnsi="仿宋" w:eastAsia="仿宋" w:cs="仿宋"/>
          <w:sz w:val="32"/>
          <w:szCs w:val="32"/>
          <w:lang w:eastAsia="zh-CN" w:bidi="ar"/>
        </w:rPr>
        <w:t>企业债券提交登记申请应在</w:t>
      </w:r>
      <w:r>
        <w:rPr>
          <w:rFonts w:hint="eastAsia" w:ascii="仿宋" w:hAnsi="仿宋" w:eastAsia="仿宋" w:cs="仿宋"/>
          <w:sz w:val="32"/>
          <w:szCs w:val="32"/>
          <w:lang w:bidi="ar"/>
        </w:rPr>
        <w:t>登记明细</w:t>
      </w:r>
      <w:r>
        <w:rPr>
          <w:rFonts w:hint="eastAsia" w:ascii="仿宋" w:hAnsi="仿宋" w:eastAsia="仿宋" w:cs="仿宋"/>
          <w:sz w:val="32"/>
          <w:szCs w:val="32"/>
          <w:lang w:eastAsia="zh-CN" w:bidi="ar"/>
        </w:rPr>
        <w:t>环节上传簿记建档系统生成的《登记明细（深结算）》。</w:t>
      </w:r>
    </w:p>
    <w:p>
      <w:pPr>
        <w:adjustRightInd w:val="0"/>
        <w:snapToGrid w:val="0"/>
        <w:spacing w:line="560" w:lineRule="exact"/>
        <w:ind w:firstLine="640" w:firstLineChars="200"/>
        <w:rPr>
          <w:rFonts w:hint="eastAsia" w:ascii="仿宋" w:hAnsi="仿宋" w:eastAsia="仿宋" w:cs="仿宋"/>
          <w:sz w:val="32"/>
          <w:szCs w:val="32"/>
          <w:highlight w:val="none"/>
          <w:lang w:eastAsia="zh-CN" w:bidi="ar"/>
        </w:rPr>
      </w:pPr>
      <w:r>
        <w:rPr>
          <w:rFonts w:hint="eastAsia" w:ascii="仿宋" w:hAnsi="仿宋" w:eastAsia="仿宋" w:cs="仿宋"/>
          <w:sz w:val="32"/>
          <w:szCs w:val="32"/>
          <w:lang w:eastAsia="zh-CN" w:bidi="ar"/>
        </w:rPr>
        <w:t>如有托管在中债登的份额，请及时联系中债登，根据其要求</w:t>
      </w:r>
      <w:r>
        <w:rPr>
          <w:rFonts w:hint="eastAsia" w:ascii="仿宋" w:hAnsi="仿宋" w:eastAsia="仿宋" w:cs="仿宋"/>
          <w:sz w:val="32"/>
          <w:szCs w:val="32"/>
          <w:highlight w:val="none"/>
          <w:lang w:eastAsia="zh-CN" w:bidi="ar"/>
        </w:rPr>
        <w:t>提供相关材料。</w:t>
      </w:r>
    </w:p>
    <w:p>
      <w:pPr>
        <w:pStyle w:val="4"/>
        <w:keepNext w:val="0"/>
        <w:keepLines w:val="0"/>
        <w:widowControl/>
        <w:adjustRightInd w:val="0"/>
        <w:snapToGrid w:val="0"/>
        <w:spacing w:before="0" w:beforeLines="-2147483648" w:after="0" w:afterLines="-2147483648" w:line="560" w:lineRule="exact"/>
        <w:ind w:left="0" w:firstLine="640" w:firstLineChars="200"/>
        <w:rPr>
          <w:rFonts w:hint="eastAsia" w:ascii="仿宋" w:hAnsi="仿宋" w:eastAsia="仿宋" w:cs="仿宋"/>
          <w:b w:val="0"/>
          <w:bCs w:val="0"/>
          <w:kern w:val="2"/>
          <w:sz w:val="32"/>
          <w:szCs w:val="32"/>
          <w:lang w:bidi="ar"/>
        </w:rPr>
      </w:pPr>
      <w:bookmarkStart w:id="220" w:name="_Toc1932505918"/>
      <w:bookmarkStart w:id="221" w:name="_Toc584562977"/>
      <w:r>
        <w:rPr>
          <w:rFonts w:hint="eastAsia" w:ascii="仿宋" w:hAnsi="仿宋" w:eastAsia="仿宋" w:cs="仿宋"/>
          <w:b w:val="0"/>
          <w:bCs w:val="0"/>
          <w:kern w:val="2"/>
          <w:sz w:val="32"/>
          <w:szCs w:val="32"/>
          <w:lang w:bidi="ar"/>
        </w:rPr>
        <w:t>（五）公司债续发行登记上市（试点）</w:t>
      </w:r>
      <w:bookmarkEnd w:id="220"/>
      <w:bookmarkEnd w:id="221"/>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b w:val="0"/>
          <w:bCs w:val="0"/>
          <w:kern w:val="2"/>
          <w:sz w:val="32"/>
          <w:szCs w:val="32"/>
          <w:highlight w:val="none"/>
        </w:rPr>
      </w:pPr>
      <w:r>
        <w:rPr>
          <w:rFonts w:hint="eastAsia" w:ascii="仿宋" w:hAnsi="仿宋" w:eastAsia="仿宋" w:cs="仿宋"/>
          <w:kern w:val="2"/>
          <w:sz w:val="32"/>
          <w:szCs w:val="32"/>
          <w:highlight w:val="none"/>
          <w:lang w:val="en-US" w:eastAsia="zh-CN" w:bidi="ar"/>
        </w:rPr>
        <w:t>公司债券（</w:t>
      </w:r>
      <w:r>
        <w:rPr>
          <w:rFonts w:hint="eastAsia" w:ascii="仿宋" w:hAnsi="仿宋" w:eastAsia="仿宋" w:cs="仿宋"/>
          <w:b w:val="0"/>
          <w:bCs w:val="0"/>
          <w:kern w:val="2"/>
          <w:sz w:val="32"/>
          <w:szCs w:val="32"/>
          <w:highlight w:val="none"/>
          <w:lang w:val="en-US" w:eastAsia="zh-CN" w:bidi="ar"/>
        </w:rPr>
        <w:t>续发行）S日（S日发行结束日，下同）主承销商应通过“固收专区-发行上市-新增续发行公司债券申请-债券续发行登记”申请续发行登记，按系统要求填写债券基础信息并提交材料。相关申请材料要求同上述“（一）登记上市申请文件”。登记材料不符合要求或登记明细有误的，主承销商应于</w:t>
      </w:r>
      <w:r>
        <w:rPr>
          <w:rFonts w:hint="eastAsia" w:ascii="仿宋" w:hAnsi="仿宋" w:eastAsia="仿宋" w:cs="仿宋"/>
          <w:b w:val="0"/>
          <w:bCs w:val="0"/>
          <w:kern w:val="2"/>
          <w:sz w:val="32"/>
          <w:szCs w:val="32"/>
          <w:highlight w:val="none"/>
          <w:lang w:val="en-US" w:eastAsia="zh" w:bidi="ar"/>
        </w:rPr>
        <w:t>S</w:t>
      </w:r>
      <w:r>
        <w:rPr>
          <w:rFonts w:hint="eastAsia" w:ascii="仿宋" w:hAnsi="仿宋" w:eastAsia="仿宋" w:cs="仿宋"/>
          <w:b w:val="0"/>
          <w:bCs w:val="0"/>
          <w:kern w:val="2"/>
          <w:sz w:val="32"/>
          <w:szCs w:val="32"/>
          <w:highlight w:val="none"/>
          <w:lang w:val="en-US" w:eastAsia="zh-CN" w:bidi="ar"/>
        </w:rPr>
        <w:t>+2日上午9:30前进行补正。</w:t>
      </w:r>
    </w:p>
    <w:p>
      <w:pPr>
        <w:keepNext w:val="0"/>
        <w:keepLines w:val="0"/>
        <w:widowControl/>
        <w:suppressLineNumbers w:val="0"/>
        <w:shd w:val="clear" w:fill="auto"/>
        <w:adjustRightInd w:val="0"/>
        <w:snapToGrid w:val="0"/>
        <w:spacing w:before="0" w:beforeAutospacing="0" w:after="0" w:afterAutospacing="0" w:line="560" w:lineRule="exact"/>
        <w:ind w:left="0" w:right="0" w:firstLine="594" w:firstLineChars="0"/>
        <w:jc w:val="both"/>
        <w:rPr>
          <w:rFonts w:hint="eastAsia" w:ascii="仿宋" w:hAnsi="仿宋" w:eastAsia="仿宋" w:cs="仿宋"/>
          <w:b w:val="0"/>
          <w:bCs w:val="0"/>
          <w:sz w:val="32"/>
          <w:szCs w:val="32"/>
          <w:highlight w:val="none"/>
          <w:lang w:eastAsia="zh" w:bidi="ar"/>
        </w:rPr>
      </w:pPr>
      <w:r>
        <w:rPr>
          <w:rFonts w:hint="default" w:ascii="仿宋" w:hAnsi="仿宋" w:eastAsia="仿宋" w:cs="仿宋"/>
          <w:b w:val="0"/>
          <w:bCs w:val="0"/>
          <w:kern w:val="2"/>
          <w:sz w:val="32"/>
          <w:szCs w:val="32"/>
          <w:highlight w:val="none"/>
          <w:lang w:val="en-US" w:eastAsia="zh" w:bidi="ar"/>
        </w:rPr>
        <w:t>S</w:t>
      </w:r>
      <w:r>
        <w:rPr>
          <w:rFonts w:hint="default" w:ascii="仿宋" w:hAnsi="仿宋" w:eastAsia="仿宋" w:cs="仿宋"/>
          <w:b w:val="0"/>
          <w:bCs w:val="0"/>
          <w:kern w:val="2"/>
          <w:sz w:val="32"/>
          <w:szCs w:val="32"/>
          <w:highlight w:val="none"/>
          <w:lang w:val="en-US" w:eastAsia="zh-CN" w:bidi="ar"/>
        </w:rPr>
        <w:t>+2</w:t>
      </w:r>
      <w:r>
        <w:rPr>
          <w:rFonts w:hint="eastAsia" w:ascii="仿宋" w:hAnsi="仿宋" w:eastAsia="仿宋" w:cs="仿宋"/>
          <w:b w:val="0"/>
          <w:bCs w:val="0"/>
          <w:kern w:val="2"/>
          <w:sz w:val="32"/>
          <w:szCs w:val="32"/>
          <w:highlight w:val="none"/>
          <w:lang w:val="en-US" w:eastAsia="zh-CN" w:bidi="ar"/>
        </w:rPr>
        <w:t>日11:00前，</w:t>
      </w:r>
      <w:r>
        <w:rPr>
          <w:rFonts w:hint="eastAsia" w:ascii="仿宋" w:hAnsi="仿宋" w:eastAsia="仿宋" w:cs="仿宋"/>
          <w:b w:val="0"/>
          <w:bCs w:val="0"/>
          <w:sz w:val="32"/>
          <w:szCs w:val="32"/>
          <w:highlight w:val="none"/>
          <w:lang w:bidi="ar"/>
        </w:rPr>
        <w:t>主承销商</w:t>
      </w:r>
      <w:r>
        <w:rPr>
          <w:rFonts w:hint="eastAsia" w:ascii="仿宋" w:hAnsi="仿宋" w:eastAsia="仿宋" w:cs="仿宋"/>
          <w:b w:val="0"/>
          <w:bCs w:val="0"/>
          <w:sz w:val="32"/>
          <w:szCs w:val="32"/>
          <w:highlight w:val="none"/>
          <w:lang w:eastAsia="zh-CN" w:bidi="ar"/>
        </w:rPr>
        <w:t>应完成</w:t>
      </w:r>
      <w:r>
        <w:rPr>
          <w:rFonts w:hint="eastAsia" w:ascii="仿宋" w:hAnsi="仿宋" w:eastAsia="仿宋" w:cs="仿宋"/>
          <w:b w:val="0"/>
          <w:bCs w:val="0"/>
          <w:sz w:val="32"/>
          <w:szCs w:val="32"/>
          <w:highlight w:val="none"/>
          <w:lang w:bidi="ar"/>
        </w:rPr>
        <w:t>《证券登记申报明细清单》</w:t>
      </w:r>
      <w:r>
        <w:rPr>
          <w:rFonts w:hint="eastAsia" w:ascii="仿宋" w:hAnsi="仿宋" w:eastAsia="仿宋" w:cs="仿宋"/>
          <w:b w:val="0"/>
          <w:bCs w:val="0"/>
          <w:sz w:val="32"/>
          <w:szCs w:val="32"/>
          <w:highlight w:val="none"/>
          <w:lang w:eastAsia="zh-CN" w:bidi="ar"/>
        </w:rPr>
        <w:t>确认</w:t>
      </w:r>
      <w:r>
        <w:rPr>
          <w:rFonts w:hint="eastAsia" w:ascii="仿宋" w:hAnsi="仿宋" w:eastAsia="仿宋" w:cs="仿宋"/>
          <w:b w:val="0"/>
          <w:bCs w:val="0"/>
          <w:sz w:val="32"/>
          <w:szCs w:val="32"/>
          <w:highlight w:val="none"/>
          <w:lang w:eastAsia="zh" w:bidi="ar"/>
        </w:rPr>
        <w:t>。</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b w:val="0"/>
          <w:bCs w:val="0"/>
          <w:sz w:val="32"/>
          <w:szCs w:val="32"/>
          <w:highlight w:val="none"/>
        </w:rPr>
      </w:pPr>
      <w:r>
        <w:rPr>
          <w:rFonts w:hint="eastAsia" w:ascii="仿宋" w:hAnsi="仿宋" w:eastAsia="仿宋" w:cs="仿宋"/>
          <w:b w:val="0"/>
          <w:bCs w:val="0"/>
          <w:kern w:val="2"/>
          <w:sz w:val="32"/>
          <w:szCs w:val="32"/>
          <w:highlight w:val="none"/>
          <w:lang w:val="en-US" w:eastAsia="zh-CN" w:bidi="ar"/>
        </w:rPr>
        <w:t>S+2日14：00前主承销商收到《登记费付款通知》，本所安排续发行债券S+3日上市，与原债券合并进行交易，投资者可开始交易。</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eastAsia="zh-CN" w:bidi="ar"/>
        </w:rPr>
      </w:pPr>
      <w:r>
        <w:rPr>
          <w:rFonts w:hint="eastAsia" w:ascii="仿宋" w:hAnsi="仿宋" w:eastAsia="仿宋" w:cs="仿宋"/>
          <w:b w:val="0"/>
          <w:bCs w:val="0"/>
          <w:sz w:val="32"/>
          <w:szCs w:val="32"/>
          <w:highlight w:val="none"/>
          <w:lang w:eastAsia="zh-CN"/>
        </w:rPr>
        <w:t>若S+2日14：00前主承销商收到《登记费付款通知》且预期续发行债券无法在S+3日上市，请按照本所相关规定申请存量公司债券停牌至合并上市日复牌。</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CN" w:bidi="ar"/>
        </w:rPr>
        <w:t>其他登记事项同“（二）后续工作”</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续发行上市后事项同“（三）债券上市后事项”。</w:t>
      </w:r>
    </w:p>
    <w:p>
      <w:pPr>
        <w:pStyle w:val="3"/>
        <w:keepNext w:val="0"/>
        <w:keepLines w:val="0"/>
        <w:adjustRightInd w:val="0"/>
        <w:snapToGrid w:val="0"/>
        <w:spacing w:before="0" w:after="0" w:line="560" w:lineRule="exact"/>
        <w:ind w:firstLine="640" w:firstLineChars="200"/>
        <w:rPr>
          <w:rFonts w:hint="eastAsia" w:ascii="楷体" w:hAnsi="楷体" w:eastAsia="楷体" w:cs="楷体"/>
          <w:lang w:bidi="ar"/>
        </w:rPr>
      </w:pPr>
      <w:bookmarkStart w:id="222" w:name="_Toc31582"/>
      <w:bookmarkStart w:id="223" w:name="_Toc676380452"/>
      <w:bookmarkStart w:id="224" w:name="_Toc29897"/>
      <w:bookmarkStart w:id="225" w:name="_Toc473752165"/>
      <w:bookmarkStart w:id="226" w:name="_Toc29529"/>
      <w:bookmarkStart w:id="227" w:name="_Toc23824"/>
      <w:bookmarkStart w:id="228" w:name="_Toc10529"/>
      <w:bookmarkStart w:id="229" w:name="_Toc5311"/>
      <w:bookmarkStart w:id="230" w:name="_Toc2047"/>
      <w:bookmarkStart w:id="231" w:name="_Toc25498"/>
      <w:bookmarkStart w:id="232" w:name="_Toc2252"/>
      <w:bookmarkStart w:id="233" w:name="_Toc19748"/>
      <w:bookmarkStart w:id="234" w:name="_Toc30186"/>
      <w:r>
        <w:rPr>
          <w:rFonts w:hint="eastAsia" w:ascii="楷体" w:hAnsi="楷体" w:eastAsia="楷体" w:cs="楷体"/>
          <w:b w:val="0"/>
          <w:bCs w:val="0"/>
          <w:lang w:bidi="ar"/>
        </w:rPr>
        <w:t>二、债券上市挂牌申请</w:t>
      </w:r>
      <w:bookmarkEnd w:id="222"/>
      <w:bookmarkEnd w:id="223"/>
      <w:bookmarkEnd w:id="224"/>
      <w:bookmarkEnd w:id="225"/>
      <w:bookmarkEnd w:id="226"/>
      <w:bookmarkEnd w:id="227"/>
      <w:bookmarkEnd w:id="228"/>
      <w:bookmarkEnd w:id="229"/>
      <w:bookmarkEnd w:id="230"/>
      <w:bookmarkEnd w:id="231"/>
      <w:bookmarkEnd w:id="232"/>
      <w:bookmarkEnd w:id="233"/>
      <w:bookmarkEnd w:id="234"/>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主承销商应在提交初始登记申请的同时提交上市</w:t>
      </w:r>
      <w:r>
        <w:rPr>
          <w:rFonts w:ascii="仿宋" w:hAnsi="仿宋" w:eastAsia="仿宋" w:cs="仿宋"/>
          <w:sz w:val="32"/>
          <w:szCs w:val="32"/>
          <w:lang w:bidi="ar"/>
        </w:rPr>
        <w:t>/转让服务</w:t>
      </w:r>
      <w:r>
        <w:rPr>
          <w:rFonts w:hint="eastAsia" w:ascii="仿宋" w:hAnsi="仿宋" w:eastAsia="仿宋" w:cs="仿宋"/>
          <w:sz w:val="32"/>
          <w:szCs w:val="32"/>
          <w:lang w:bidi="ar"/>
        </w:rPr>
        <w:t>申请，具体路径为固收专区-</w:t>
      </w:r>
      <w:r>
        <w:rPr>
          <w:rFonts w:hint="eastAsia" w:ascii="仿宋" w:hAnsi="仿宋" w:eastAsia="仿宋" w:cs="仿宋"/>
          <w:sz w:val="32"/>
          <w:szCs w:val="32"/>
          <w:lang w:eastAsia="zh" w:bidi="ar"/>
        </w:rPr>
        <w:t>发行上市-新增</w:t>
      </w:r>
      <w:r>
        <w:rPr>
          <w:rFonts w:hint="eastAsia" w:ascii="仿宋" w:hAnsi="仿宋" w:eastAsia="仿宋" w:cs="仿宋"/>
          <w:sz w:val="32"/>
          <w:szCs w:val="32"/>
          <w:lang w:bidi="ar"/>
        </w:rPr>
        <w:t>公开发行债券</w:t>
      </w:r>
      <w:r>
        <w:rPr>
          <w:rFonts w:hint="eastAsia" w:ascii="仿宋" w:hAnsi="仿宋" w:eastAsia="仿宋" w:cs="仿宋"/>
          <w:sz w:val="32"/>
          <w:szCs w:val="32"/>
          <w:lang w:eastAsia="zh" w:bidi="ar"/>
        </w:rPr>
        <w:t>申请</w:t>
      </w:r>
      <w:r>
        <w:rPr>
          <w:rFonts w:hint="eastAsia" w:ascii="仿宋" w:hAnsi="仿宋" w:eastAsia="仿宋" w:cs="仿宋"/>
          <w:sz w:val="32"/>
          <w:szCs w:val="32"/>
          <w:lang w:bidi="ar"/>
        </w:rPr>
        <w:t>-上市申请，固收专区-</w:t>
      </w:r>
      <w:r>
        <w:rPr>
          <w:rFonts w:hint="eastAsia" w:ascii="仿宋" w:hAnsi="仿宋" w:eastAsia="仿宋" w:cs="仿宋"/>
          <w:sz w:val="32"/>
          <w:szCs w:val="32"/>
          <w:lang w:eastAsia="zh" w:bidi="ar"/>
        </w:rPr>
        <w:t>发行上市-新增</w:t>
      </w:r>
      <w:r>
        <w:rPr>
          <w:rFonts w:hint="eastAsia" w:ascii="仿宋" w:hAnsi="仿宋" w:eastAsia="仿宋" w:cs="仿宋"/>
          <w:sz w:val="32"/>
          <w:szCs w:val="32"/>
          <w:lang w:bidi="ar"/>
        </w:rPr>
        <w:t>非公开发行债券</w:t>
      </w:r>
      <w:r>
        <w:rPr>
          <w:rFonts w:hint="eastAsia" w:ascii="仿宋" w:hAnsi="仿宋" w:eastAsia="仿宋" w:cs="仿宋"/>
          <w:sz w:val="32"/>
          <w:szCs w:val="32"/>
          <w:lang w:eastAsia="zh" w:bidi="ar"/>
        </w:rPr>
        <w:t>申请</w:t>
      </w:r>
      <w:r>
        <w:rPr>
          <w:rFonts w:hint="eastAsia" w:ascii="仿宋" w:hAnsi="仿宋" w:eastAsia="仿宋" w:cs="仿宋"/>
          <w:sz w:val="32"/>
          <w:szCs w:val="32"/>
          <w:lang w:bidi="ar"/>
        </w:rPr>
        <w:t>-转让服务申请。</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35" w:name="_Toc10793"/>
      <w:r>
        <w:rPr>
          <w:rFonts w:hint="eastAsia" w:ascii="仿宋" w:hAnsi="仿宋" w:eastAsia="仿宋" w:cs="仿宋"/>
          <w:b w:val="0"/>
          <w:bCs w:val="0"/>
          <w:lang w:bidi="ar"/>
        </w:rPr>
        <w:t>（一）申请文件</w:t>
      </w:r>
      <w:bookmarkEnd w:id="235"/>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w:t>
      </w:r>
      <w:r>
        <w:rPr>
          <w:rFonts w:hint="eastAsia" w:ascii="仿宋" w:hAnsi="仿宋" w:eastAsia="仿宋" w:cs="仿宋"/>
          <w:sz w:val="32"/>
          <w:szCs w:val="32"/>
          <w:lang w:bidi="ar"/>
        </w:rPr>
        <w:t>上市/转让服务公告</w:t>
      </w:r>
      <w:r>
        <w:rPr>
          <w:rFonts w:ascii="仿宋" w:hAnsi="仿宋" w:eastAsia="仿宋" w:cs="仿宋"/>
          <w:sz w:val="32"/>
          <w:szCs w:val="32"/>
          <w:lang w:bidi="ar"/>
        </w:rPr>
        <w:t>》</w:t>
      </w:r>
      <w:r>
        <w:rPr>
          <w:rFonts w:hint="eastAsia" w:ascii="仿宋" w:hAnsi="仿宋" w:eastAsia="仿宋" w:cs="仿宋"/>
          <w:sz w:val="32"/>
          <w:szCs w:val="32"/>
          <w:lang w:bidi="ar"/>
        </w:rPr>
        <w:t>（附件1</w:t>
      </w:r>
      <w:r>
        <w:rPr>
          <w:rFonts w:hint="eastAsia" w:ascii="仿宋" w:hAnsi="仿宋" w:eastAsia="仿宋" w:cs="仿宋"/>
          <w:sz w:val="32"/>
          <w:szCs w:val="32"/>
          <w:lang w:val="en-US" w:eastAsia="zh-CN" w:bidi="ar"/>
        </w:rPr>
        <w:t>3</w:t>
      </w:r>
      <w:r>
        <w:rPr>
          <w:rFonts w:ascii="仿宋" w:hAnsi="仿宋" w:eastAsia="仿宋" w:cs="仿宋"/>
          <w:sz w:val="32"/>
          <w:szCs w:val="32"/>
          <w:lang w:bidi="ar"/>
        </w:rPr>
        <w:t>/附件1</w:t>
      </w: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w:t>
      </w:r>
      <w:r>
        <w:rPr>
          <w:rFonts w:hint="eastAsia" w:ascii="仿宋" w:hAnsi="仿宋" w:eastAsia="仿宋" w:cs="仿宋"/>
          <w:sz w:val="32"/>
          <w:szCs w:val="32"/>
          <w:lang w:bidi="ar"/>
        </w:rPr>
        <w:t>完成证券业协会备案事项承诺函</w:t>
      </w:r>
      <w:r>
        <w:rPr>
          <w:rFonts w:ascii="仿宋" w:hAnsi="仿宋" w:eastAsia="仿宋" w:cs="仿宋"/>
          <w:sz w:val="32"/>
          <w:szCs w:val="32"/>
          <w:lang w:bidi="ar"/>
        </w:rPr>
        <w:t>》</w:t>
      </w:r>
      <w:r>
        <w:rPr>
          <w:rFonts w:hint="eastAsia" w:ascii="仿宋" w:hAnsi="仿宋" w:eastAsia="仿宋" w:cs="仿宋"/>
          <w:sz w:val="32"/>
          <w:szCs w:val="32"/>
          <w:lang w:bidi="ar"/>
        </w:rPr>
        <w:t>（私募债适用，如有）（附件1</w:t>
      </w: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依据企业债券发行审核职责划转过渡期届满前所出具的注册通知发行的企业债券申请在本所上市交易的适用：债券上市申请书、有权部门同意债券予以注册的文件、债券募集说明书等本所要求的企业债券发行文件；其他上市/挂牌申请文件。</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36" w:name="_Toc20069"/>
      <w:r>
        <w:rPr>
          <w:rFonts w:hint="eastAsia" w:ascii="仿宋" w:hAnsi="仿宋" w:eastAsia="仿宋" w:cs="仿宋"/>
          <w:b w:val="0"/>
          <w:bCs w:val="0"/>
          <w:lang w:bidi="ar"/>
        </w:rPr>
        <w:t>（二）上市/挂牌信息披露</w:t>
      </w:r>
      <w:bookmarkEnd w:id="236"/>
    </w:p>
    <w:p>
      <w:pPr>
        <w:keepNext w:val="0"/>
        <w:keepLines w:val="0"/>
        <w:widowControl/>
        <w:suppressLineNumbers w:val="0"/>
        <w:adjustRightInd w:val="0"/>
        <w:snapToGrid w:val="0"/>
        <w:spacing w:before="0" w:beforeAutospacing="0" w:after="0" w:afterAutospacing="0" w:line="560" w:lineRule="exact"/>
        <w:ind w:left="0" w:right="0" w:firstLine="640" w:firstLineChars="200"/>
        <w:jc w:val="left"/>
        <w:rPr>
          <w:rFonts w:hint="eastAsia" w:ascii="仿宋" w:hAnsi="仿宋" w:eastAsia="仿宋" w:cs="仿宋"/>
          <w:kern w:val="2"/>
          <w:sz w:val="32"/>
          <w:szCs w:val="32"/>
          <w:highlight w:val="none"/>
          <w:lang w:bidi="ar"/>
        </w:rPr>
      </w:pPr>
      <w:r>
        <w:rPr>
          <w:rFonts w:hint="eastAsia" w:ascii="仿宋" w:hAnsi="仿宋" w:eastAsia="仿宋" w:cs="仿宋"/>
          <w:sz w:val="32"/>
          <w:szCs w:val="32"/>
          <w:lang w:bidi="ar"/>
        </w:rPr>
        <w:t>登记完成后，本所安排债券上市挂牌，</w:t>
      </w:r>
      <w:r>
        <w:rPr>
          <w:rFonts w:ascii="仿宋" w:hAnsi="仿宋" w:eastAsia="仿宋" w:cs="仿宋"/>
          <w:sz w:val="32"/>
          <w:szCs w:val="32"/>
          <w:lang w:bidi="ar"/>
        </w:rPr>
        <w:t>主</w:t>
      </w:r>
      <w:r>
        <w:rPr>
          <w:rFonts w:hint="eastAsia" w:ascii="仿宋" w:hAnsi="仿宋" w:eastAsia="仿宋" w:cs="仿宋"/>
          <w:sz w:val="32"/>
          <w:szCs w:val="32"/>
          <w:lang w:bidi="ar"/>
        </w:rPr>
        <w:t>承销商</w:t>
      </w:r>
      <w:r>
        <w:rPr>
          <w:rFonts w:ascii="仿宋" w:hAnsi="仿宋" w:eastAsia="仿宋" w:cs="仿宋"/>
          <w:sz w:val="32"/>
          <w:szCs w:val="32"/>
          <w:lang w:bidi="ar"/>
        </w:rPr>
        <w:t>应</w:t>
      </w:r>
      <w:r>
        <w:rPr>
          <w:rFonts w:hint="eastAsia" w:ascii="仿宋" w:hAnsi="仿宋" w:eastAsia="仿宋" w:cs="仿宋"/>
          <w:sz w:val="32"/>
          <w:szCs w:val="32"/>
          <w:lang w:bidi="ar"/>
        </w:rPr>
        <w:t>于上市</w:t>
      </w:r>
      <w:r>
        <w:rPr>
          <w:rFonts w:ascii="仿宋" w:hAnsi="仿宋" w:eastAsia="仿宋" w:cs="仿宋"/>
          <w:sz w:val="32"/>
          <w:szCs w:val="32"/>
          <w:lang w:bidi="ar"/>
        </w:rPr>
        <w:t>/</w:t>
      </w:r>
      <w:r>
        <w:rPr>
          <w:rFonts w:hint="eastAsia" w:ascii="仿宋" w:hAnsi="仿宋" w:eastAsia="仿宋" w:cs="仿宋"/>
          <w:sz w:val="32"/>
          <w:szCs w:val="32"/>
          <w:lang w:bidi="ar"/>
        </w:rPr>
        <w:t>挂牌前一交易日通过固</w:t>
      </w:r>
      <w:r>
        <w:rPr>
          <w:rFonts w:ascii="仿宋" w:hAnsi="仿宋" w:eastAsia="仿宋" w:cs="仿宋"/>
          <w:sz w:val="32"/>
          <w:szCs w:val="32"/>
          <w:lang w:bidi="ar"/>
        </w:rPr>
        <w:t>收专区</w:t>
      </w:r>
      <w:r>
        <w:rPr>
          <w:rFonts w:hint="eastAsia" w:ascii="仿宋" w:hAnsi="仿宋" w:eastAsia="仿宋" w:cs="仿宋"/>
          <w:sz w:val="32"/>
          <w:szCs w:val="32"/>
          <w:lang w:bidi="ar"/>
        </w:rPr>
        <w:t>提交《上市公告》或《转让服务公告》</w:t>
      </w:r>
      <w:r>
        <w:rPr>
          <w:rFonts w:ascii="仿宋" w:hAnsi="仿宋" w:eastAsia="仿宋" w:cs="仿宋"/>
          <w:sz w:val="32"/>
          <w:szCs w:val="32"/>
          <w:lang w:bidi="ar"/>
        </w:rPr>
        <w:t>,路径为公开发行债券-信息披露申请，非公开发行</w:t>
      </w:r>
      <w:r>
        <w:rPr>
          <w:rFonts w:ascii="仿宋" w:hAnsi="仿宋" w:eastAsia="仿宋" w:cs="仿宋"/>
          <w:sz w:val="32"/>
          <w:szCs w:val="32"/>
          <w:highlight w:val="none"/>
          <w:lang w:bidi="ar"/>
        </w:rPr>
        <w:t>债券-信息披露申请</w:t>
      </w:r>
      <w:r>
        <w:rPr>
          <w:rFonts w:hint="eastAsia" w:ascii="仿宋" w:hAnsi="仿宋" w:eastAsia="仿宋" w:cs="仿宋"/>
          <w:sz w:val="32"/>
          <w:szCs w:val="32"/>
          <w:highlight w:val="none"/>
          <w:lang w:bidi="ar"/>
        </w:rPr>
        <w:t>。如在募集说明书或发行结果公告中未披露明确的募集资金专项账户，应</w:t>
      </w:r>
      <w:r>
        <w:rPr>
          <w:rFonts w:hint="eastAsia" w:ascii="仿宋" w:hAnsi="仿宋" w:eastAsia="仿宋" w:cs="仿宋"/>
          <w:sz w:val="32"/>
          <w:szCs w:val="32"/>
          <w:highlight w:val="none"/>
          <w:lang w:eastAsia="zh-CN" w:bidi="ar"/>
        </w:rPr>
        <w:t>在上市申请</w:t>
      </w:r>
      <w:r>
        <w:rPr>
          <w:rFonts w:hint="eastAsia" w:ascii="仿宋" w:hAnsi="仿宋" w:eastAsia="仿宋" w:cs="仿宋"/>
          <w:sz w:val="32"/>
          <w:szCs w:val="32"/>
          <w:highlight w:val="none"/>
          <w:lang w:val="en-US" w:eastAsia="zh-CN" w:bidi="ar"/>
        </w:rPr>
        <w:t>/转让服务申请环节</w:t>
      </w:r>
      <w:r>
        <w:rPr>
          <w:rFonts w:ascii="仿宋" w:hAnsi="仿宋" w:eastAsia="仿宋" w:cs="仿宋"/>
          <w:sz w:val="32"/>
          <w:szCs w:val="32"/>
          <w:highlight w:val="none"/>
          <w:lang w:bidi="ar"/>
        </w:rPr>
        <w:t>同步</w:t>
      </w:r>
      <w:r>
        <w:rPr>
          <w:rFonts w:hint="eastAsia" w:ascii="仿宋" w:hAnsi="仿宋" w:eastAsia="仿宋" w:cs="仿宋"/>
          <w:sz w:val="32"/>
          <w:szCs w:val="32"/>
          <w:highlight w:val="none"/>
          <w:lang w:bidi="ar"/>
        </w:rPr>
        <w:t>报备募集资金专项账户相关信息。</w:t>
      </w:r>
      <w:bookmarkStart w:id="237" w:name="_Toc23539"/>
      <w:bookmarkStart w:id="238" w:name="_Toc25030"/>
    </w:p>
    <w:p>
      <w:pPr>
        <w:pStyle w:val="3"/>
        <w:keepNext w:val="0"/>
        <w:keepLines w:val="0"/>
        <w:adjustRightInd w:val="0"/>
        <w:snapToGrid w:val="0"/>
        <w:spacing w:before="0" w:beforeLines="0" w:after="0" w:afterLines="0" w:line="560" w:lineRule="exact"/>
        <w:ind w:firstLine="640" w:firstLineChars="200"/>
        <w:rPr>
          <w:rFonts w:hint="eastAsia" w:ascii="楷体" w:hAnsi="楷体" w:eastAsia="楷体" w:cs="楷体"/>
          <w:highlight w:val="none"/>
          <w:lang w:bidi="ar"/>
        </w:rPr>
      </w:pPr>
      <w:bookmarkStart w:id="239" w:name="_Toc9209"/>
      <w:bookmarkStart w:id="240" w:name="_Toc8025"/>
      <w:bookmarkStart w:id="241" w:name="_Toc592470548"/>
      <w:bookmarkStart w:id="242" w:name="_Toc30411"/>
      <w:bookmarkStart w:id="243" w:name="_Toc7516"/>
      <w:bookmarkStart w:id="244" w:name="_Toc9729"/>
      <w:bookmarkStart w:id="245" w:name="_Toc989857100"/>
      <w:bookmarkStart w:id="246" w:name="_Toc20418"/>
      <w:bookmarkStart w:id="247" w:name="_Toc10931"/>
      <w:bookmarkStart w:id="248" w:name="_Toc22462"/>
      <w:bookmarkStart w:id="249" w:name="_Toc9650"/>
      <w:r>
        <w:rPr>
          <w:rFonts w:hint="eastAsia" w:ascii="楷体" w:hAnsi="楷体" w:eastAsia="楷体" w:cs="楷体"/>
          <w:b w:val="0"/>
          <w:bCs w:val="0"/>
          <w:highlight w:val="none"/>
          <w:lang w:bidi="ar"/>
        </w:rPr>
        <w:t>三、债券上市后事项</w:t>
      </w:r>
      <w:bookmarkEnd w:id="237"/>
      <w:bookmarkEnd w:id="238"/>
      <w:bookmarkEnd w:id="239"/>
      <w:bookmarkEnd w:id="240"/>
      <w:bookmarkEnd w:id="241"/>
      <w:bookmarkEnd w:id="242"/>
      <w:bookmarkEnd w:id="243"/>
      <w:bookmarkEnd w:id="244"/>
      <w:bookmarkEnd w:id="245"/>
      <w:bookmarkEnd w:id="246"/>
      <w:bookmarkEnd w:id="247"/>
      <w:bookmarkEnd w:id="248"/>
      <w:bookmarkEnd w:id="249"/>
    </w:p>
    <w:p>
      <w:pPr>
        <w:pStyle w:val="4"/>
        <w:keepNext w:val="0"/>
        <w:keepLines w:val="0"/>
        <w:adjustRightInd w:val="0"/>
        <w:snapToGrid w:val="0"/>
        <w:spacing w:before="0" w:after="0" w:line="560" w:lineRule="exact"/>
        <w:ind w:firstLine="640" w:firstLineChars="200"/>
        <w:rPr>
          <w:rFonts w:ascii="仿宋" w:hAnsi="仿宋" w:eastAsia="仿宋" w:cs="仿宋"/>
          <w:highlight w:val="none"/>
          <w:lang w:bidi="ar"/>
        </w:rPr>
      </w:pPr>
      <w:bookmarkStart w:id="250" w:name="_Toc32596"/>
      <w:r>
        <w:rPr>
          <w:rFonts w:hint="eastAsia" w:ascii="仿宋" w:hAnsi="仿宋" w:eastAsia="仿宋" w:cs="仿宋"/>
          <w:b w:val="0"/>
          <w:bCs w:val="0"/>
          <w:highlight w:val="none"/>
          <w:lang w:bidi="ar"/>
        </w:rPr>
        <w:t>（一）签署并邮寄上市（挂牌）协议</w:t>
      </w:r>
      <w:bookmarkEnd w:id="250"/>
    </w:p>
    <w:p>
      <w:pPr>
        <w:adjustRightInd w:val="0"/>
        <w:snapToGrid w:val="0"/>
        <w:spacing w:line="56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如发行人未签署</w:t>
      </w:r>
      <w:r>
        <w:rPr>
          <w:rFonts w:ascii="仿宋" w:hAnsi="仿宋" w:eastAsia="仿宋" w:cs="仿宋"/>
          <w:sz w:val="32"/>
          <w:szCs w:val="32"/>
          <w:highlight w:val="none"/>
          <w:lang w:bidi="ar"/>
        </w:rPr>
        <w:t>《</w:t>
      </w:r>
      <w:r>
        <w:rPr>
          <w:rFonts w:hint="eastAsia" w:ascii="仿宋" w:hAnsi="仿宋" w:eastAsia="仿宋" w:cs="仿宋"/>
          <w:sz w:val="32"/>
          <w:szCs w:val="32"/>
          <w:highlight w:val="none"/>
          <w:lang w:bidi="ar"/>
        </w:rPr>
        <w:t>深圳证券交易所公司债券上市（挂牌）协议》，承销机构应协助发行人在公司债券上市</w:t>
      </w:r>
      <w:r>
        <w:rPr>
          <w:rFonts w:ascii="仿宋" w:hAnsi="仿宋" w:eastAsia="仿宋" w:cs="仿宋"/>
          <w:sz w:val="32"/>
          <w:szCs w:val="32"/>
          <w:highlight w:val="none"/>
          <w:lang w:bidi="ar"/>
        </w:rPr>
        <w:t>/</w:t>
      </w:r>
      <w:r>
        <w:rPr>
          <w:rFonts w:hint="eastAsia" w:ascii="仿宋" w:hAnsi="仿宋" w:eastAsia="仿宋" w:cs="仿宋"/>
          <w:sz w:val="32"/>
          <w:szCs w:val="32"/>
          <w:highlight w:val="none"/>
          <w:lang w:bidi="ar"/>
        </w:rPr>
        <w:t>挂牌后</w:t>
      </w:r>
      <w:r>
        <w:rPr>
          <w:rFonts w:ascii="仿宋" w:hAnsi="仿宋" w:eastAsia="仿宋" w:cs="仿宋"/>
          <w:sz w:val="32"/>
          <w:szCs w:val="32"/>
          <w:highlight w:val="none"/>
          <w:lang w:bidi="ar"/>
        </w:rPr>
        <w:t>5</w:t>
      </w:r>
      <w:r>
        <w:rPr>
          <w:rFonts w:hint="eastAsia" w:ascii="仿宋" w:hAnsi="仿宋" w:eastAsia="仿宋" w:cs="仿宋"/>
          <w:sz w:val="32"/>
          <w:szCs w:val="32"/>
          <w:highlight w:val="none"/>
          <w:lang w:bidi="ar"/>
        </w:rPr>
        <w:t>个交易日内邮寄《深圳证券交易所公司债券上市（挂牌）协议》至本所，该文件一式四份。本所上市公司及2018年6月后已签署上市</w:t>
      </w:r>
      <w:r>
        <w:rPr>
          <w:rFonts w:ascii="仿宋" w:hAnsi="仿宋" w:eastAsia="仿宋" w:cs="仿宋"/>
          <w:sz w:val="32"/>
          <w:szCs w:val="32"/>
          <w:highlight w:val="none"/>
          <w:lang w:bidi="ar"/>
        </w:rPr>
        <w:t>（</w:t>
      </w:r>
      <w:r>
        <w:rPr>
          <w:rFonts w:hint="eastAsia" w:ascii="仿宋" w:hAnsi="仿宋" w:eastAsia="仿宋" w:cs="仿宋"/>
          <w:sz w:val="32"/>
          <w:szCs w:val="32"/>
          <w:highlight w:val="none"/>
          <w:lang w:bidi="ar"/>
        </w:rPr>
        <w:t>挂牌</w:t>
      </w:r>
      <w:r>
        <w:rPr>
          <w:rFonts w:ascii="仿宋" w:hAnsi="仿宋" w:eastAsia="仿宋" w:cs="仿宋"/>
          <w:sz w:val="32"/>
          <w:szCs w:val="32"/>
          <w:highlight w:val="none"/>
          <w:lang w:bidi="ar"/>
        </w:rPr>
        <w:t>）</w:t>
      </w:r>
      <w:r>
        <w:rPr>
          <w:rFonts w:hint="eastAsia" w:ascii="仿宋" w:hAnsi="仿宋" w:eastAsia="仿宋" w:cs="仿宋"/>
          <w:sz w:val="32"/>
          <w:szCs w:val="32"/>
          <w:highlight w:val="none"/>
          <w:lang w:bidi="ar"/>
        </w:rPr>
        <w:t>协议且有存续债券的非上市公司豁免签署。邮寄后，本所将盖章后寄回发行人。</w:t>
      </w:r>
    </w:p>
    <w:p>
      <w:pPr>
        <w:adjustRightInd w:val="0"/>
        <w:snapToGrid w:val="0"/>
        <w:spacing w:line="560" w:lineRule="exact"/>
        <w:ind w:firstLine="640" w:firstLineChars="200"/>
        <w:rPr>
          <w:rFonts w:ascii="仿宋" w:hAnsi="仿宋" w:eastAsia="仿宋" w:cs="仿宋"/>
          <w:sz w:val="32"/>
          <w:szCs w:val="32"/>
          <w:highlight w:val="none"/>
          <w:lang w:bidi="ar"/>
        </w:rPr>
      </w:pPr>
      <w:r>
        <w:rPr>
          <w:rFonts w:hint="eastAsia" w:ascii="仿宋" w:hAnsi="仿宋" w:eastAsia="仿宋" w:cs="仿宋"/>
          <w:sz w:val="32"/>
          <w:szCs w:val="32"/>
          <w:highlight w:val="none"/>
          <w:lang w:bidi="ar"/>
        </w:rPr>
        <w:t>收件</w:t>
      </w:r>
      <w:r>
        <w:rPr>
          <w:rFonts w:ascii="仿宋" w:hAnsi="仿宋" w:eastAsia="仿宋" w:cs="仿宋"/>
          <w:sz w:val="32"/>
          <w:szCs w:val="32"/>
          <w:highlight w:val="none"/>
          <w:lang w:bidi="ar"/>
        </w:rPr>
        <w:t>信息</w:t>
      </w:r>
      <w:r>
        <w:rPr>
          <w:rFonts w:hint="eastAsia" w:ascii="仿宋" w:hAnsi="仿宋" w:eastAsia="仿宋" w:cs="仿宋"/>
          <w:sz w:val="32"/>
          <w:szCs w:val="32"/>
          <w:highlight w:val="none"/>
          <w:lang w:bidi="ar"/>
        </w:rPr>
        <w:t>：深圳市福田区深南大道2012号深圳证券交易所广场债券业务</w:t>
      </w:r>
      <w:r>
        <w:rPr>
          <w:rFonts w:hint="eastAsia" w:ascii="仿宋" w:hAnsi="仿宋" w:eastAsia="仿宋" w:cs="仿宋"/>
          <w:sz w:val="32"/>
          <w:szCs w:val="32"/>
          <w:highlight w:val="none"/>
          <w:lang w:eastAsia="zh" w:bidi="ar"/>
        </w:rPr>
        <w:t>中心</w:t>
      </w:r>
      <w:r>
        <w:rPr>
          <w:rFonts w:hint="eastAsia" w:ascii="仿宋" w:hAnsi="仿宋" w:eastAsia="仿宋" w:cs="仿宋"/>
          <w:sz w:val="32"/>
          <w:szCs w:val="32"/>
          <w:highlight w:val="none"/>
          <w:lang w:bidi="ar"/>
        </w:rPr>
        <w:t>，0755-88666500。</w:t>
      </w:r>
    </w:p>
    <w:p>
      <w:pPr>
        <w:pStyle w:val="4"/>
        <w:keepNext w:val="0"/>
        <w:keepLines w:val="0"/>
        <w:adjustRightInd w:val="0"/>
        <w:snapToGrid w:val="0"/>
        <w:spacing w:before="0" w:after="0" w:line="560" w:lineRule="exact"/>
        <w:ind w:firstLine="640" w:firstLineChars="200"/>
        <w:rPr>
          <w:rFonts w:ascii="仿宋" w:hAnsi="仿宋" w:eastAsia="仿宋" w:cs="仿宋"/>
          <w:highlight w:val="none"/>
          <w:lang w:bidi="ar"/>
        </w:rPr>
      </w:pPr>
      <w:bookmarkStart w:id="251" w:name="_Toc22473"/>
      <w:r>
        <w:rPr>
          <w:rFonts w:hint="eastAsia" w:ascii="仿宋" w:hAnsi="仿宋" w:eastAsia="仿宋" w:cs="仿宋"/>
          <w:b w:val="0"/>
          <w:bCs w:val="0"/>
          <w:highlight w:val="none"/>
          <w:lang w:bidi="ar"/>
        </w:rPr>
        <w:t>（二）邮寄《证券登记及服务协议》</w:t>
      </w:r>
      <w:bookmarkEnd w:id="251"/>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highlight w:val="none"/>
          <w:lang w:bidi="ar"/>
        </w:rPr>
        <w:t>如发行人为非深交所上市公司且未邮寄过《</w:t>
      </w:r>
      <w:r>
        <w:rPr>
          <w:rFonts w:hint="eastAsia" w:ascii="仿宋" w:hAnsi="仿宋" w:eastAsia="仿宋" w:cs="仿宋"/>
          <w:sz w:val="32"/>
          <w:szCs w:val="32"/>
          <w:lang w:bidi="ar"/>
        </w:rPr>
        <w:t>证券登记及服务协议》，应签署</w:t>
      </w:r>
      <w:r>
        <w:rPr>
          <w:rFonts w:ascii="仿宋" w:hAnsi="仿宋" w:eastAsia="仿宋" w:cs="仿宋"/>
          <w:sz w:val="32"/>
          <w:szCs w:val="32"/>
          <w:lang w:bidi="ar"/>
        </w:rPr>
        <w:t>一式两</w:t>
      </w:r>
      <w:r>
        <w:rPr>
          <w:rFonts w:hint="eastAsia" w:ascii="仿宋" w:hAnsi="仿宋" w:eastAsia="仿宋" w:cs="仿宋"/>
          <w:sz w:val="32"/>
          <w:szCs w:val="32"/>
          <w:lang w:bidi="ar"/>
        </w:rPr>
        <w:t>份，发行人自行保存一份后，将另一份邮寄中国结算深圳分公司。</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收件</w:t>
      </w:r>
      <w:r>
        <w:rPr>
          <w:rFonts w:ascii="仿宋" w:hAnsi="仿宋" w:eastAsia="仿宋" w:cs="仿宋"/>
          <w:sz w:val="32"/>
          <w:szCs w:val="32"/>
          <w:lang w:bidi="ar"/>
        </w:rPr>
        <w:t>信息</w:t>
      </w:r>
      <w:r>
        <w:rPr>
          <w:rFonts w:hint="eastAsia" w:ascii="仿宋" w:hAnsi="仿宋" w:eastAsia="仿宋" w:cs="仿宋"/>
          <w:sz w:val="32"/>
          <w:szCs w:val="32"/>
          <w:lang w:bidi="ar"/>
        </w:rPr>
        <w:t>：深圳市福田区深南大道2012号深圳证券交易所广场25楼中国结算深圳分公司发行人业务部债券组，0755-21899699。</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52" w:name="_Toc21117"/>
      <w:r>
        <w:rPr>
          <w:rFonts w:hint="eastAsia" w:ascii="仿宋" w:hAnsi="仿宋" w:eastAsia="仿宋" w:cs="仿宋"/>
          <w:b w:val="0"/>
          <w:bCs w:val="0"/>
          <w:lang w:bidi="ar"/>
        </w:rPr>
        <w:t>（三）报备承销总结报告、法律意见书</w:t>
      </w:r>
      <w:bookmarkEnd w:id="252"/>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公司债券上市</w:t>
      </w:r>
      <w:r>
        <w:rPr>
          <w:rFonts w:ascii="仿宋" w:hAnsi="仿宋" w:eastAsia="仿宋" w:cs="仿宋"/>
          <w:sz w:val="32"/>
          <w:szCs w:val="32"/>
          <w:lang w:bidi="ar"/>
        </w:rPr>
        <w:t>/</w:t>
      </w:r>
      <w:r>
        <w:rPr>
          <w:rFonts w:hint="eastAsia" w:ascii="仿宋" w:hAnsi="仿宋" w:eastAsia="仿宋" w:cs="仿宋"/>
          <w:sz w:val="32"/>
          <w:szCs w:val="32"/>
          <w:lang w:bidi="ar"/>
        </w:rPr>
        <w:t>挂牌后</w:t>
      </w:r>
      <w:r>
        <w:rPr>
          <w:rFonts w:ascii="仿宋" w:hAnsi="仿宋" w:eastAsia="仿宋" w:cs="仿宋"/>
          <w:sz w:val="32"/>
          <w:szCs w:val="32"/>
          <w:lang w:bidi="ar"/>
        </w:rPr>
        <w:t>10</w:t>
      </w:r>
      <w:r>
        <w:rPr>
          <w:rFonts w:hint="eastAsia" w:ascii="仿宋" w:hAnsi="仿宋" w:eastAsia="仿宋" w:cs="仿宋"/>
          <w:sz w:val="32"/>
          <w:szCs w:val="32"/>
          <w:lang w:bidi="ar"/>
        </w:rPr>
        <w:t>个交易日内，主承销商应当根据《深圳证券交易所公司债券发行承销规则》要求准备法律意见书、承销总结报告等文件，并通过固</w:t>
      </w:r>
      <w:r>
        <w:rPr>
          <w:rFonts w:ascii="仿宋" w:hAnsi="仿宋" w:eastAsia="仿宋" w:cs="仿宋"/>
          <w:sz w:val="32"/>
          <w:szCs w:val="32"/>
          <w:lang w:bidi="ar"/>
        </w:rPr>
        <w:t>收</w:t>
      </w:r>
      <w:r>
        <w:rPr>
          <w:rFonts w:hint="eastAsia" w:ascii="仿宋" w:hAnsi="仿宋" w:eastAsia="仿宋" w:cs="仿宋"/>
          <w:sz w:val="32"/>
          <w:szCs w:val="32"/>
          <w:lang w:bidi="ar"/>
        </w:rPr>
        <w:t>专区</w:t>
      </w:r>
      <w:r>
        <w:rPr>
          <w:rFonts w:ascii="仿宋" w:hAnsi="仿宋" w:eastAsia="仿宋" w:cs="仿宋"/>
          <w:sz w:val="32"/>
          <w:szCs w:val="32"/>
          <w:lang w:bidi="ar"/>
        </w:rPr>
        <w:t>-</w:t>
      </w:r>
      <w:r>
        <w:rPr>
          <w:rFonts w:hint="eastAsia" w:ascii="仿宋" w:hAnsi="仿宋" w:eastAsia="仿宋" w:cs="仿宋"/>
          <w:sz w:val="32"/>
          <w:szCs w:val="32"/>
          <w:lang w:eastAsia="zh" w:bidi="ar"/>
        </w:rPr>
        <w:t>新增公开/非公开发行债券申请-</w:t>
      </w:r>
      <w:r>
        <w:rPr>
          <w:rFonts w:hint="eastAsia" w:ascii="仿宋" w:hAnsi="仿宋" w:eastAsia="仿宋" w:cs="仿宋"/>
          <w:sz w:val="32"/>
          <w:szCs w:val="32"/>
          <w:lang w:bidi="ar"/>
        </w:rPr>
        <w:t>信息披露申请流程-承销总结报告</w:t>
      </w:r>
      <w:r>
        <w:rPr>
          <w:rFonts w:ascii="仿宋" w:hAnsi="仿宋" w:eastAsia="仿宋" w:cs="仿宋"/>
          <w:sz w:val="32"/>
          <w:szCs w:val="32"/>
          <w:lang w:bidi="ar"/>
        </w:rPr>
        <w:t>-</w:t>
      </w:r>
      <w:r>
        <w:rPr>
          <w:rFonts w:hint="eastAsia" w:ascii="仿宋" w:hAnsi="仿宋" w:eastAsia="仿宋" w:cs="仿宋"/>
          <w:sz w:val="32"/>
          <w:szCs w:val="32"/>
          <w:lang w:bidi="ar"/>
        </w:rPr>
        <w:t>提交</w:t>
      </w:r>
      <w:r>
        <w:rPr>
          <w:rFonts w:ascii="仿宋" w:hAnsi="仿宋" w:eastAsia="仿宋" w:cs="仿宋"/>
          <w:sz w:val="32"/>
          <w:szCs w:val="32"/>
          <w:lang w:bidi="ar"/>
        </w:rPr>
        <w:t>相关文件</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承销总结报告中，主承销商应</w:t>
      </w:r>
      <w:r>
        <w:rPr>
          <w:rFonts w:hint="eastAsia" w:ascii="仿宋" w:hAnsi="仿宋" w:eastAsia="仿宋" w:cs="仿宋"/>
          <w:sz w:val="32"/>
          <w:szCs w:val="32"/>
          <w:lang w:eastAsia="zh-CN" w:bidi="ar"/>
        </w:rPr>
        <w:t>对发行过程中是否存在以下事项进行</w:t>
      </w:r>
      <w:r>
        <w:rPr>
          <w:rFonts w:hint="eastAsia" w:ascii="仿宋" w:hAnsi="仿宋" w:eastAsia="仿宋" w:cs="仿宋"/>
          <w:sz w:val="32"/>
          <w:szCs w:val="32"/>
          <w:lang w:bidi="ar"/>
        </w:rPr>
        <w:t>核查：</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1.发行人及其控股股东、实际控制人、董事、监事、高级管理人员和承销机构是否存在操纵发行定价、暗箱操作；是否以代持、信托等方式谋取不正当利益或者向其他相关利益主体输送利益；是否直接或者通过其</w:t>
      </w:r>
      <w:r>
        <w:rPr>
          <w:rFonts w:ascii="仿宋" w:hAnsi="仿宋" w:eastAsia="仿宋" w:cs="仿宋"/>
          <w:sz w:val="32"/>
          <w:szCs w:val="32"/>
          <w:lang w:bidi="ar"/>
        </w:rPr>
        <w:t>他</w:t>
      </w:r>
      <w:r>
        <w:rPr>
          <w:rFonts w:hint="eastAsia" w:ascii="仿宋" w:hAnsi="仿宋" w:eastAsia="仿宋" w:cs="仿宋"/>
          <w:sz w:val="32"/>
          <w:szCs w:val="32"/>
          <w:lang w:bidi="ar"/>
        </w:rPr>
        <w:t>利益相关方向参与认购的投资者提供财务资助</w:t>
      </w:r>
      <w:r>
        <w:rPr>
          <w:rFonts w:hint="eastAsia" w:ascii="仿宋" w:hAnsi="仿宋" w:eastAsia="仿宋" w:cs="仿宋"/>
          <w:b/>
          <w:bCs/>
          <w:color w:val="333333"/>
          <w:sz w:val="32"/>
          <w:szCs w:val="32"/>
        </w:rPr>
        <w:t>、</w:t>
      </w:r>
      <w:r>
        <w:rPr>
          <w:rFonts w:hint="eastAsia" w:ascii="仿宋" w:hAnsi="仿宋" w:eastAsia="仿宋" w:cs="仿宋"/>
          <w:b w:val="0"/>
          <w:bCs w:val="0"/>
          <w:color w:val="auto"/>
          <w:sz w:val="32"/>
          <w:szCs w:val="32"/>
          <w:lang w:bidi="ar"/>
        </w:rPr>
        <w:t>变相返费</w:t>
      </w:r>
      <w:r>
        <w:rPr>
          <w:rFonts w:hint="eastAsia" w:ascii="仿宋" w:hAnsi="仿宋" w:eastAsia="仿宋" w:cs="仿宋"/>
          <w:sz w:val="32"/>
          <w:szCs w:val="32"/>
          <w:lang w:bidi="ar"/>
        </w:rPr>
        <w:t>；</w:t>
      </w:r>
      <w:r>
        <w:rPr>
          <w:rFonts w:hint="eastAsia" w:ascii="仿宋" w:hAnsi="仿宋" w:eastAsia="仿宋" w:cs="仿宋"/>
          <w:b w:val="0"/>
          <w:bCs w:val="0"/>
          <w:color w:val="auto"/>
          <w:sz w:val="32"/>
          <w:szCs w:val="32"/>
          <w:lang w:eastAsia="zh-CN" w:bidi="ar"/>
        </w:rPr>
        <w:t>是否</w:t>
      </w:r>
      <w:r>
        <w:rPr>
          <w:rFonts w:hint="eastAsia" w:ascii="仿宋" w:hAnsi="仿宋" w:eastAsia="仿宋" w:cs="仿宋"/>
          <w:b w:val="0"/>
          <w:bCs w:val="0"/>
          <w:color w:val="auto"/>
          <w:sz w:val="32"/>
          <w:szCs w:val="32"/>
          <w:lang w:bidi="ar"/>
        </w:rPr>
        <w:t>出于利益交换的目的通过关联金融机构相互持有彼此发行的债券</w:t>
      </w:r>
      <w:r>
        <w:rPr>
          <w:rFonts w:hint="eastAsia" w:ascii="仿宋" w:hAnsi="仿宋" w:eastAsia="仿宋" w:cs="仿宋"/>
          <w:b w:val="0"/>
          <w:bCs w:val="0"/>
          <w:color w:val="auto"/>
          <w:sz w:val="32"/>
          <w:szCs w:val="32"/>
          <w:lang w:eastAsia="zh-CN" w:bidi="ar"/>
        </w:rPr>
        <w:t>；</w:t>
      </w:r>
      <w:r>
        <w:rPr>
          <w:rFonts w:hint="eastAsia" w:ascii="仿宋" w:hAnsi="仿宋" w:eastAsia="仿宋" w:cs="仿宋"/>
          <w:sz w:val="32"/>
          <w:szCs w:val="32"/>
          <w:lang w:bidi="ar"/>
        </w:rPr>
        <w:t>是否有其他违反公平竞争、破坏市场秩序等行为。</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2.发行人是否在发行环节直接或者间接认购其发行的公司债券。</w:t>
      </w:r>
    </w:p>
    <w:p>
      <w:pPr>
        <w:adjustRightInd w:val="0"/>
        <w:snapToGrid w:val="0"/>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3.</w:t>
      </w:r>
      <w:r>
        <w:rPr>
          <w:rFonts w:hint="eastAsia" w:ascii="仿宋" w:hAnsi="仿宋" w:eastAsia="仿宋" w:cs="仿宋"/>
          <w:b w:val="0"/>
          <w:bCs w:val="0"/>
          <w:color w:val="auto"/>
          <w:sz w:val="32"/>
          <w:szCs w:val="32"/>
          <w:lang w:bidi="ar"/>
        </w:rPr>
        <w:t>发行人的控股股东、实际控制人</w:t>
      </w:r>
      <w:r>
        <w:rPr>
          <w:rFonts w:hint="eastAsia" w:ascii="仿宋" w:hAnsi="仿宋" w:eastAsia="仿宋" w:cs="仿宋"/>
          <w:b w:val="0"/>
          <w:bCs w:val="0"/>
          <w:color w:val="auto"/>
          <w:sz w:val="32"/>
          <w:szCs w:val="32"/>
          <w:lang w:eastAsia="zh-CN" w:bidi="ar"/>
        </w:rPr>
        <w:t>是否</w:t>
      </w:r>
      <w:r>
        <w:rPr>
          <w:rFonts w:hint="eastAsia" w:ascii="仿宋" w:hAnsi="仿宋" w:eastAsia="仿宋" w:cs="仿宋"/>
          <w:b w:val="0"/>
          <w:bCs w:val="0"/>
          <w:color w:val="auto"/>
          <w:sz w:val="32"/>
          <w:szCs w:val="32"/>
          <w:lang w:bidi="ar"/>
        </w:rPr>
        <w:t>组织、指使发行人实施</w:t>
      </w:r>
      <w:r>
        <w:rPr>
          <w:rFonts w:hint="eastAsia" w:ascii="仿宋" w:hAnsi="仿宋" w:eastAsia="仿宋" w:cs="仿宋"/>
          <w:b w:val="0"/>
          <w:bCs w:val="0"/>
          <w:color w:val="auto"/>
          <w:sz w:val="32"/>
          <w:szCs w:val="32"/>
          <w:lang w:eastAsia="zh-CN" w:bidi="ar"/>
        </w:rPr>
        <w:t>上述</w:t>
      </w:r>
      <w:r>
        <w:rPr>
          <w:rFonts w:hint="eastAsia" w:ascii="仿宋" w:hAnsi="仿宋" w:eastAsia="仿宋" w:cs="仿宋"/>
          <w:b w:val="0"/>
          <w:bCs w:val="0"/>
          <w:color w:val="auto"/>
          <w:sz w:val="32"/>
          <w:szCs w:val="32"/>
          <w:lang w:bidi="ar"/>
        </w:rPr>
        <w:t>行为。</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val="en-US" w:eastAsia="zh-CN" w:bidi="ar"/>
        </w:rPr>
        <w:t>4.</w:t>
      </w:r>
      <w:r>
        <w:rPr>
          <w:rFonts w:hint="eastAsia" w:ascii="仿宋" w:hAnsi="仿宋" w:eastAsia="仿宋" w:cs="仿宋"/>
          <w:sz w:val="32"/>
          <w:szCs w:val="32"/>
          <w:lang w:bidi="ar"/>
        </w:rPr>
        <w:t>发行结果公告是否披露发行人的董事、监事、高级管理人员、持股比例超过百分之五的股东以及其他关联方参与其发行的公司债券认购的情况。</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val="en-US" w:eastAsia="zh-CN" w:bidi="ar"/>
        </w:rPr>
        <w:t>5</w:t>
      </w:r>
      <w:r>
        <w:rPr>
          <w:rFonts w:hint="eastAsia" w:ascii="仿宋" w:hAnsi="仿宋" w:eastAsia="仿宋" w:cs="仿宋"/>
          <w:sz w:val="32"/>
          <w:szCs w:val="32"/>
          <w:lang w:bidi="ar"/>
        </w:rPr>
        <w:t>.</w:t>
      </w:r>
      <w:r>
        <w:rPr>
          <w:rFonts w:hint="eastAsia" w:ascii="仿宋" w:hAnsi="仿宋" w:eastAsia="仿宋" w:cs="仿宋"/>
          <w:sz w:val="32"/>
          <w:szCs w:val="32"/>
          <w:lang w:val="en-US" w:eastAsia="zh-CN" w:bidi="ar"/>
        </w:rPr>
        <w:t>发行人、投资者是否作出并履行《</w:t>
      </w:r>
      <w:r>
        <w:rPr>
          <w:rFonts w:hint="eastAsia" w:ascii="仿宋" w:hAnsi="仿宋" w:eastAsia="仿宋" w:cs="仿宋"/>
          <w:bCs w:val="0"/>
          <w:sz w:val="32"/>
          <w:szCs w:val="32"/>
          <w:lang w:bidi="ar"/>
        </w:rPr>
        <w:t>关于进一步规范债券发行业务有关事项的通知</w:t>
      </w:r>
      <w:r>
        <w:rPr>
          <w:rFonts w:hint="eastAsia" w:ascii="仿宋" w:hAnsi="仿宋" w:eastAsia="仿宋" w:cs="仿宋"/>
          <w:sz w:val="32"/>
          <w:szCs w:val="32"/>
          <w:lang w:val="en-US" w:eastAsia="zh-CN" w:bidi="ar"/>
        </w:rPr>
        <w:t>》第九条第一款承诺。</w:t>
      </w:r>
      <w:r>
        <w:rPr>
          <w:rFonts w:hint="eastAsia" w:ascii="仿宋" w:hAnsi="仿宋" w:eastAsia="仿宋" w:cs="仿宋"/>
          <w:sz w:val="32"/>
          <w:szCs w:val="32"/>
          <w:lang w:bidi="ar"/>
        </w:rPr>
        <w:t xml:space="preserve"> </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对于证券公司次级债，</w:t>
      </w:r>
      <w:r>
        <w:rPr>
          <w:rFonts w:ascii="仿宋" w:hAnsi="仿宋" w:eastAsia="仿宋" w:cs="仿宋"/>
          <w:sz w:val="32"/>
          <w:szCs w:val="32"/>
          <w:lang w:bidi="ar"/>
        </w:rPr>
        <w:t>需</w:t>
      </w:r>
      <w:r>
        <w:rPr>
          <w:rFonts w:hint="eastAsia" w:ascii="仿宋" w:hAnsi="仿宋" w:eastAsia="仿宋" w:cs="仿宋"/>
          <w:sz w:val="32"/>
          <w:szCs w:val="32"/>
          <w:lang w:bidi="ar"/>
        </w:rPr>
        <w:t>核查是否存在“互持”情形。</w:t>
      </w:r>
    </w:p>
    <w:p>
      <w:pPr>
        <w:pStyle w:val="4"/>
        <w:keepNext w:val="0"/>
        <w:keepLines w:val="0"/>
        <w:adjustRightInd w:val="0"/>
        <w:snapToGrid w:val="0"/>
        <w:spacing w:before="0" w:after="0" w:line="560" w:lineRule="exact"/>
        <w:ind w:firstLine="640" w:firstLineChars="200"/>
        <w:rPr>
          <w:rFonts w:ascii="仿宋" w:hAnsi="仿宋" w:eastAsia="仿宋" w:cs="仿宋"/>
          <w:lang w:bidi="ar"/>
        </w:rPr>
      </w:pPr>
      <w:bookmarkStart w:id="253" w:name="_Toc20439"/>
      <w:r>
        <w:rPr>
          <w:rFonts w:hint="eastAsia" w:ascii="仿宋" w:hAnsi="仿宋" w:eastAsia="仿宋" w:cs="仿宋"/>
          <w:b w:val="0"/>
          <w:bCs w:val="0"/>
          <w:lang w:bidi="ar"/>
        </w:rPr>
        <w:t>（四）保存纸质材料</w:t>
      </w:r>
      <w:bookmarkEnd w:id="253"/>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主承销商、发行人应妥善保管纸质材料，</w:t>
      </w:r>
      <w:r>
        <w:rPr>
          <w:rFonts w:ascii="仿宋" w:hAnsi="仿宋" w:eastAsia="仿宋" w:cs="仿宋"/>
          <w:sz w:val="32"/>
          <w:szCs w:val="32"/>
          <w:lang w:bidi="ar"/>
        </w:rPr>
        <w:t>登记材料的</w:t>
      </w:r>
      <w:r>
        <w:rPr>
          <w:rFonts w:hint="eastAsia" w:ascii="仿宋" w:hAnsi="仿宋" w:eastAsia="仿宋" w:cs="仿宋"/>
          <w:sz w:val="32"/>
          <w:szCs w:val="32"/>
          <w:lang w:bidi="ar"/>
        </w:rPr>
        <w:t>保存期限不得少于债券全部兑付之日起</w:t>
      </w:r>
      <w:r>
        <w:rPr>
          <w:rFonts w:ascii="仿宋" w:hAnsi="仿宋" w:eastAsia="仿宋" w:cs="仿宋"/>
          <w:sz w:val="32"/>
          <w:szCs w:val="32"/>
          <w:lang w:bidi="ar"/>
        </w:rPr>
        <w:t>5年，其他发行上市材料的保存期限不得少于债券全部兑付之日起</w:t>
      </w:r>
      <w:r>
        <w:rPr>
          <w:rFonts w:hint="eastAsia" w:ascii="仿宋" w:hAnsi="仿宋" w:eastAsia="仿宋" w:cs="仿宋"/>
          <w:sz w:val="32"/>
          <w:szCs w:val="32"/>
          <w:lang w:bidi="ar"/>
        </w:rPr>
        <w:t>20年。本所有权随时调取查阅纸质材料。纸质材料与电子材料存在不一致的，相关申请文件以本所收到的电子材料为准。</w:t>
      </w:r>
    </w:p>
    <w:p>
      <w:pPr>
        <w:keepNext w:val="0"/>
        <w:keepLines w:val="0"/>
        <w:adjustRightInd w:val="0"/>
        <w:snapToGrid w:val="0"/>
        <w:spacing w:before="156" w:beforeLines="50" w:after="156" w:afterLines="50" w:line="560" w:lineRule="exact"/>
        <w:ind w:firstLine="640" w:firstLineChars="200"/>
        <w:jc w:val="center"/>
        <w:rPr>
          <w:rFonts w:ascii="仿宋" w:hAnsi="仿宋" w:eastAsia="仿宋" w:cs="仿宋"/>
          <w:kern w:val="2"/>
          <w:sz w:val="32"/>
          <w:szCs w:val="32"/>
          <w:lang w:bidi="ar"/>
        </w:rPr>
      </w:pPr>
      <w:r>
        <w:rPr>
          <w:rFonts w:ascii="仿宋" w:hAnsi="仿宋" w:eastAsia="仿宋" w:cs="仿宋"/>
          <w:kern w:val="2"/>
          <w:sz w:val="32"/>
          <w:szCs w:val="32"/>
          <w:lang w:bidi="ar"/>
        </w:rPr>
        <w:br w:type="page"/>
      </w:r>
    </w:p>
    <w:p>
      <w:pPr>
        <w:pStyle w:val="2"/>
        <w:keepNext w:val="0"/>
        <w:keepLines w:val="0"/>
        <w:widowControl w:val="0"/>
        <w:suppressLineNumbers w:val="0"/>
        <w:adjustRightInd w:val="0"/>
        <w:snapToGrid w:val="0"/>
        <w:spacing w:before="0" w:beforeLines="0" w:beforeAutospacing="0" w:after="0" w:afterLines="0" w:afterAutospacing="0" w:line="240" w:lineRule="auto"/>
        <w:jc w:val="center"/>
        <w:rPr>
          <w:rFonts w:hint="eastAsia" w:ascii="黑体" w:hAnsi="黑体" w:eastAsia="黑体" w:cs="黑体"/>
          <w:sz w:val="32"/>
          <w:szCs w:val="32"/>
        </w:rPr>
      </w:pPr>
      <w:bookmarkStart w:id="254" w:name="_Toc3880"/>
      <w:bookmarkEnd w:id="254"/>
      <w:bookmarkStart w:id="255" w:name="_Toc19034"/>
      <w:bookmarkStart w:id="256" w:name="_Toc3776"/>
      <w:bookmarkStart w:id="257" w:name="_Toc1740"/>
      <w:bookmarkStart w:id="258" w:name="_Toc26494"/>
      <w:bookmarkStart w:id="259" w:name="_Toc10135"/>
      <w:bookmarkStart w:id="260" w:name="_Toc14668"/>
      <w:bookmarkStart w:id="261" w:name="_Toc21108"/>
      <w:bookmarkStart w:id="262" w:name="_Toc26502"/>
      <w:bookmarkStart w:id="263" w:name="_Toc1161"/>
      <w:bookmarkStart w:id="264" w:name="_Toc8399"/>
      <w:bookmarkStart w:id="265" w:name="_Toc551881733"/>
      <w:bookmarkStart w:id="266" w:name="_Toc318174197"/>
      <w:r>
        <w:rPr>
          <w:rFonts w:hint="eastAsia" w:ascii="黑体" w:hAnsi="黑体" w:eastAsia="黑体" w:cs="黑体"/>
          <w:b/>
          <w:bCs/>
          <w:kern w:val="2"/>
          <w:sz w:val="32"/>
          <w:szCs w:val="32"/>
        </w:rPr>
        <w:t xml:space="preserve">第四章 </w:t>
      </w:r>
      <w:bookmarkStart w:id="267" w:name="_Toc19402"/>
      <w:bookmarkEnd w:id="267"/>
      <w:bookmarkStart w:id="268" w:name="_Toc23428"/>
      <w:bookmarkEnd w:id="268"/>
      <w:bookmarkStart w:id="269" w:name="_Toc7476"/>
      <w:bookmarkEnd w:id="269"/>
      <w:bookmarkStart w:id="270" w:name="_Toc28250"/>
      <w:bookmarkEnd w:id="270"/>
      <w:bookmarkStart w:id="271" w:name="_Toc198284678"/>
      <w:bookmarkEnd w:id="271"/>
      <w:bookmarkStart w:id="272" w:name="_Toc32287"/>
      <w:bookmarkEnd w:id="272"/>
      <w:bookmarkStart w:id="273" w:name="_Toc6310"/>
      <w:bookmarkEnd w:id="273"/>
      <w:bookmarkStart w:id="274" w:name="_Toc28467"/>
      <w:bookmarkEnd w:id="274"/>
      <w:bookmarkStart w:id="275" w:name="_Toc29153"/>
      <w:bookmarkEnd w:id="275"/>
      <w:bookmarkStart w:id="276" w:name="_Toc7102"/>
      <w:bookmarkEnd w:id="276"/>
      <w:bookmarkStart w:id="277" w:name="_Toc3848"/>
      <w:bookmarkEnd w:id="277"/>
      <w:bookmarkStart w:id="278" w:name="_Toc14936"/>
      <w:bookmarkEnd w:id="278"/>
      <w:bookmarkStart w:id="279" w:name="_Toc2384"/>
      <w:bookmarkEnd w:id="279"/>
      <w:bookmarkStart w:id="280" w:name="_Toc25629"/>
      <w:bookmarkEnd w:id="280"/>
      <w:bookmarkStart w:id="281" w:name="_Toc5222"/>
      <w:bookmarkEnd w:id="281"/>
      <w:bookmarkStart w:id="282" w:name="_Toc21650"/>
      <w:r>
        <w:rPr>
          <w:rFonts w:hint="eastAsia" w:ascii="黑体" w:hAnsi="黑体" w:eastAsia="黑体" w:cs="黑体"/>
          <w:b/>
          <w:bCs/>
          <w:kern w:val="2"/>
          <w:sz w:val="32"/>
          <w:szCs w:val="32"/>
        </w:rPr>
        <w:t>铁道债发行、登记及上市业务</w:t>
      </w:r>
      <w:bookmarkEnd w:id="255"/>
      <w:bookmarkEnd w:id="256"/>
      <w:bookmarkEnd w:id="257"/>
      <w:bookmarkEnd w:id="258"/>
      <w:bookmarkEnd w:id="259"/>
      <w:bookmarkEnd w:id="260"/>
      <w:bookmarkEnd w:id="261"/>
      <w:bookmarkEnd w:id="262"/>
      <w:bookmarkEnd w:id="263"/>
      <w:bookmarkEnd w:id="282"/>
    </w:p>
    <w:p>
      <w:pPr>
        <w:keepNext w:val="0"/>
        <w:keepLines w:val="0"/>
        <w:widowControl/>
        <w:suppressLineNumbers w:val="0"/>
        <w:shd w:val="clear" w:fill="FFFFFF"/>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shd w:val="clear" w:fill="FFFFFF"/>
          <w:lang w:val="en-US" w:eastAsia="zh-CN" w:bidi="ar"/>
        </w:rPr>
        <w:t>当期中国铁路建设债券（以下简称铁道债）拟在本所申请上市交易的，相应发行（含续发行，下同）、登记及上市业务按照以下流程办理。</w:t>
      </w:r>
    </w:p>
    <w:p>
      <w:pPr>
        <w:pStyle w:val="3"/>
        <w:keepNext w:val="0"/>
        <w:keepLines w:val="0"/>
        <w:widowControl w:val="0"/>
        <w:suppressLineNumbers w:val="0"/>
        <w:adjustRightInd w:val="0"/>
        <w:snapToGrid w:val="0"/>
        <w:spacing w:before="0" w:beforeLines="0" w:after="0" w:afterLines="0" w:line="560" w:lineRule="exact"/>
        <w:ind w:left="0" w:firstLine="640" w:firstLineChars="200"/>
        <w:rPr>
          <w:rFonts w:hint="eastAsia" w:ascii="楷体" w:hAnsi="楷体" w:eastAsia="楷体" w:cs="楷体"/>
        </w:rPr>
      </w:pPr>
      <w:bookmarkStart w:id="283" w:name="_Toc24468"/>
      <w:bookmarkEnd w:id="283"/>
      <w:bookmarkStart w:id="284" w:name="_Toc198284679"/>
      <w:bookmarkEnd w:id="284"/>
      <w:bookmarkStart w:id="285" w:name="_Toc18510"/>
      <w:bookmarkEnd w:id="285"/>
      <w:bookmarkStart w:id="286" w:name="_Toc13190"/>
      <w:bookmarkEnd w:id="286"/>
      <w:bookmarkStart w:id="287" w:name="_Toc2508"/>
      <w:bookmarkEnd w:id="287"/>
      <w:bookmarkStart w:id="288" w:name="_Toc32477"/>
      <w:bookmarkEnd w:id="288"/>
      <w:bookmarkStart w:id="289" w:name="_Toc26132"/>
      <w:bookmarkEnd w:id="289"/>
      <w:bookmarkStart w:id="290" w:name="_Toc23359"/>
      <w:bookmarkEnd w:id="290"/>
      <w:bookmarkStart w:id="291" w:name="_Toc26930"/>
      <w:bookmarkStart w:id="292" w:name="_Toc12821"/>
      <w:bookmarkStart w:id="293" w:name="_Toc7874"/>
      <w:bookmarkStart w:id="294" w:name="_Toc20299"/>
      <w:bookmarkStart w:id="295" w:name="_Toc20369"/>
      <w:bookmarkStart w:id="296" w:name="_Toc20663"/>
      <w:bookmarkStart w:id="297" w:name="_Toc2870"/>
      <w:bookmarkStart w:id="298" w:name="_Toc29806"/>
      <w:bookmarkStart w:id="299" w:name="_Toc12825"/>
      <w:bookmarkStart w:id="300" w:name="_Toc31271"/>
      <w:r>
        <w:rPr>
          <w:rFonts w:hint="eastAsia" w:ascii="楷体" w:hAnsi="楷体" w:eastAsia="楷体" w:cs="楷体"/>
          <w:b w:val="0"/>
          <w:bCs w:val="0"/>
          <w:kern w:val="2"/>
          <w:sz w:val="32"/>
          <w:szCs w:val="32"/>
        </w:rPr>
        <w:t>一</w:t>
      </w:r>
      <w:bookmarkEnd w:id="291"/>
      <w:r>
        <w:rPr>
          <w:rFonts w:hint="eastAsia" w:ascii="楷体" w:hAnsi="楷体" w:eastAsia="楷体" w:cs="楷体"/>
          <w:b w:val="0"/>
          <w:bCs w:val="0"/>
          <w:kern w:val="2"/>
          <w:sz w:val="32"/>
          <w:szCs w:val="32"/>
        </w:rPr>
        <w:t>、铁道债发行、招标业务</w:t>
      </w:r>
      <w:bookmarkEnd w:id="292"/>
      <w:bookmarkEnd w:id="293"/>
      <w:bookmarkEnd w:id="294"/>
      <w:bookmarkEnd w:id="295"/>
      <w:bookmarkEnd w:id="296"/>
      <w:bookmarkEnd w:id="297"/>
      <w:bookmarkEnd w:id="298"/>
      <w:bookmarkEnd w:id="299"/>
      <w:bookmarkEnd w:id="300"/>
    </w:p>
    <w:p>
      <w:pPr>
        <w:pStyle w:val="4"/>
        <w:keepNext w:val="0"/>
        <w:keepLines w:val="0"/>
        <w:widowControl w:val="0"/>
        <w:suppressLineNumbers w:val="0"/>
        <w:adjustRightInd w:val="0"/>
        <w:snapToGrid w:val="0"/>
        <w:spacing w:before="0" w:beforeLines="0" w:beforeAutospacing="0" w:after="0" w:afterLines="0" w:afterAutospacing="0" w:line="560" w:lineRule="exact"/>
        <w:ind w:left="0" w:leftChars="0" w:firstLine="640" w:firstLineChars="200"/>
        <w:rPr>
          <w:rFonts w:hint="eastAsia" w:ascii="仿宋" w:hAnsi="仿宋" w:eastAsia="仿宋" w:cs="仿宋"/>
        </w:rPr>
      </w:pPr>
      <w:r>
        <w:rPr>
          <w:rFonts w:hint="eastAsia" w:ascii="仿宋" w:hAnsi="仿宋" w:eastAsia="仿宋" w:cs="仿宋"/>
          <w:b w:val="0"/>
          <w:bCs w:val="0"/>
          <w:kern w:val="2"/>
          <w:sz w:val="32"/>
          <w:szCs w:val="32"/>
        </w:rPr>
        <w:t>（一）铁道债发行备案</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铁道债发行备案适用优化安排。铁道债发行前，主承销商使用铁道债招标系统</w:t>
      </w:r>
      <w:r>
        <w:rPr>
          <w:rFonts w:hint="eastAsia" w:ascii="仿宋" w:hAnsi="仿宋" w:eastAsia="仿宋" w:cs="仿宋"/>
          <w:kern w:val="2"/>
          <w:sz w:val="32"/>
          <w:szCs w:val="32"/>
          <w:lang w:eastAsia="zh"/>
        </w:rPr>
        <w:t>CA证书</w:t>
      </w:r>
      <w:r>
        <w:rPr>
          <w:rFonts w:hint="eastAsia" w:ascii="仿宋" w:hAnsi="仿宋" w:eastAsia="仿宋" w:cs="仿宋"/>
          <w:kern w:val="2"/>
          <w:sz w:val="32"/>
          <w:szCs w:val="32"/>
        </w:rPr>
        <w:t>进入</w:t>
      </w:r>
      <w:r>
        <w:rPr>
          <w:rFonts w:hint="eastAsia" w:ascii="仿宋" w:hAnsi="仿宋" w:eastAsia="仿宋" w:cs="仿宋"/>
          <w:kern w:val="2"/>
          <w:sz w:val="32"/>
          <w:szCs w:val="32"/>
          <w:lang w:eastAsia="zh-CN"/>
        </w:rPr>
        <w:t>固收</w:t>
      </w:r>
      <w:r>
        <w:rPr>
          <w:rFonts w:hint="eastAsia" w:ascii="仿宋" w:hAnsi="仿宋" w:eastAsia="仿宋" w:cs="仿宋"/>
          <w:kern w:val="2"/>
          <w:sz w:val="32"/>
          <w:szCs w:val="32"/>
        </w:rPr>
        <w:t>专区-发行上市-业务办理及查询-</w:t>
      </w:r>
      <w:r>
        <w:rPr>
          <w:rFonts w:hint="eastAsia" w:ascii="仿宋" w:hAnsi="仿宋" w:eastAsia="仿宋" w:cs="仿宋"/>
          <w:kern w:val="2"/>
          <w:sz w:val="32"/>
          <w:szCs w:val="32"/>
          <w:lang w:eastAsia="zh"/>
        </w:rPr>
        <w:t>新增</w:t>
      </w:r>
      <w:r>
        <w:rPr>
          <w:rFonts w:hint="eastAsia" w:ascii="仿宋" w:hAnsi="仿宋" w:eastAsia="仿宋" w:cs="仿宋"/>
          <w:kern w:val="2"/>
          <w:sz w:val="32"/>
          <w:szCs w:val="32"/>
        </w:rPr>
        <w:t>利率债申请-铁道债发行申请-新增债券，网址：</w:t>
      </w:r>
      <w:r>
        <w:rPr>
          <w:rStyle w:val="36"/>
          <w:rFonts w:hint="eastAsia" w:ascii="仿宋" w:hAnsi="仿宋" w:eastAsia="仿宋" w:cs="仿宋"/>
          <w:color w:val="auto"/>
          <w:sz w:val="32"/>
          <w:szCs w:val="32"/>
        </w:rPr>
        <w:t>https://biz.szse.cn），申请派发中国铁路建设债券代码和</w:t>
      </w:r>
      <w:r>
        <w:rPr>
          <w:rStyle w:val="36"/>
          <w:rFonts w:hint="eastAsia" w:ascii="仿宋" w:hAnsi="仿宋" w:eastAsia="仿宋" w:cs="仿宋"/>
          <w:color w:val="auto"/>
          <w:sz w:val="32"/>
          <w:szCs w:val="32"/>
          <w:lang w:eastAsia="zh-CN"/>
        </w:rPr>
        <w:t>证券简称</w:t>
      </w:r>
      <w:r>
        <w:rPr>
          <w:rStyle w:val="36"/>
          <w:rFonts w:hint="eastAsia" w:ascii="仿宋" w:hAnsi="仿宋" w:eastAsia="仿宋" w:cs="仿宋"/>
          <w:color w:val="auto"/>
          <w:sz w:val="32"/>
          <w:szCs w:val="32"/>
        </w:rPr>
        <w:t>。</w:t>
      </w:r>
    </w:p>
    <w:p>
      <w:pPr>
        <w:pStyle w:val="27"/>
        <w:keepNext w:val="0"/>
        <w:keepLines w:val="0"/>
        <w:widowControl/>
        <w:suppressLineNumbers w:val="0"/>
        <w:adjustRightInd w:val="0"/>
        <w:snapToGrid w:val="0"/>
        <w:spacing w:before="0" w:beforeLines="0" w:beforeAutospacing="0" w:after="0" w:afterLines="0" w:afterAutospacing="0" w:line="560" w:lineRule="exact"/>
        <w:ind w:left="600" w:right="0"/>
        <w:jc w:val="both"/>
        <w:rPr>
          <w:rFonts w:hint="eastAsia" w:ascii="仿宋" w:hAnsi="仿宋" w:eastAsia="仿宋" w:cs="仿宋"/>
          <w:sz w:val="32"/>
          <w:szCs w:val="32"/>
        </w:rPr>
      </w:pPr>
      <w:r>
        <w:rPr>
          <w:rFonts w:hint="eastAsia" w:ascii="仿宋" w:hAnsi="仿宋" w:eastAsia="仿宋" w:cs="仿宋"/>
          <w:kern w:val="2"/>
          <w:sz w:val="32"/>
          <w:szCs w:val="32"/>
        </w:rPr>
        <w:t>发行备案文件包括：</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（1）注册批复文件；</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lang w:eastAsia="zh-CN"/>
        </w:rPr>
      </w:pPr>
      <w:r>
        <w:rPr>
          <w:rFonts w:hint="eastAsia" w:ascii="仿宋" w:hAnsi="仿宋" w:eastAsia="仿宋" w:cs="仿宋"/>
          <w:kern w:val="2"/>
          <w:sz w:val="32"/>
          <w:szCs w:val="32"/>
        </w:rPr>
        <w:t>（2）募集说明书</w:t>
      </w:r>
      <w:r>
        <w:rPr>
          <w:rFonts w:hint="eastAsia" w:ascii="仿宋" w:hAnsi="仿宋" w:eastAsia="仿宋" w:cs="仿宋"/>
          <w:kern w:val="2"/>
          <w:sz w:val="32"/>
          <w:szCs w:val="32"/>
          <w:lang w:eastAsia="zh-CN"/>
        </w:rPr>
        <w:t>；</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（3）募集说明书摘要（如有）；</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（4）期后事项说明（按照报告期出具，报告期不变则无需重新出具）；</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（5）发行办法；</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（6）关于办理债券相关业务的说明；</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（7）其他国铁集团认为需要提供的文件（非必备）。</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leftChars="0" w:firstLine="640" w:firstLineChars="200"/>
        <w:rPr>
          <w:rFonts w:hint="eastAsia" w:ascii="仿宋" w:hAnsi="仿宋" w:eastAsia="仿宋" w:cs="仿宋"/>
        </w:rPr>
      </w:pPr>
      <w:r>
        <w:rPr>
          <w:rFonts w:hint="eastAsia" w:ascii="仿宋" w:hAnsi="仿宋" w:eastAsia="仿宋" w:cs="仿宋"/>
          <w:b w:val="0"/>
          <w:bCs w:val="0"/>
          <w:kern w:val="2"/>
          <w:sz w:val="32"/>
          <w:szCs w:val="32"/>
        </w:rPr>
        <w:t>（二）披露发行公告文件</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铁道债经发行备案后，主承销商应于T-1日（T日指招标日）完成发行公告文件披露。</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u w:val="none"/>
        </w:rPr>
      </w:pPr>
      <w:r>
        <w:rPr>
          <w:rFonts w:hint="eastAsia" w:ascii="仿宋" w:hAnsi="仿宋" w:eastAsia="仿宋" w:cs="仿宋"/>
          <w:kern w:val="2"/>
          <w:sz w:val="32"/>
          <w:szCs w:val="32"/>
          <w:lang w:val="en-US" w:eastAsia="zh-CN" w:bidi="ar"/>
        </w:rPr>
        <w:t>发行备案通过后，主承销商即可</w:t>
      </w:r>
      <w:r>
        <w:rPr>
          <w:rStyle w:val="36"/>
          <w:rFonts w:hint="eastAsia" w:ascii="仿宋" w:hAnsi="仿宋" w:eastAsia="仿宋" w:cs="仿宋"/>
          <w:color w:val="auto"/>
          <w:kern w:val="2"/>
          <w:sz w:val="32"/>
          <w:szCs w:val="32"/>
        </w:rPr>
        <w:t>使用铁道债招标系统</w:t>
      </w:r>
      <w:r>
        <w:rPr>
          <w:rStyle w:val="36"/>
          <w:rFonts w:hint="eastAsia" w:ascii="仿宋" w:hAnsi="仿宋" w:eastAsia="仿宋" w:cs="仿宋"/>
          <w:color w:val="auto"/>
          <w:kern w:val="2"/>
          <w:sz w:val="32"/>
          <w:szCs w:val="32"/>
          <w:lang w:eastAsia="zh"/>
        </w:rPr>
        <w:t>CA证书</w:t>
      </w:r>
      <w:r>
        <w:rPr>
          <w:rStyle w:val="36"/>
          <w:rFonts w:hint="eastAsia" w:ascii="仿宋" w:hAnsi="仿宋" w:eastAsia="仿宋" w:cs="仿宋"/>
          <w:color w:val="auto"/>
          <w:kern w:val="2"/>
          <w:sz w:val="32"/>
          <w:szCs w:val="32"/>
        </w:rPr>
        <w:t>进入固</w:t>
      </w:r>
      <w:r>
        <w:rPr>
          <w:rFonts w:hint="eastAsia" w:ascii="仿宋" w:hAnsi="仿宋" w:eastAsia="仿宋" w:cs="仿宋"/>
          <w:kern w:val="2"/>
          <w:sz w:val="32"/>
          <w:szCs w:val="32"/>
          <w:lang w:eastAsia="zh-CN"/>
        </w:rPr>
        <w:t>收</w:t>
      </w:r>
      <w:r>
        <w:rPr>
          <w:rStyle w:val="36"/>
          <w:rFonts w:hint="eastAsia" w:ascii="仿宋" w:hAnsi="仿宋" w:eastAsia="仿宋" w:cs="仿宋"/>
          <w:color w:val="auto"/>
          <w:kern w:val="2"/>
          <w:sz w:val="32"/>
          <w:szCs w:val="32"/>
        </w:rPr>
        <w:t>专区-发行上市-业务办理及查询-</w:t>
      </w:r>
      <w:r>
        <w:rPr>
          <w:rStyle w:val="36"/>
          <w:rFonts w:hint="eastAsia" w:ascii="仿宋" w:hAnsi="仿宋" w:eastAsia="仿宋" w:cs="仿宋"/>
          <w:color w:val="auto"/>
          <w:kern w:val="2"/>
          <w:sz w:val="32"/>
          <w:szCs w:val="32"/>
          <w:lang w:eastAsia="zh"/>
        </w:rPr>
        <w:t>新增</w:t>
      </w:r>
      <w:r>
        <w:rPr>
          <w:rStyle w:val="36"/>
          <w:rFonts w:hint="eastAsia" w:ascii="仿宋" w:hAnsi="仿宋" w:eastAsia="仿宋" w:cs="仿宋"/>
          <w:color w:val="auto"/>
          <w:kern w:val="2"/>
          <w:sz w:val="32"/>
          <w:szCs w:val="32"/>
        </w:rPr>
        <w:t>利率债申请-信息披露申请（网址：</w:t>
      </w:r>
      <w:r>
        <w:rPr>
          <w:rStyle w:val="36"/>
          <w:rFonts w:hint="eastAsia" w:ascii="仿宋" w:hAnsi="仿宋" w:eastAsia="仿宋" w:cs="仿宋"/>
          <w:color w:val="auto"/>
          <w:sz w:val="32"/>
          <w:szCs w:val="32"/>
        </w:rPr>
        <w:t>https://biz.szse.cn/</w:t>
      </w:r>
      <w:r>
        <w:rPr>
          <w:rStyle w:val="36"/>
          <w:rFonts w:hint="eastAsia" w:ascii="仿宋" w:hAnsi="仿宋" w:eastAsia="仿宋" w:cs="仿宋"/>
          <w:color w:val="auto"/>
          <w:kern w:val="2"/>
          <w:sz w:val="32"/>
          <w:szCs w:val="32"/>
        </w:rPr>
        <w:t>）向深交所提交需披露的发行文件。</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发行公告文件。发行公告文件中应当明确债券招标方式、招标数量、招标标的、中标确定方式、应急招投标方案和缴款方式等内容。</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铁道债发行公告文件包括：</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（1）注册批复文件；</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（2）募集说明书；</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（3）募集说明书摘要（如有）；</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（4）发行办法；</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（5）法律意见书；</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（6）最近三年审计报告和最近一期财务报告；</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（7）评级报告（如有）；</w:t>
      </w:r>
    </w:p>
    <w:p>
      <w:pPr>
        <w:pStyle w:val="27"/>
        <w:keepNext w:val="0"/>
        <w:keepLines w:val="0"/>
        <w:widowControl/>
        <w:numPr>
          <w:ilvl w:val="0"/>
          <w:numId w:val="0"/>
        </w:numPr>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（8）增信文件（如有）</w:t>
      </w:r>
    </w:p>
    <w:p>
      <w:pPr>
        <w:pStyle w:val="27"/>
        <w:keepNext w:val="0"/>
        <w:keepLines w:val="0"/>
        <w:widowControl/>
        <w:suppressLineNumbers w:val="0"/>
        <w:adjustRightInd w:val="0"/>
        <w:snapToGrid w:val="0"/>
        <w:spacing w:before="0" w:beforeLines="0" w:beforeAutospacing="0" w:after="0" w:afterLines="0" w:afterAutospacing="0" w:line="560" w:lineRule="exact"/>
        <w:ind w:left="0" w:right="0" w:firstLine="600"/>
        <w:jc w:val="both"/>
        <w:rPr>
          <w:rFonts w:hint="eastAsia" w:ascii="仿宋" w:hAnsi="仿宋" w:eastAsia="仿宋" w:cs="仿宋"/>
          <w:sz w:val="32"/>
          <w:szCs w:val="32"/>
        </w:rPr>
      </w:pPr>
      <w:r>
        <w:rPr>
          <w:rFonts w:hint="eastAsia" w:ascii="仿宋" w:hAnsi="仿宋" w:eastAsia="仿宋" w:cs="仿宋"/>
          <w:kern w:val="2"/>
          <w:sz w:val="32"/>
          <w:szCs w:val="32"/>
        </w:rPr>
        <w:t>（9）其他国铁集团认为可披露的文件（如有）。</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发行公告一经提交自动挂网，无需本所确认。发行人与主承销商应当确保填报信息和提交文件的准确性和及时性。</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leftChars="0" w:firstLine="640" w:firstLineChars="200"/>
        <w:rPr>
          <w:rFonts w:hint="eastAsia" w:ascii="仿宋" w:hAnsi="仿宋" w:eastAsia="仿宋" w:cs="仿宋"/>
        </w:rPr>
      </w:pPr>
      <w:r>
        <w:rPr>
          <w:rFonts w:hint="eastAsia" w:ascii="仿宋" w:hAnsi="仿宋" w:eastAsia="仿宋" w:cs="仿宋"/>
          <w:b w:val="0"/>
          <w:bCs w:val="0"/>
          <w:kern w:val="2"/>
          <w:sz w:val="32"/>
          <w:szCs w:val="32"/>
        </w:rPr>
        <w:t>（三）招标发行</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铁道债</w:t>
      </w:r>
      <w:r>
        <w:rPr>
          <w:rFonts w:hint="eastAsia" w:ascii="仿宋" w:hAnsi="仿宋" w:eastAsia="仿宋" w:cs="仿宋"/>
          <w:bCs/>
          <w:kern w:val="2"/>
          <w:sz w:val="32"/>
          <w:szCs w:val="32"/>
          <w:lang w:val="en-US" w:eastAsia="zh-CN" w:bidi="ar"/>
        </w:rPr>
        <w:t>拟在本所招标发行的，依据《深圳证券交易所债券招标发行业务指引》（深证会【2017】119号）有关规定办理。</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bCs/>
          <w:kern w:val="2"/>
          <w:sz w:val="32"/>
          <w:szCs w:val="32"/>
          <w:lang w:val="en-US" w:eastAsia="zh-CN" w:bidi="ar"/>
        </w:rPr>
        <w:t>主承销商应于</w:t>
      </w:r>
      <w:r>
        <w:rPr>
          <w:rFonts w:hint="eastAsia" w:ascii="仿宋" w:hAnsi="仿宋" w:eastAsia="仿宋" w:cs="仿宋"/>
          <w:kern w:val="2"/>
          <w:sz w:val="32"/>
          <w:szCs w:val="32"/>
          <w:lang w:val="en-US" w:eastAsia="zh-CN" w:bidi="ar"/>
        </w:rPr>
        <w:t>T-1日（T日指招标日）通过本所发行备案系统提交经发行人确认后的招标材料。</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铁道债招标材料（必备）包括：</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（1）投标参与人名单；</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（2）铁道债招标书；</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（3）招标现场人员名单；</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（4）招标发行承诺函（附件19，按年为期限出具，全年使用，承诺遵守本所招标发行规则）。</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发行公告文件披露后，发行人可以委托本所完成承销团成员或投标参与人设定、招标要素录入、招标书制作等工作，并于招标前对上述工作完成情况予以确认。</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招标开始后，承销商或投标参与人可以通过本所铁道债招标发行系统进行投标。投标期间，投标可撤销和修改，经修改的投标为新的投标；投标截止后，投标不可撤销和修改。</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投标结束后，发行人可以通过铁道债招标发行系统查询、打印和导出投标额、中标额、按机构和标位统计的投标量和中标量等发行数据。承销商或投标参与人可以通过铁道债招标发行系统查询、打印或者导出自身的中标结果。</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firstLine="640" w:firstLineChars="200"/>
        <w:rPr>
          <w:rFonts w:hint="eastAsia" w:ascii="仿宋" w:hAnsi="仿宋" w:eastAsia="仿宋" w:cs="仿宋"/>
        </w:rPr>
      </w:pPr>
      <w:r>
        <w:rPr>
          <w:rFonts w:hint="eastAsia" w:ascii="仿宋" w:hAnsi="仿宋" w:eastAsia="仿宋" w:cs="仿宋"/>
          <w:b w:val="0"/>
          <w:bCs w:val="0"/>
          <w:kern w:val="2"/>
          <w:sz w:val="32"/>
          <w:szCs w:val="32"/>
        </w:rPr>
        <w:t>（四）托管</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各中标机构应于投标截止后10分钟内，选择托管场所。本所招标发行的铁道债，中标结束10分钟内未选择托管场所的，则默认为全部在中国结算深圳分公司托管。</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中标结束10分钟后，如有调整债券托管场所的需求，则在招标日次日16:00前，牵头主承销商汇总债券托管场所调整申请，制作《债券额度调整申请表》（附件20）</w:t>
      </w:r>
      <w:r>
        <w:rPr>
          <w:rStyle w:val="36"/>
          <w:rFonts w:hint="eastAsia" w:ascii="仿宋" w:hAnsi="仿宋" w:eastAsia="仿宋" w:cs="仿宋"/>
          <w:color w:val="auto"/>
          <w:sz w:val="32"/>
          <w:szCs w:val="32"/>
        </w:rPr>
        <w:t>提交至本所指定邮箱</w:t>
      </w:r>
      <w:r>
        <w:rPr>
          <w:rFonts w:hint="eastAsia" w:ascii="仿宋" w:hAnsi="仿宋" w:eastAsia="仿宋" w:cs="仿宋"/>
          <w:kern w:val="2"/>
          <w:sz w:val="32"/>
          <w:szCs w:val="32"/>
          <w:lang w:val="en-US" w:eastAsia="zh-CN" w:bidi="ar"/>
        </w:rPr>
        <w:t>szsebond@szse.cn。确定托管场所及托管量后，如相关机构有分销需求则需及时完成分销填报操作，后由本所根据最终托管数据及分销数据确定投资者明细信息。</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firstLine="640" w:firstLineChars="200"/>
        <w:rPr>
          <w:rFonts w:hint="eastAsia" w:ascii="仿宋" w:hAnsi="仿宋" w:eastAsia="仿宋" w:cs="仿宋"/>
          <w:lang w:eastAsia="zh-CN"/>
        </w:rPr>
      </w:pPr>
      <w:r>
        <w:rPr>
          <w:rFonts w:hint="eastAsia" w:ascii="仿宋" w:hAnsi="仿宋" w:eastAsia="仿宋" w:cs="仿宋"/>
          <w:b w:val="0"/>
          <w:bCs w:val="0"/>
          <w:kern w:val="2"/>
          <w:sz w:val="32"/>
          <w:szCs w:val="32"/>
        </w:rPr>
        <w:t>（五）分销</w:t>
      </w:r>
      <w:r>
        <w:rPr>
          <w:rFonts w:hint="eastAsia" w:ascii="仿宋" w:hAnsi="仿宋" w:cs="仿宋"/>
          <w:b w:val="0"/>
          <w:bCs w:val="0"/>
          <w:kern w:val="2"/>
          <w:sz w:val="32"/>
          <w:szCs w:val="32"/>
          <w:lang w:eastAsia="zh-CN"/>
        </w:rPr>
        <w:t>与登记</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分销时间为招标结束后至招标日次一交易日，具体时间以披露的招标书和本所有关规定为准。承销商中标后，选择托管在中国结算深圳分公司的，通过深交所铁道债招标系统-债券确权登记（或者登录https://biz.szse.cn/-固</w:t>
      </w:r>
      <w:r>
        <w:rPr>
          <w:rFonts w:hint="eastAsia" w:ascii="仿宋" w:hAnsi="仿宋" w:eastAsia="仿宋" w:cs="仿宋"/>
          <w:kern w:val="2"/>
          <w:sz w:val="32"/>
          <w:szCs w:val="32"/>
          <w:lang w:val="en-US" w:eastAsia="zh" w:bidi="ar"/>
        </w:rPr>
        <w:t>收</w:t>
      </w:r>
      <w:r>
        <w:rPr>
          <w:rFonts w:hint="eastAsia" w:ascii="仿宋" w:hAnsi="仿宋" w:eastAsia="仿宋" w:cs="仿宋"/>
          <w:kern w:val="2"/>
          <w:sz w:val="32"/>
          <w:szCs w:val="32"/>
          <w:lang w:val="en-US" w:eastAsia="zh-CN" w:bidi="ar"/>
        </w:rPr>
        <w:t>专区）-发行上市-业务办理及查询-新增利率债申请-初始登记申请录入并提交分销客户账户和登记数据。托管在中国结算深圳分公司且无需分销的，通过上述路径提交自家账户和登记数据。本所根据最终托管数据以及承销商或者投标参与人通过系统提交的账户和债券数量办理债券登记。</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firstLine="640" w:firstLineChars="200"/>
        <w:rPr>
          <w:rFonts w:hint="eastAsia" w:ascii="仿宋" w:hAnsi="仿宋" w:eastAsia="仿宋" w:cs="仿宋"/>
        </w:rPr>
      </w:pPr>
      <w:r>
        <w:rPr>
          <w:rFonts w:hint="eastAsia" w:ascii="仿宋" w:hAnsi="仿宋" w:eastAsia="仿宋" w:cs="仿宋"/>
          <w:b w:val="0"/>
          <w:bCs w:val="0"/>
          <w:kern w:val="2"/>
          <w:sz w:val="32"/>
          <w:szCs w:val="32"/>
        </w:rPr>
        <w:t>（六）缴款</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中标的投标人应当按照有关协议约定或者发行公告文件要求在缴款日按时足额将认购款项划至缴款账户。</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firstLine="640" w:firstLineChars="200"/>
        <w:rPr>
          <w:rFonts w:hint="eastAsia" w:ascii="仿宋" w:hAnsi="仿宋" w:eastAsia="仿宋" w:cs="仿宋"/>
        </w:rPr>
      </w:pPr>
      <w:r>
        <w:rPr>
          <w:rFonts w:hint="eastAsia" w:ascii="仿宋" w:hAnsi="仿宋" w:eastAsia="仿宋" w:cs="仿宋"/>
          <w:b w:val="0"/>
          <w:bCs w:val="0"/>
          <w:kern w:val="2"/>
          <w:sz w:val="32"/>
          <w:szCs w:val="32"/>
        </w:rPr>
        <w:t>（七）发行结果公告</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主承销商于缴款结束日（T+1日）提交发行结果公告。发行结果公告内容应包括实际发行规模、票面利率、发行价格（如有）等基本要素，并加盖发行人、所有主承销商公章。公告提交通道与上文发行公告披露一致。</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发行结果公告一经提交自动挂网，无需本所确认。发行人与主承销商应当确保填报信息和提交文件的准确性和及时性。</w:t>
      </w:r>
    </w:p>
    <w:p>
      <w:pPr>
        <w:pStyle w:val="3"/>
        <w:keepNext w:val="0"/>
        <w:keepLines w:val="0"/>
        <w:widowControl w:val="0"/>
        <w:suppressLineNumbers w:val="0"/>
        <w:adjustRightInd w:val="0"/>
        <w:snapToGrid w:val="0"/>
        <w:spacing w:before="0" w:beforeLines="0" w:after="0" w:afterLines="0" w:line="560" w:lineRule="exact"/>
        <w:ind w:left="600"/>
        <w:rPr>
          <w:rFonts w:hint="eastAsia" w:ascii="楷体" w:hAnsi="楷体" w:eastAsia="楷体" w:cs="楷体"/>
        </w:rPr>
      </w:pPr>
      <w:bookmarkStart w:id="301" w:name="_Toc24640"/>
      <w:bookmarkEnd w:id="301"/>
      <w:bookmarkStart w:id="302" w:name="_Toc29714"/>
      <w:bookmarkEnd w:id="302"/>
      <w:bookmarkStart w:id="303" w:name="_Toc29104"/>
      <w:bookmarkEnd w:id="303"/>
      <w:bookmarkStart w:id="304" w:name="_Toc18437"/>
      <w:bookmarkEnd w:id="304"/>
      <w:bookmarkStart w:id="305" w:name="_Toc27891"/>
      <w:bookmarkEnd w:id="305"/>
      <w:bookmarkStart w:id="306" w:name="_Toc25994"/>
      <w:bookmarkEnd w:id="306"/>
      <w:bookmarkStart w:id="307" w:name="_Toc27114"/>
      <w:bookmarkEnd w:id="307"/>
      <w:bookmarkStart w:id="308" w:name="_Toc2232"/>
      <w:bookmarkEnd w:id="308"/>
      <w:bookmarkStart w:id="309" w:name="_Toc26751"/>
      <w:bookmarkEnd w:id="309"/>
      <w:bookmarkStart w:id="310" w:name="_Toc198284680"/>
      <w:bookmarkStart w:id="311" w:name="_Toc20284"/>
      <w:bookmarkStart w:id="312" w:name="_Toc4072"/>
      <w:bookmarkStart w:id="313" w:name="_Toc11630"/>
      <w:bookmarkStart w:id="314" w:name="_Toc16995"/>
      <w:bookmarkStart w:id="315" w:name="_Toc22521"/>
      <w:bookmarkStart w:id="316" w:name="_Toc5244"/>
      <w:bookmarkStart w:id="317" w:name="_Toc3430"/>
      <w:bookmarkStart w:id="318" w:name="_Toc6063"/>
      <w:bookmarkStart w:id="319" w:name="_Toc7770"/>
      <w:r>
        <w:rPr>
          <w:rFonts w:hint="eastAsia" w:ascii="楷体" w:hAnsi="楷体" w:eastAsia="楷体" w:cs="楷体"/>
          <w:b w:val="0"/>
          <w:bCs w:val="0"/>
          <w:kern w:val="2"/>
          <w:sz w:val="32"/>
          <w:szCs w:val="32"/>
        </w:rPr>
        <w:t>二</w:t>
      </w:r>
      <w:bookmarkEnd w:id="310"/>
      <w:r>
        <w:rPr>
          <w:rFonts w:hint="eastAsia" w:ascii="楷体" w:hAnsi="楷体" w:eastAsia="楷体" w:cs="楷体"/>
          <w:b w:val="0"/>
          <w:bCs w:val="0"/>
          <w:kern w:val="2"/>
          <w:sz w:val="32"/>
          <w:szCs w:val="32"/>
        </w:rPr>
        <w:t>、铁道债上市业务</w:t>
      </w:r>
      <w:bookmarkEnd w:id="311"/>
      <w:bookmarkEnd w:id="312"/>
      <w:bookmarkEnd w:id="313"/>
      <w:bookmarkEnd w:id="314"/>
      <w:bookmarkEnd w:id="315"/>
      <w:bookmarkEnd w:id="316"/>
      <w:bookmarkEnd w:id="317"/>
      <w:bookmarkEnd w:id="318"/>
      <w:bookmarkEnd w:id="319"/>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
        </w:rPr>
        <w:t>铁道债上市业务流程适用优化安排，本所依据《关于中国铁路建设债券发行上市交易有关事项的通知》和上市协议为在本所发行的铁道债安排上市。</w:t>
      </w:r>
    </w:p>
    <w:p>
      <w:pPr>
        <w:keepNext w:val="0"/>
        <w:keepLines w:val="0"/>
        <w:widowControl/>
        <w:suppressLineNumbers w:val="0"/>
        <w:adjustRightInd w:val="0"/>
        <w:snapToGrid w:val="0"/>
        <w:spacing w:before="0" w:beforeLines="0" w:beforeAutospacing="0" w:after="0" w:afterLines="0" w:afterAutospacing="0" w:line="560" w:lineRule="exact"/>
        <w:ind w:left="0" w:right="0" w:firstLine="640" w:firstLineChars="200"/>
        <w:jc w:val="both"/>
        <w:rPr>
          <w:rFonts w:hint="eastAsia" w:ascii="仿宋" w:hAnsi="仿宋" w:eastAsia="仿宋" w:cs="仿宋"/>
          <w:sz w:val="32"/>
          <w:szCs w:val="32"/>
          <w:lang w:bidi="ar"/>
        </w:rPr>
      </w:pPr>
      <w:r>
        <w:rPr>
          <w:rFonts w:hint="eastAsia" w:ascii="仿宋" w:hAnsi="仿宋" w:eastAsia="仿宋" w:cs="仿宋"/>
          <w:kern w:val="2"/>
          <w:sz w:val="32"/>
          <w:szCs w:val="32"/>
          <w:lang w:val="en-US" w:eastAsia="zh-CN" w:bidi="ar"/>
        </w:rPr>
        <w:t>在银行间招标发行并且托管场所为“本所+银行间”的铁道债，T+1日16:00前（T日指招标日），牵头主承销商向本所提供本期铁道债盖章版《中国铁路建设债券托管汇总表》（附件21）；T+1日17:00前，牵头主承销商汇总各中标机构盖章版《深交所铁道债托管申请表》（附件22），并将所有投资者明细汇总为债券持有人名册文件发送至本所。</w:t>
      </w:r>
    </w:p>
    <w:p>
      <w:pPr>
        <w:keepNext w:val="0"/>
        <w:keepLines w:val="0"/>
        <w:adjustRightInd w:val="0"/>
        <w:snapToGrid w:val="0"/>
        <w:spacing w:before="156" w:beforeLines="50" w:after="156" w:afterLines="50" w:line="560" w:lineRule="exact"/>
        <w:jc w:val="center"/>
        <w:rPr>
          <w:rFonts w:hint="eastAsia" w:ascii="仿宋" w:hAnsi="仿宋" w:eastAsia="仿宋" w:cs="仿宋"/>
          <w:kern w:val="2"/>
          <w:sz w:val="32"/>
          <w:szCs w:val="32"/>
          <w:lang w:bidi="ar"/>
        </w:rPr>
      </w:pPr>
    </w:p>
    <w:p>
      <w:pPr>
        <w:keepNext w:val="0"/>
        <w:keepLines w:val="0"/>
        <w:adjustRightInd w:val="0"/>
        <w:snapToGrid w:val="0"/>
        <w:spacing w:before="156" w:beforeLines="50" w:after="156" w:afterLines="50" w:line="560" w:lineRule="exact"/>
        <w:jc w:val="center"/>
        <w:rPr>
          <w:rFonts w:hint="eastAsia" w:ascii="仿宋" w:hAnsi="仿宋" w:eastAsia="仿宋" w:cs="仿宋"/>
          <w:kern w:val="2"/>
          <w:sz w:val="32"/>
          <w:szCs w:val="32"/>
          <w:lang w:bidi="ar"/>
        </w:rPr>
      </w:pPr>
      <w:r>
        <w:rPr>
          <w:rFonts w:hint="eastAsia" w:ascii="仿宋" w:hAnsi="仿宋" w:eastAsia="仿宋" w:cs="仿宋"/>
          <w:kern w:val="2"/>
          <w:sz w:val="32"/>
          <w:szCs w:val="32"/>
          <w:lang w:bidi="ar"/>
        </w:rPr>
        <w:br w:type="page"/>
      </w:r>
    </w:p>
    <w:p>
      <w:pPr>
        <w:pStyle w:val="2"/>
        <w:keepNext w:val="0"/>
        <w:keepLines w:val="0"/>
        <w:adjustRightInd w:val="0"/>
        <w:snapToGrid w:val="0"/>
        <w:spacing w:before="0" w:beforeLines="0" w:after="0" w:afterLines="0" w:line="240" w:lineRule="auto"/>
        <w:jc w:val="center"/>
        <w:rPr>
          <w:rFonts w:hint="eastAsia" w:ascii="黑体" w:hAnsi="黑体" w:eastAsia="黑体" w:cs="黑体"/>
          <w:kern w:val="2"/>
          <w:sz w:val="32"/>
          <w:szCs w:val="32"/>
          <w:lang w:bidi="ar"/>
        </w:rPr>
      </w:pPr>
      <w:bookmarkStart w:id="320" w:name="_Toc15794"/>
      <w:bookmarkStart w:id="321" w:name="_Toc7108"/>
      <w:bookmarkStart w:id="322" w:name="_Toc32243"/>
      <w:bookmarkStart w:id="323" w:name="_Toc658"/>
      <w:bookmarkStart w:id="324" w:name="_Toc9392"/>
      <w:bookmarkStart w:id="325" w:name="_Toc18089"/>
      <w:bookmarkStart w:id="326" w:name="_Toc27279"/>
      <w:bookmarkStart w:id="327" w:name="_Toc11156"/>
      <w:bookmarkStart w:id="328" w:name="_Toc14476"/>
      <w:r>
        <w:rPr>
          <w:rFonts w:hint="eastAsia" w:ascii="黑体" w:hAnsi="黑体" w:eastAsia="黑体" w:cs="黑体"/>
          <w:kern w:val="2"/>
          <w:sz w:val="32"/>
          <w:szCs w:val="32"/>
          <w:lang w:bidi="ar"/>
        </w:rPr>
        <w:t>第</w:t>
      </w:r>
      <w:r>
        <w:rPr>
          <w:rFonts w:hint="eastAsia" w:ascii="黑体" w:hAnsi="黑体" w:eastAsia="黑体" w:cs="黑体"/>
          <w:kern w:val="2"/>
          <w:sz w:val="32"/>
          <w:szCs w:val="32"/>
          <w:lang w:eastAsia="zh" w:bidi="ar"/>
        </w:rPr>
        <w:t>五</w:t>
      </w:r>
      <w:r>
        <w:rPr>
          <w:rFonts w:hint="eastAsia" w:ascii="黑体" w:hAnsi="黑体" w:eastAsia="黑体" w:cs="黑体"/>
          <w:kern w:val="2"/>
          <w:sz w:val="32"/>
          <w:szCs w:val="32"/>
          <w:lang w:bidi="ar"/>
        </w:rPr>
        <w:t>章 资产支持证券发行业务</w:t>
      </w:r>
      <w:bookmarkEnd w:id="116"/>
      <w:bookmarkEnd w:id="264"/>
      <w:bookmarkEnd w:id="265"/>
      <w:bookmarkEnd w:id="266"/>
      <w:bookmarkEnd w:id="320"/>
      <w:bookmarkEnd w:id="321"/>
      <w:bookmarkEnd w:id="322"/>
      <w:bookmarkEnd w:id="323"/>
      <w:bookmarkEnd w:id="324"/>
      <w:bookmarkEnd w:id="325"/>
      <w:bookmarkEnd w:id="326"/>
      <w:bookmarkEnd w:id="327"/>
      <w:bookmarkEnd w:id="328"/>
    </w:p>
    <w:p>
      <w:pPr>
        <w:pStyle w:val="3"/>
        <w:adjustRightInd w:val="0"/>
        <w:snapToGrid w:val="0"/>
        <w:spacing w:before="0" w:after="0" w:line="560" w:lineRule="exact"/>
        <w:ind w:firstLine="640" w:firstLineChars="200"/>
        <w:rPr>
          <w:rFonts w:hint="eastAsia" w:ascii="楷体" w:hAnsi="楷体" w:eastAsia="楷体" w:cs="楷体"/>
          <w:b w:val="0"/>
        </w:rPr>
      </w:pPr>
      <w:bookmarkStart w:id="329" w:name="_Toc21449"/>
      <w:bookmarkStart w:id="330" w:name="_Toc3493"/>
      <w:bookmarkStart w:id="331" w:name="_Toc7234"/>
      <w:bookmarkStart w:id="332" w:name="_Toc10948"/>
      <w:bookmarkStart w:id="333" w:name="_Toc18570"/>
      <w:bookmarkStart w:id="334" w:name="_Toc7567"/>
      <w:bookmarkStart w:id="335" w:name="_Toc21254"/>
      <w:bookmarkStart w:id="336" w:name="_Toc12579"/>
      <w:bookmarkStart w:id="337" w:name="_Toc3761"/>
      <w:bookmarkStart w:id="338" w:name="_Toc21115"/>
      <w:bookmarkStart w:id="339" w:name="_Toc1819247131"/>
      <w:bookmarkStart w:id="340" w:name="_Toc721327470"/>
      <w:bookmarkStart w:id="341" w:name="_Toc30757"/>
      <w:r>
        <w:rPr>
          <w:rFonts w:hint="eastAsia" w:ascii="楷体" w:hAnsi="楷体" w:eastAsia="楷体" w:cs="楷体"/>
          <w:b w:val="0"/>
        </w:rPr>
        <w:t>一、发行方式</w:t>
      </w:r>
      <w:bookmarkEnd w:id="329"/>
      <w:bookmarkEnd w:id="330"/>
      <w:bookmarkEnd w:id="331"/>
      <w:bookmarkEnd w:id="332"/>
      <w:bookmarkEnd w:id="333"/>
      <w:bookmarkEnd w:id="334"/>
      <w:bookmarkEnd w:id="335"/>
      <w:bookmarkEnd w:id="336"/>
      <w:bookmarkEnd w:id="337"/>
      <w:bookmarkEnd w:id="338"/>
      <w:bookmarkEnd w:id="339"/>
      <w:bookmarkEnd w:id="340"/>
      <w:bookmarkEnd w:id="341"/>
    </w:p>
    <w:p>
      <w:pPr>
        <w:adjustRightInd w:val="0"/>
        <w:snapToGrid w:val="0"/>
        <w:spacing w:line="560" w:lineRule="exact"/>
        <w:ind w:firstLine="640" w:firstLineChars="200"/>
        <w:rPr>
          <w:rFonts w:ascii="仿宋" w:hAnsi="仿宋" w:eastAsia="仿宋" w:cs="仿宋"/>
          <w:sz w:val="32"/>
          <w:szCs w:val="32"/>
        </w:rPr>
      </w:pPr>
      <w:r>
        <w:rPr>
          <w:rStyle w:val="92"/>
          <w:rFonts w:hint="eastAsia" w:ascii="仿宋" w:hAnsi="仿宋" w:eastAsia="仿宋" w:cs="仿宋"/>
          <w:color w:val="auto"/>
          <w:sz w:val="32"/>
          <w:szCs w:val="32"/>
          <w:lang w:bidi="ar"/>
        </w:rPr>
        <w:t>资产支持证券的发行可以采用簿记建档、协议发行等方式。</w:t>
      </w:r>
      <w:r>
        <w:rPr>
          <w:rFonts w:hint="eastAsia" w:ascii="仿宋" w:hAnsi="仿宋" w:eastAsia="仿宋" w:cs="仿宋"/>
          <w:sz w:val="32"/>
          <w:szCs w:val="32"/>
          <w:lang w:bidi="ar"/>
        </w:rPr>
        <w:t>资产支持证券应当面向专业机构投资者发行，参与资产支持证券认购的专业机构投资者，应当符合本所债券市场投资者适当性管理规定。</w:t>
      </w:r>
    </w:p>
    <w:p>
      <w:pPr>
        <w:pStyle w:val="3"/>
        <w:numPr>
          <w:ilvl w:val="0"/>
          <w:numId w:val="1"/>
        </w:numPr>
        <w:adjustRightInd w:val="0"/>
        <w:snapToGrid w:val="0"/>
        <w:spacing w:before="0" w:after="0" w:line="560" w:lineRule="exact"/>
        <w:ind w:firstLine="640" w:firstLineChars="200"/>
        <w:rPr>
          <w:rFonts w:hint="eastAsia" w:ascii="楷体" w:hAnsi="楷体" w:eastAsia="楷体" w:cs="楷体"/>
          <w:b w:val="0"/>
        </w:rPr>
      </w:pPr>
      <w:bookmarkStart w:id="342" w:name="_Toc30118"/>
      <w:bookmarkStart w:id="343" w:name="_Toc10069"/>
      <w:bookmarkStart w:id="344" w:name="_Toc9570"/>
      <w:bookmarkStart w:id="345" w:name="_Toc986621811"/>
      <w:bookmarkStart w:id="346" w:name="_Toc12163"/>
      <w:bookmarkStart w:id="347" w:name="_Toc30527"/>
      <w:bookmarkStart w:id="348" w:name="_Toc20960"/>
      <w:bookmarkStart w:id="349" w:name="_Toc10847"/>
      <w:bookmarkStart w:id="350" w:name="_Toc2569"/>
      <w:bookmarkStart w:id="351" w:name="_Toc16254"/>
      <w:bookmarkStart w:id="352" w:name="_Toc22081"/>
      <w:bookmarkStart w:id="353" w:name="_Toc1267329558"/>
      <w:bookmarkStart w:id="354" w:name="_Toc9228"/>
      <w:r>
        <w:rPr>
          <w:rFonts w:hint="eastAsia" w:ascii="楷体" w:hAnsi="楷体" w:eastAsia="楷体" w:cs="楷体"/>
          <w:b w:val="0"/>
        </w:rPr>
        <w:t>发行流程</w:t>
      </w:r>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4"/>
        <w:keepNext w:val="0"/>
        <w:keepLines w:val="0"/>
        <w:widowControl w:val="0"/>
        <w:suppressLineNumbers w:val="0"/>
        <w:adjustRightInd w:val="0"/>
        <w:snapToGrid w:val="0"/>
        <w:spacing w:before="0" w:beforeLines="0" w:beforeAutospacing="0" w:after="0" w:afterLines="0" w:afterAutospacing="0" w:line="560" w:lineRule="exact"/>
        <w:ind w:left="0" w:leftChars="0" w:firstLine="640" w:firstLineChars="200"/>
        <w:rPr>
          <w:rFonts w:hint="eastAsia" w:ascii="仿宋" w:hAnsi="仿宋" w:eastAsia="仿宋" w:cs="仿宋"/>
          <w:b w:val="0"/>
          <w:bCs w:val="0"/>
        </w:rPr>
      </w:pPr>
      <w:r>
        <w:rPr>
          <w:rFonts w:hint="eastAsia" w:ascii="仿宋" w:hAnsi="仿宋" w:eastAsia="仿宋" w:cs="仿宋"/>
          <w:b w:val="0"/>
          <w:bCs w:val="0"/>
          <w:kern w:val="2"/>
          <w:sz w:val="32"/>
          <w:szCs w:val="32"/>
        </w:rPr>
        <w:t>（一）资产支持证券</w:t>
      </w:r>
      <w:r>
        <w:rPr>
          <w:rFonts w:hint="default" w:ascii="仿宋" w:hAnsi="仿宋" w:eastAsia="仿宋" w:cs="仿宋"/>
          <w:b w:val="0"/>
          <w:bCs w:val="0"/>
          <w:color w:val="auto"/>
          <w:sz w:val="32"/>
          <w:szCs w:val="32"/>
          <w:shd w:val="clear" w:fill="auto"/>
          <w:lang w:val="en-US" w:eastAsia="zh-CN" w:bidi="ar"/>
        </w:rPr>
        <w:t>网下发行流程</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w:t>
      </w:r>
      <w:r>
        <w:rPr>
          <w:rFonts w:hint="eastAsia" w:ascii="仿宋" w:hAnsi="仿宋" w:eastAsia="仿宋" w:cs="仿宋"/>
          <w:sz w:val="32"/>
          <w:szCs w:val="32"/>
          <w:lang w:eastAsia="zh" w:bidi="ar"/>
        </w:rPr>
        <w:t>应</w:t>
      </w:r>
      <w:r>
        <w:rPr>
          <w:rFonts w:hint="eastAsia" w:ascii="仿宋" w:hAnsi="仿宋" w:eastAsia="仿宋" w:cs="仿宋"/>
          <w:sz w:val="32"/>
          <w:szCs w:val="32"/>
          <w:lang w:eastAsia="zh-CN" w:bidi="ar"/>
        </w:rPr>
        <w:t>当</w:t>
      </w:r>
      <w:r>
        <w:rPr>
          <w:rFonts w:hint="eastAsia" w:ascii="仿宋" w:hAnsi="仿宋" w:eastAsia="仿宋" w:cs="仿宋"/>
          <w:sz w:val="32"/>
          <w:szCs w:val="32"/>
          <w:lang w:eastAsia="zh" w:bidi="ar"/>
        </w:rPr>
        <w:t>于</w:t>
      </w:r>
      <w:r>
        <w:rPr>
          <w:rFonts w:ascii="仿宋" w:hAnsi="仿宋" w:eastAsia="仿宋" w:cs="仿宋"/>
          <w:i w:val="0"/>
          <w:iCs w:val="0"/>
          <w:caps w:val="0"/>
          <w:color w:val="auto"/>
          <w:spacing w:val="0"/>
          <w:sz w:val="32"/>
          <w:szCs w:val="32"/>
          <w:shd w:val="clear" w:fill="auto"/>
          <w:lang w:bidi="ar"/>
        </w:rPr>
        <w:t>期后事项（如有）通过后不晚于发行文件公告日前2个交易日上午8:00前</w:t>
      </w:r>
      <w:r>
        <w:rPr>
          <w:rFonts w:hint="eastAsia" w:ascii="仿宋" w:hAnsi="仿宋" w:eastAsia="仿宋" w:cs="仿宋"/>
          <w:i w:val="0"/>
          <w:iCs w:val="0"/>
          <w:caps w:val="0"/>
          <w:spacing w:val="0"/>
          <w:sz w:val="32"/>
          <w:szCs w:val="32"/>
          <w:shd w:val="clear"/>
          <w:lang w:eastAsia="zh" w:bidi="ar"/>
        </w:rPr>
        <w:t>，</w:t>
      </w:r>
      <w:r>
        <w:rPr>
          <w:rFonts w:ascii="仿宋" w:hAnsi="仿宋" w:eastAsia="仿宋" w:cs="仿宋"/>
          <w:sz w:val="32"/>
          <w:szCs w:val="32"/>
          <w:lang w:bidi="ar"/>
        </w:rPr>
        <w:t>通过固收专区提交资</w:t>
      </w:r>
      <w:r>
        <w:rPr>
          <w:rFonts w:hint="eastAsia" w:ascii="仿宋" w:hAnsi="仿宋" w:eastAsia="仿宋" w:cs="仿宋"/>
          <w:sz w:val="32"/>
          <w:szCs w:val="32"/>
          <w:lang w:eastAsia="zh" w:bidi="ar"/>
        </w:rPr>
        <w:t>产</w:t>
      </w:r>
      <w:r>
        <w:rPr>
          <w:rFonts w:ascii="仿宋" w:hAnsi="仿宋" w:eastAsia="仿宋" w:cs="仿宋"/>
          <w:sz w:val="32"/>
          <w:szCs w:val="32"/>
          <w:lang w:bidi="ar"/>
        </w:rPr>
        <w:t>支持证券发行备案材料，并在备案通过后披露相关发行文件。</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1.发行备案</w:t>
      </w:r>
    </w:p>
    <w:p>
      <w:pPr>
        <w:adjustRightInd w:val="0"/>
        <w:snapToGrid w:val="0"/>
        <w:spacing w:line="560" w:lineRule="exact"/>
        <w:ind w:firstLine="643" w:firstLineChars="200"/>
        <w:rPr>
          <w:rFonts w:ascii="仿宋" w:hAnsi="仿宋" w:eastAsia="仿宋" w:cs="仿宋"/>
          <w:b/>
          <w:bCs/>
          <w:sz w:val="32"/>
          <w:szCs w:val="32"/>
          <w:lang w:bidi="ar"/>
        </w:rPr>
      </w:pPr>
      <w:r>
        <w:rPr>
          <w:rFonts w:ascii="仿宋" w:hAnsi="仿宋" w:eastAsia="仿宋" w:cs="仿宋"/>
          <w:b/>
          <w:bCs/>
          <w:sz w:val="32"/>
          <w:szCs w:val="32"/>
          <w:lang w:bidi="ar"/>
        </w:rPr>
        <w:t>资产支持证券发行备案文件包括：</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w:t>
      </w:r>
      <w:r>
        <w:rPr>
          <w:rFonts w:hint="eastAsia" w:ascii="仿宋" w:hAnsi="仿宋" w:eastAsia="仿宋" w:cs="仿宋"/>
          <w:kern w:val="2"/>
          <w:sz w:val="32"/>
          <w:szCs w:val="32"/>
          <w:shd w:val="clear" w:fill="FFFFFF"/>
          <w:lang w:val="en-US" w:eastAsia="zh" w:bidi="ar"/>
        </w:rPr>
        <w:t>1</w:t>
      </w:r>
      <w:r>
        <w:rPr>
          <w:rFonts w:hint="eastAsia" w:ascii="仿宋" w:hAnsi="仿宋" w:eastAsia="仿宋" w:cs="仿宋"/>
          <w:kern w:val="2"/>
          <w:sz w:val="32"/>
          <w:szCs w:val="32"/>
          <w:shd w:val="clear" w:fill="FFFFFF"/>
          <w:lang w:val="en-US" w:eastAsia="zh-CN" w:bidi="ar"/>
        </w:rPr>
        <w:t>）</w:t>
      </w:r>
      <w:r>
        <w:rPr>
          <w:rFonts w:hint="eastAsia" w:ascii="仿宋" w:hAnsi="仿宋" w:eastAsia="仿宋" w:cs="仿宋"/>
          <w:kern w:val="2"/>
          <w:sz w:val="32"/>
          <w:szCs w:val="32"/>
          <w:lang w:val="en-US" w:eastAsia="zh-CN" w:bidi="ar"/>
        </w:rPr>
        <w:t>本所出具的无异议函；</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w:t>
      </w:r>
      <w:r>
        <w:rPr>
          <w:rFonts w:hint="eastAsia" w:ascii="仿宋" w:hAnsi="仿宋" w:eastAsia="仿宋" w:cs="仿宋"/>
          <w:kern w:val="2"/>
          <w:sz w:val="32"/>
          <w:szCs w:val="32"/>
          <w:shd w:val="clear" w:fill="FFFFFF"/>
          <w:lang w:val="en-US" w:eastAsia="zh" w:bidi="ar"/>
        </w:rPr>
        <w:t>2</w:t>
      </w:r>
      <w:r>
        <w:rPr>
          <w:rFonts w:hint="eastAsia" w:ascii="仿宋" w:hAnsi="仿宋" w:eastAsia="仿宋" w:cs="仿宋"/>
          <w:kern w:val="2"/>
          <w:sz w:val="32"/>
          <w:szCs w:val="32"/>
          <w:shd w:val="clear" w:fill="FFFFFF"/>
          <w:lang w:val="en-US" w:eastAsia="zh-CN" w:bidi="ar"/>
        </w:rPr>
        <w:t>）计划说明书</w:t>
      </w:r>
      <w:r>
        <w:rPr>
          <w:rFonts w:ascii="仿宋" w:hAnsi="仿宋" w:eastAsia="仿宋" w:cs="仿宋"/>
          <w:sz w:val="32"/>
          <w:szCs w:val="32"/>
          <w:lang w:bidi="ar"/>
        </w:rPr>
        <w:t>（盖章版及word版</w:t>
      </w:r>
      <w:r>
        <w:rPr>
          <w:rFonts w:hint="eastAsia" w:ascii="仿宋" w:hAnsi="仿宋" w:eastAsia="仿宋" w:cs="仿宋"/>
          <w:sz w:val="32"/>
          <w:szCs w:val="32"/>
          <w:lang w:eastAsia="zh" w:bidi="ar"/>
        </w:rPr>
        <w:t>）</w:t>
      </w:r>
      <w:r>
        <w:rPr>
          <w:rFonts w:hint="eastAsia" w:ascii="仿宋" w:hAnsi="仿宋" w:eastAsia="仿宋" w:cs="仿宋"/>
          <w:kern w:val="2"/>
          <w:sz w:val="32"/>
          <w:szCs w:val="32"/>
          <w:shd w:val="clear" w:fill="FFFFFF"/>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lang w:val="en-US" w:eastAsia="zh-CN" w:bidi="ar"/>
        </w:rPr>
        <w:t>（3）资产支持专项计划发行公告（附件</w:t>
      </w: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3）；</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lang w:val="en-US" w:eastAsia="zh-CN" w:bidi="ar"/>
        </w:rPr>
      </w:pPr>
      <w:r>
        <w:rPr>
          <w:rFonts w:hint="eastAsia" w:ascii="仿宋" w:hAnsi="仿宋" w:eastAsia="仿宋" w:cs="仿宋"/>
          <w:kern w:val="2"/>
          <w:sz w:val="32"/>
          <w:szCs w:val="32"/>
          <w:shd w:val="clear" w:fill="FFFFFF"/>
          <w:lang w:val="en-US" w:eastAsia="zh-CN" w:bidi="ar"/>
        </w:rPr>
        <w:t>（</w:t>
      </w:r>
      <w:r>
        <w:rPr>
          <w:rFonts w:hint="eastAsia" w:ascii="仿宋" w:hAnsi="仿宋" w:eastAsia="仿宋" w:cs="仿宋"/>
          <w:kern w:val="2"/>
          <w:sz w:val="32"/>
          <w:szCs w:val="32"/>
          <w:shd w:val="clear" w:fill="FFFFFF"/>
          <w:lang w:val="en-US" w:eastAsia="zh" w:bidi="ar"/>
        </w:rPr>
        <w:t>4</w:t>
      </w:r>
      <w:r>
        <w:rPr>
          <w:rFonts w:hint="eastAsia" w:ascii="仿宋" w:hAnsi="仿宋" w:eastAsia="仿宋" w:cs="仿宋"/>
          <w:kern w:val="2"/>
          <w:sz w:val="32"/>
          <w:szCs w:val="32"/>
          <w:shd w:val="clear" w:fill="FFFFFF"/>
          <w:lang w:val="en-US" w:eastAsia="zh-CN" w:bidi="ar"/>
        </w:rPr>
        <w:t>）法律意见书</w:t>
      </w:r>
      <w:r>
        <w:rPr>
          <w:rFonts w:ascii="仿宋" w:hAnsi="仿宋" w:eastAsia="仿宋" w:cs="仿宋"/>
          <w:sz w:val="32"/>
          <w:szCs w:val="32"/>
          <w:lang w:bidi="ar"/>
        </w:rPr>
        <w:t>（盖章版及word版</w:t>
      </w:r>
      <w:r>
        <w:rPr>
          <w:rFonts w:hint="eastAsia" w:ascii="仿宋" w:hAnsi="仿宋" w:eastAsia="仿宋" w:cs="仿宋"/>
          <w:sz w:val="32"/>
          <w:szCs w:val="32"/>
          <w:lang w:eastAsia="zh" w:bidi="ar"/>
        </w:rPr>
        <w:t>）</w:t>
      </w:r>
      <w:r>
        <w:rPr>
          <w:rFonts w:hint="eastAsia" w:ascii="仿宋" w:hAnsi="仿宋" w:eastAsia="仿宋" w:cs="仿宋"/>
          <w:kern w:val="2"/>
          <w:sz w:val="32"/>
          <w:szCs w:val="32"/>
          <w:shd w:val="clear" w:fill="FFFFFF"/>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（5）取得无异议函后是否发生变化的专项说明（附件</w:t>
      </w: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4）；</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（6）基础资产清单；</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（7）信用评级报告（如有）；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（8）财务报告延期申请（如有）；</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eastAsia="zh"/>
        </w:rPr>
      </w:pPr>
      <w:r>
        <w:rPr>
          <w:rFonts w:hint="eastAsia" w:ascii="仿宋" w:hAnsi="仿宋" w:eastAsia="仿宋" w:cs="仿宋"/>
          <w:kern w:val="2"/>
          <w:sz w:val="32"/>
          <w:szCs w:val="32"/>
          <w:lang w:val="en-US" w:eastAsia="zh-CN" w:bidi="ar"/>
        </w:rPr>
        <w:t>（9）分期发行的资产支持证券，计划管理人还应当提交当期资产支持证券的增信文件（如有）</w:t>
      </w:r>
      <w:r>
        <w:rPr>
          <w:rFonts w:hint="eastAsia" w:ascii="仿宋" w:hAnsi="仿宋" w:eastAsia="仿宋" w:cs="仿宋"/>
          <w:kern w:val="2"/>
          <w:sz w:val="32"/>
          <w:szCs w:val="32"/>
          <w:lang w:val="en-US" w:eastAsia="zh"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10）交易合同文本等专项计划文件，特定原始权益人（如有）最近三年（未满三年的自成立之日起）的财务报告和审计报告、最近一期的财务报告或者财务报表（注明是否经审计），增信机构（如有）最近一年的财务报告与最近一期财务报告或者财务报表（注明是否经审计）；</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 w:bidi="ar"/>
        </w:rPr>
      </w:pPr>
      <w:r>
        <w:rPr>
          <w:rFonts w:hint="eastAsia" w:ascii="仿宋" w:hAnsi="仿宋" w:eastAsia="仿宋" w:cs="仿宋"/>
          <w:kern w:val="2"/>
          <w:sz w:val="32"/>
          <w:szCs w:val="32"/>
          <w:lang w:val="en-US" w:eastAsia="zh-CN" w:bidi="ar"/>
        </w:rPr>
        <w:t>（11）相比封卷文件涉及修改的其他项目文件</w:t>
      </w:r>
      <w:r>
        <w:rPr>
          <w:rFonts w:hint="eastAsia" w:ascii="仿宋" w:hAnsi="仿宋" w:eastAsia="仿宋" w:cs="仿宋"/>
          <w:kern w:val="2"/>
          <w:sz w:val="32"/>
          <w:szCs w:val="32"/>
          <w:lang w:val="en-US" w:eastAsia="zh" w:bidi="ar"/>
        </w:rPr>
        <w:t>：</w:t>
      </w:r>
      <w:r>
        <w:rPr>
          <w:rFonts w:hint="eastAsia" w:ascii="仿宋" w:hAnsi="仿宋" w:eastAsia="仿宋" w:cs="仿宋"/>
          <w:kern w:val="2"/>
          <w:sz w:val="32"/>
          <w:szCs w:val="32"/>
          <w:lang w:val="en-US" w:eastAsia="zh-CN" w:bidi="ar"/>
        </w:rPr>
        <w:t>《关于资产支持证券挂牌转让申请文件的修改说明表》（见《深圳证券交易所资产支持证券挂牌条件审核业务指南第1号——业务办理》附件13</w:t>
      </w:r>
      <w:r>
        <w:rPr>
          <w:rFonts w:hint="eastAsia" w:ascii="仿宋" w:hAnsi="仿宋" w:eastAsia="仿宋" w:cs="仿宋"/>
          <w:color w:val="auto"/>
          <w:kern w:val="2"/>
          <w:sz w:val="32"/>
          <w:szCs w:val="32"/>
          <w:lang w:val="en-US" w:eastAsia="zh-CN" w:bidi="ar"/>
        </w:rPr>
        <w:t>）</w:t>
      </w:r>
      <w:r>
        <w:rPr>
          <w:rFonts w:hint="eastAsia" w:ascii="仿宋" w:hAnsi="仿宋" w:eastAsia="仿宋" w:cs="仿宋"/>
          <w:kern w:val="2"/>
          <w:sz w:val="32"/>
          <w:szCs w:val="32"/>
          <w:lang w:val="en-US" w:eastAsia="zh" w:bidi="ar"/>
        </w:rPr>
        <w:t>、</w:t>
      </w:r>
      <w:r>
        <w:rPr>
          <w:rFonts w:hint="eastAsia" w:ascii="仿宋" w:hAnsi="仿宋" w:eastAsia="仿宋" w:cs="仿宋"/>
          <w:kern w:val="2"/>
          <w:sz w:val="32"/>
          <w:szCs w:val="32"/>
          <w:lang w:val="en-US" w:eastAsia="zh-CN" w:bidi="ar"/>
        </w:rPr>
        <w:t>《资产支持证券挂牌转让申请承诺履行事项登记表》（见《深圳证券交易所资产支持证券挂牌条件审核业务指南第1号——业务办理》附件</w:t>
      </w:r>
      <w:r>
        <w:rPr>
          <w:rFonts w:hint="eastAsia" w:ascii="仿宋" w:hAnsi="仿宋" w:eastAsia="仿宋" w:cs="仿宋"/>
          <w:kern w:val="2"/>
          <w:sz w:val="32"/>
          <w:szCs w:val="32"/>
          <w:lang w:val="en-US" w:eastAsia="zh" w:bidi="ar"/>
        </w:rPr>
        <w:t>5</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（12）提供转让服务、证券简称及证券代码的申请（附件</w:t>
      </w: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5）；</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（13）资产支持证券挂牌转让信息申报表（盖章版及excel版，附件</w:t>
      </w: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6）；</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（14）深圳证券交易所资产支持证券转让服务协议（附件</w:t>
      </w:r>
      <w:r>
        <w:rPr>
          <w:rFonts w:hint="eastAsia" w:ascii="仿宋" w:hAnsi="仿宋" w:eastAsia="仿宋" w:cs="仿宋"/>
          <w:kern w:val="2"/>
          <w:sz w:val="32"/>
          <w:szCs w:val="32"/>
          <w:lang w:val="en-US" w:eastAsia="zh" w:bidi="ar"/>
        </w:rPr>
        <w:t>2</w:t>
      </w:r>
      <w:r>
        <w:rPr>
          <w:rFonts w:hint="eastAsia" w:ascii="仿宋" w:hAnsi="仿宋" w:eastAsia="仿宋" w:cs="仿宋"/>
          <w:kern w:val="2"/>
          <w:sz w:val="32"/>
          <w:szCs w:val="32"/>
          <w:lang w:val="en-US" w:eastAsia="zh-CN" w:bidi="ar"/>
        </w:rPr>
        <w:t>7），若已签署的转让服务协议尚在有效期内，则无需提交）；</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（1</w:t>
      </w:r>
      <w:r>
        <w:rPr>
          <w:rFonts w:hint="eastAsia" w:ascii="仿宋" w:hAnsi="仿宋" w:eastAsia="仿宋" w:cs="仿宋"/>
          <w:kern w:val="2"/>
          <w:sz w:val="32"/>
          <w:szCs w:val="32"/>
          <w:lang w:val="en-US" w:eastAsia="zh" w:bidi="ar"/>
        </w:rPr>
        <w:t>5</w:t>
      </w:r>
      <w:r>
        <w:rPr>
          <w:rFonts w:hint="eastAsia" w:ascii="仿宋" w:hAnsi="仿宋" w:eastAsia="仿宋" w:cs="仿宋"/>
          <w:kern w:val="2"/>
          <w:sz w:val="32"/>
          <w:szCs w:val="32"/>
          <w:lang w:val="en-US" w:eastAsia="zh-CN" w:bidi="ar"/>
        </w:rPr>
        <w:t>）中国证监会和本所要求的其他文件。</w:t>
      </w:r>
    </w:p>
    <w:p>
      <w:pPr>
        <w:adjustRightInd w:val="0"/>
        <w:snapToGrid w:val="0"/>
        <w:spacing w:line="560" w:lineRule="exact"/>
        <w:ind w:firstLine="643" w:firstLineChars="200"/>
        <w:rPr>
          <w:rFonts w:ascii="仿宋" w:hAnsi="仿宋" w:eastAsia="仿宋" w:cs="仿宋"/>
          <w:b/>
          <w:bCs/>
          <w:sz w:val="32"/>
          <w:szCs w:val="32"/>
          <w:lang w:bidi="ar"/>
        </w:rPr>
      </w:pPr>
      <w:r>
        <w:rPr>
          <w:rFonts w:ascii="仿宋" w:hAnsi="仿宋" w:eastAsia="仿宋" w:cs="仿宋"/>
          <w:b/>
          <w:bCs/>
          <w:sz w:val="32"/>
          <w:szCs w:val="32"/>
          <w:lang w:bidi="ar"/>
        </w:rPr>
        <w:t>发行备案文件注意事项：</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所有发行备案文件原则上均需提交盖章版本。其中，计划说明</w:t>
      </w:r>
      <w:r>
        <w:rPr>
          <w:rFonts w:hint="eastAsia" w:ascii="仿宋" w:hAnsi="仿宋" w:eastAsia="仿宋" w:cs="仿宋"/>
          <w:sz w:val="32"/>
          <w:szCs w:val="32"/>
          <w:lang w:eastAsia="zh" w:bidi="ar"/>
        </w:rPr>
        <w:t>书、法律意见</w:t>
      </w:r>
      <w:r>
        <w:rPr>
          <w:rFonts w:ascii="仿宋" w:hAnsi="仿宋" w:eastAsia="仿宋" w:cs="仿宋"/>
          <w:sz w:val="32"/>
          <w:szCs w:val="32"/>
          <w:lang w:bidi="ar"/>
        </w:rPr>
        <w:t>书应同时提交word版本，资产支持证券挂牌转让信息申报表应同时提交excel版本。</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《提供转让服务、</w:t>
      </w:r>
      <w:r>
        <w:rPr>
          <w:rFonts w:hint="eastAsia" w:ascii="仿宋" w:hAnsi="仿宋" w:eastAsia="仿宋" w:cs="仿宋"/>
          <w:sz w:val="32"/>
          <w:szCs w:val="32"/>
          <w:lang w:bidi="ar"/>
        </w:rPr>
        <w:t>证券简称及证券代码</w:t>
      </w:r>
      <w:r>
        <w:rPr>
          <w:rFonts w:ascii="仿宋" w:hAnsi="仿宋" w:eastAsia="仿宋" w:cs="仿宋"/>
          <w:sz w:val="32"/>
          <w:szCs w:val="32"/>
          <w:lang w:bidi="ar"/>
        </w:rPr>
        <w:t>的申请》中</w:t>
      </w:r>
      <w:r>
        <w:rPr>
          <w:rFonts w:hint="eastAsia" w:ascii="仿宋" w:hAnsi="仿宋" w:eastAsia="仿宋" w:cs="仿宋"/>
          <w:sz w:val="32"/>
          <w:szCs w:val="32"/>
          <w:shd w:val="clear" w:color="auto" w:fill="FFFFFF"/>
        </w:rPr>
        <w:t>计划管理人中</w:t>
      </w:r>
      <w:r>
        <w:rPr>
          <w:rFonts w:ascii="仿宋" w:hAnsi="仿宋" w:eastAsia="仿宋" w:cs="仿宋"/>
          <w:sz w:val="32"/>
          <w:szCs w:val="32"/>
          <w:shd w:val="clear" w:color="auto" w:fill="FFFFFF"/>
        </w:rPr>
        <w:t>应</w:t>
      </w:r>
      <w:r>
        <w:rPr>
          <w:rFonts w:hint="eastAsia" w:ascii="仿宋" w:hAnsi="仿宋" w:eastAsia="仿宋" w:cs="仿宋"/>
          <w:sz w:val="32"/>
          <w:szCs w:val="32"/>
          <w:shd w:val="clear" w:color="auto" w:fill="FFFFFF"/>
        </w:rPr>
        <w:t>明确证券简称和证券简称（短），前者应不超过</w:t>
      </w:r>
      <w:r>
        <w:rPr>
          <w:rFonts w:ascii="仿宋" w:hAnsi="仿宋" w:eastAsia="仿宋" w:cs="仿宋"/>
          <w:sz w:val="32"/>
          <w:szCs w:val="32"/>
          <w:shd w:val="clear" w:color="auto" w:fill="FFFFFF"/>
        </w:rPr>
        <w:t>15</w:t>
      </w:r>
      <w:r>
        <w:rPr>
          <w:rFonts w:hint="eastAsia" w:ascii="仿宋" w:hAnsi="仿宋" w:eastAsia="仿宋" w:cs="仿宋"/>
          <w:sz w:val="32"/>
          <w:szCs w:val="32"/>
          <w:shd w:val="clear" w:color="auto" w:fill="FFFFFF"/>
        </w:rPr>
        <w:t>个汉字（</w:t>
      </w:r>
      <w:r>
        <w:rPr>
          <w:rFonts w:ascii="仿宋" w:hAnsi="仿宋" w:eastAsia="仿宋" w:cs="仿宋"/>
          <w:sz w:val="32"/>
          <w:szCs w:val="32"/>
          <w:shd w:val="clear" w:color="auto" w:fill="FFFFFF"/>
        </w:rPr>
        <w:t>30</w:t>
      </w:r>
      <w:r>
        <w:rPr>
          <w:rFonts w:hint="eastAsia" w:ascii="仿宋" w:hAnsi="仿宋" w:eastAsia="仿宋" w:cs="仿宋"/>
          <w:sz w:val="32"/>
          <w:szCs w:val="32"/>
          <w:shd w:val="clear" w:color="auto" w:fill="FFFFFF"/>
        </w:rPr>
        <w:t>个字符），后者应不超过</w:t>
      </w:r>
      <w:r>
        <w:rPr>
          <w:rFonts w:ascii="仿宋" w:hAnsi="仿宋" w:eastAsia="仿宋" w:cs="仿宋"/>
          <w:sz w:val="32"/>
          <w:szCs w:val="32"/>
          <w:shd w:val="clear" w:color="auto" w:fill="FFFFFF"/>
        </w:rPr>
        <w:t>4</w:t>
      </w:r>
      <w:r>
        <w:rPr>
          <w:rFonts w:hint="eastAsia" w:ascii="仿宋" w:hAnsi="仿宋" w:eastAsia="仿宋" w:cs="仿宋"/>
          <w:sz w:val="32"/>
          <w:szCs w:val="32"/>
          <w:shd w:val="clear" w:color="auto" w:fill="FFFFFF"/>
        </w:rPr>
        <w:t>个汉字（</w:t>
      </w:r>
      <w:r>
        <w:rPr>
          <w:rFonts w:ascii="仿宋" w:hAnsi="仿宋" w:eastAsia="仿宋" w:cs="仿宋"/>
          <w:sz w:val="32"/>
          <w:szCs w:val="32"/>
          <w:shd w:val="clear" w:color="auto" w:fill="FFFFFF"/>
        </w:rPr>
        <w:t>8</w:t>
      </w:r>
      <w:r>
        <w:rPr>
          <w:rFonts w:hint="eastAsia" w:ascii="仿宋" w:hAnsi="仿宋" w:eastAsia="仿宋" w:cs="仿宋"/>
          <w:sz w:val="32"/>
          <w:szCs w:val="32"/>
          <w:shd w:val="clear" w:color="auto" w:fill="FFFFFF"/>
        </w:rPr>
        <w:t>个字符），后续披露文件应使用证券简称</w:t>
      </w:r>
      <w:r>
        <w:rPr>
          <w:rFonts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《资产支持证券挂牌转让信息申报表》在发行备案阶段无需填报设立日、预期到期日、募集金额、发行份数、预期收益率、派息兑付列表等要素。</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《深圳证券交易所资产支持证券转让服务协议》（附件</w:t>
      </w:r>
      <w:r>
        <w:rPr>
          <w:rFonts w:hint="eastAsia" w:ascii="仿宋" w:hAnsi="仿宋" w:eastAsia="仿宋" w:cs="仿宋"/>
          <w:sz w:val="32"/>
          <w:szCs w:val="32"/>
          <w:lang w:eastAsia="zh" w:bidi="ar"/>
        </w:rPr>
        <w:t>2</w:t>
      </w:r>
      <w:r>
        <w:rPr>
          <w:rFonts w:hint="eastAsia" w:ascii="仿宋" w:hAnsi="仿宋" w:eastAsia="仿宋" w:cs="仿宋"/>
          <w:sz w:val="32"/>
          <w:szCs w:val="32"/>
          <w:lang w:val="en-US" w:eastAsia="zh-CN" w:bidi="ar"/>
        </w:rPr>
        <w:t>7</w:t>
      </w:r>
      <w:r>
        <w:rPr>
          <w:rFonts w:ascii="仿宋" w:hAnsi="仿宋" w:eastAsia="仿宋" w:cs="仿宋"/>
          <w:sz w:val="32"/>
          <w:szCs w:val="32"/>
          <w:lang w:bidi="ar"/>
        </w:rPr>
        <w:t>）（以下简称《转让服务协议》）计划管理人可通过深圳证券交易所官网下载，填写相关信息后邮寄一式四份至本所。同一计划管理人在本所有存续挂牌资产支持证券且已签署《转让服务协议》的，无需重复签署。</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highlight w:val="none"/>
          <w:lang w:bidi="ar"/>
        </w:rPr>
        <w:t>本所收到发行备案文件后2个交易日内对文件进行核对并反馈备案意见</w:t>
      </w:r>
      <w:r>
        <w:rPr>
          <w:rFonts w:ascii="仿宋" w:hAnsi="仿宋" w:eastAsia="仿宋" w:cs="仿宋"/>
          <w:sz w:val="32"/>
          <w:szCs w:val="32"/>
          <w:lang w:bidi="ar"/>
        </w:rPr>
        <w:t>。本所确认前述材料无误后，通过固收专区向申请人分配证券代码，</w:t>
      </w:r>
      <w:r>
        <w:rPr>
          <w:rFonts w:hint="eastAsia" w:ascii="仿宋" w:hAnsi="仿宋" w:eastAsia="仿宋" w:cs="仿宋"/>
          <w:sz w:val="32"/>
          <w:szCs w:val="32"/>
          <w:lang w:bidi="ar"/>
        </w:rPr>
        <w:t>系统将向申请经办人发送短信提醒告知代码，请注意查收短信通知</w:t>
      </w:r>
      <w:r>
        <w:rPr>
          <w:rFonts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如有处理意见，本所将通过固收专区反馈。计划管理人收到反馈意见的，应及时修改发行备案材料并重新提交，再次提交后本所处理流程如前述。</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sz w:val="32"/>
          <w:szCs w:val="32"/>
          <w:lang w:eastAsia="zh" w:bidi="ar"/>
        </w:rPr>
        <w:t>2.</w:t>
      </w:r>
      <w:r>
        <w:rPr>
          <w:rFonts w:ascii="仿宋" w:hAnsi="仿宋" w:eastAsia="仿宋" w:cs="仿宋"/>
          <w:sz w:val="32"/>
          <w:szCs w:val="32"/>
          <w:lang w:bidi="ar"/>
        </w:rPr>
        <w:t>财务报告</w:t>
      </w:r>
      <w:r>
        <w:rPr>
          <w:rFonts w:hint="eastAsia" w:ascii="仿宋" w:hAnsi="仿宋" w:eastAsia="仿宋" w:cs="仿宋"/>
          <w:sz w:val="32"/>
          <w:szCs w:val="32"/>
          <w:lang w:eastAsia="zh" w:bidi="ar"/>
        </w:rPr>
        <w:t>相关要求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 w:bidi="ar"/>
        </w:rPr>
      </w:pP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 w:bidi="ar"/>
        </w:rPr>
        <w:t>1</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 w:bidi="ar"/>
        </w:rPr>
        <w:t>总体要求</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 w:bidi="ar"/>
        </w:rPr>
      </w:pPr>
      <w:r>
        <w:rPr>
          <w:rFonts w:hint="eastAsia" w:ascii="仿宋" w:hAnsi="仿宋" w:eastAsia="仿宋" w:cs="仿宋"/>
          <w:kern w:val="2"/>
          <w:sz w:val="32"/>
          <w:szCs w:val="32"/>
          <w:lang w:val="en-US" w:eastAsia="zh-CN" w:bidi="ar"/>
        </w:rPr>
        <w:t>计划管理人</w:t>
      </w:r>
      <w:r>
        <w:rPr>
          <w:rFonts w:hint="eastAsia" w:ascii="仿宋" w:hAnsi="仿宋" w:eastAsia="仿宋" w:cs="仿宋"/>
          <w:kern w:val="2"/>
          <w:sz w:val="32"/>
          <w:szCs w:val="32"/>
          <w:lang w:val="en-US" w:eastAsia="zh" w:bidi="ar"/>
        </w:rPr>
        <w:t>提交</w:t>
      </w:r>
      <w:r>
        <w:rPr>
          <w:rFonts w:ascii="仿宋" w:hAnsi="仿宋" w:eastAsia="仿宋" w:cs="仿宋"/>
          <w:sz w:val="32"/>
          <w:szCs w:val="32"/>
          <w:lang w:bidi="ar"/>
        </w:rPr>
        <w:t>特定原始权益人</w:t>
      </w:r>
      <w:r>
        <w:rPr>
          <w:rFonts w:hint="eastAsia" w:ascii="仿宋" w:hAnsi="仿宋" w:eastAsia="仿宋" w:cs="仿宋"/>
          <w:kern w:val="2"/>
          <w:sz w:val="32"/>
          <w:szCs w:val="32"/>
          <w:lang w:val="en-US" w:eastAsia="zh-CN" w:bidi="ar"/>
        </w:rPr>
        <w:t>（如有）</w:t>
      </w:r>
      <w:r>
        <w:rPr>
          <w:rFonts w:ascii="仿宋" w:hAnsi="仿宋" w:eastAsia="仿宋" w:cs="仿宋"/>
          <w:sz w:val="32"/>
          <w:szCs w:val="32"/>
          <w:lang w:bidi="ar"/>
        </w:rPr>
        <w:t>、增信机构</w:t>
      </w:r>
      <w:r>
        <w:rPr>
          <w:rFonts w:hint="eastAsia" w:ascii="仿宋" w:hAnsi="仿宋" w:eastAsia="仿宋" w:cs="仿宋"/>
          <w:kern w:val="2"/>
          <w:sz w:val="32"/>
          <w:szCs w:val="32"/>
          <w:lang w:val="en-US" w:eastAsia="zh-CN" w:bidi="ar"/>
        </w:rPr>
        <w:t>（如有）</w:t>
      </w:r>
      <w:r>
        <w:rPr>
          <w:rFonts w:hint="eastAsia" w:ascii="仿宋" w:hAnsi="仿宋" w:eastAsia="仿宋" w:cs="仿宋"/>
          <w:kern w:val="2"/>
          <w:sz w:val="32"/>
          <w:szCs w:val="32"/>
          <w:lang w:val="en-US" w:eastAsia="zh" w:bidi="ar"/>
        </w:rPr>
        <w:t>的</w:t>
      </w:r>
      <w:r>
        <w:rPr>
          <w:rFonts w:ascii="仿宋" w:hAnsi="仿宋" w:eastAsia="仿宋" w:cs="仿宋"/>
          <w:sz w:val="32"/>
          <w:szCs w:val="32"/>
          <w:lang w:bidi="ar"/>
        </w:rPr>
        <w:t>财务报</w:t>
      </w:r>
      <w:r>
        <w:rPr>
          <w:rFonts w:hint="eastAsia" w:ascii="仿宋" w:hAnsi="仿宋" w:eastAsia="仿宋" w:cs="仿宋"/>
          <w:sz w:val="32"/>
          <w:szCs w:val="32"/>
          <w:lang w:eastAsia="zh" w:bidi="ar"/>
        </w:rPr>
        <w:t>表</w:t>
      </w:r>
      <w:r>
        <w:rPr>
          <w:rFonts w:hint="eastAsia" w:ascii="仿宋" w:hAnsi="仿宋" w:eastAsia="仿宋" w:cs="仿宋"/>
          <w:kern w:val="2"/>
          <w:sz w:val="32"/>
          <w:szCs w:val="32"/>
          <w:lang w:val="en-US" w:eastAsia="zh-CN" w:bidi="ar"/>
        </w:rPr>
        <w:t>在其最近一期截止后6个月内有效。</w:t>
      </w:r>
      <w:r>
        <w:rPr>
          <w:rFonts w:hint="eastAsia" w:ascii="仿宋" w:hAnsi="仿宋" w:eastAsia="仿宋" w:cs="仿宋"/>
          <w:bCs/>
          <w:kern w:val="2"/>
          <w:sz w:val="32"/>
          <w:szCs w:val="32"/>
          <w:lang w:val="en-US" w:eastAsia="zh-CN" w:bidi="ar"/>
        </w:rPr>
        <w:t>财务报表</w:t>
      </w:r>
      <w:r>
        <w:rPr>
          <w:rFonts w:hint="eastAsia" w:ascii="仿宋" w:hAnsi="仿宋" w:eastAsia="仿宋" w:cs="仿宋"/>
          <w:kern w:val="2"/>
          <w:sz w:val="32"/>
          <w:szCs w:val="32"/>
          <w:lang w:val="en-US" w:eastAsia="zh-CN" w:bidi="ar"/>
        </w:rPr>
        <w:t>应根据《</w:t>
      </w:r>
      <w:r>
        <w:rPr>
          <w:rFonts w:hint="default" w:ascii="仿宋" w:hAnsi="仿宋" w:eastAsia="仿宋" w:cs="仿宋"/>
          <w:kern w:val="2"/>
          <w:sz w:val="32"/>
          <w:szCs w:val="32"/>
          <w:lang w:val="en-US" w:eastAsia="zh-CN" w:bidi="ar"/>
        </w:rPr>
        <w:t>深圳证券交易所资产支持证券挂牌条件审核业务指南第1号——</w:t>
      </w:r>
      <w:r>
        <w:rPr>
          <w:rFonts w:hint="eastAsia" w:ascii="仿宋" w:hAnsi="仿宋" w:eastAsia="仿宋" w:cs="仿宋"/>
          <w:kern w:val="2"/>
          <w:sz w:val="32"/>
          <w:szCs w:val="32"/>
          <w:lang w:val="en-US" w:eastAsia="zh" w:bidi="ar"/>
        </w:rPr>
        <w:t>申请文件及其编制要求</w:t>
      </w:r>
      <w:r>
        <w:rPr>
          <w:rFonts w:hint="eastAsia" w:ascii="仿宋" w:hAnsi="仿宋" w:eastAsia="仿宋" w:cs="仿宋"/>
          <w:kern w:val="2"/>
          <w:sz w:val="32"/>
          <w:szCs w:val="32"/>
          <w:lang w:val="en-US" w:eastAsia="zh-CN" w:bidi="ar"/>
        </w:rPr>
        <w:t>》</w:t>
      </w:r>
      <w:r>
        <w:rPr>
          <w:rFonts w:hint="eastAsia" w:ascii="仿宋" w:hAnsi="仿宋" w:eastAsia="仿宋" w:cs="仿宋"/>
          <w:kern w:val="2"/>
          <w:sz w:val="32"/>
          <w:szCs w:val="32"/>
          <w:lang w:val="en-US" w:eastAsia="zh" w:bidi="ar"/>
        </w:rPr>
        <w:t>第八条、第九条、第十条的</w:t>
      </w:r>
      <w:r>
        <w:rPr>
          <w:rFonts w:hint="eastAsia" w:ascii="仿宋" w:hAnsi="仿宋" w:eastAsia="仿宋" w:cs="仿宋"/>
          <w:kern w:val="2"/>
          <w:sz w:val="32"/>
          <w:szCs w:val="32"/>
          <w:lang w:val="en-US" w:eastAsia="zh-CN" w:bidi="ar"/>
        </w:rPr>
        <w:t>要求准备</w:t>
      </w:r>
      <w:r>
        <w:rPr>
          <w:rFonts w:hint="eastAsia" w:ascii="仿宋" w:hAnsi="仿宋" w:eastAsia="仿宋" w:cs="仿宋"/>
          <w:kern w:val="2"/>
          <w:sz w:val="32"/>
          <w:szCs w:val="32"/>
          <w:lang w:val="en-US" w:eastAsia="zh"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专项计划已经取得本所无异议函，不存在</w:t>
      </w:r>
      <w:r>
        <w:rPr>
          <w:rFonts w:hint="eastAsia" w:ascii="仿宋" w:hAnsi="仿宋" w:eastAsia="仿宋" w:cs="仿宋"/>
          <w:sz w:val="32"/>
          <w:szCs w:val="32"/>
          <w:lang w:eastAsia="zh" w:bidi="ar"/>
        </w:rPr>
        <w:t>下列</w:t>
      </w:r>
      <w:r>
        <w:rPr>
          <w:rFonts w:ascii="仿宋" w:hAnsi="仿宋" w:eastAsia="仿宋" w:cs="仿宋"/>
          <w:sz w:val="32"/>
          <w:szCs w:val="32"/>
          <w:lang w:bidi="ar"/>
        </w:rPr>
        <w:t>不得延期申请情形，并拟于财务报</w:t>
      </w:r>
      <w:r>
        <w:rPr>
          <w:rFonts w:hint="eastAsia" w:ascii="仿宋" w:hAnsi="仿宋" w:eastAsia="仿宋" w:cs="仿宋"/>
          <w:sz w:val="32"/>
          <w:szCs w:val="32"/>
          <w:lang w:eastAsia="zh" w:bidi="ar"/>
        </w:rPr>
        <w:t>表</w:t>
      </w:r>
      <w:r>
        <w:rPr>
          <w:rFonts w:ascii="仿宋" w:hAnsi="仿宋" w:eastAsia="仿宋" w:cs="仿宋"/>
          <w:sz w:val="32"/>
          <w:szCs w:val="32"/>
          <w:lang w:bidi="ar"/>
        </w:rPr>
        <w:t>有效期到期之日</w:t>
      </w:r>
      <w:r>
        <w:rPr>
          <w:rFonts w:hint="eastAsia" w:ascii="仿宋" w:hAnsi="仿宋" w:eastAsia="仿宋" w:cs="仿宋"/>
          <w:sz w:val="32"/>
          <w:szCs w:val="32"/>
          <w:lang w:eastAsia="zh-CN" w:bidi="ar"/>
        </w:rPr>
        <w:t>起</w:t>
      </w:r>
      <w:r>
        <w:rPr>
          <w:rFonts w:ascii="仿宋" w:hAnsi="仿宋" w:eastAsia="仿宋" w:cs="仿宋"/>
          <w:sz w:val="32"/>
          <w:szCs w:val="32"/>
          <w:lang w:bidi="ar"/>
        </w:rPr>
        <w:t>1个月内发行的，计划管理人可在发行备案时向本所申请适当延长有效期，延长期限不超过一个月，且应当在前述延长期限内披露发行公告文件，本所将视情况决定是否同意该申请。</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不得延期申请情形：</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①</w:t>
      </w:r>
      <w:r>
        <w:rPr>
          <w:rFonts w:hint="eastAsia" w:ascii="仿宋" w:hAnsi="仿宋" w:eastAsia="仿宋" w:cs="仿宋"/>
          <w:sz w:val="32"/>
          <w:szCs w:val="32"/>
          <w:lang w:bidi="ar"/>
        </w:rPr>
        <w:t>存在影响特定原始权益人、增信机构经营或者偿付能力的重大不利变化且预计影响挂牌转让条件情形；</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②</w:t>
      </w:r>
      <w:r>
        <w:rPr>
          <w:rFonts w:hint="eastAsia" w:ascii="仿宋" w:hAnsi="仿宋" w:eastAsia="仿宋" w:cs="仿宋"/>
          <w:sz w:val="32"/>
          <w:szCs w:val="32"/>
          <w:lang w:bidi="ar"/>
        </w:rPr>
        <w:t>特定原始权益人、增信机构已在本所或者其他市场披露最新一期财务报表。</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（2）其他特殊规定</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适用本所资产证券化优化审核安排的专项计划，项目发起人不存在影响企业经营或者偿付能力的重大不利变化，且不存在影响挂牌条件的重大事项的，管理人可以申请适当延长项目发起人各基础资产类型的年度、半年度财务报表有效期。年度财务报表有效期最多延长至八月末，半年度财务报表有效期最多延长至次年四月末，项目发起人已披露季度财务报表的，管理人应当同步披露主要季度财务数据。</w:t>
      </w:r>
    </w:p>
    <w:p>
      <w:pPr>
        <w:adjustRightInd w:val="0"/>
        <w:snapToGrid w:val="0"/>
        <w:spacing w:line="560" w:lineRule="exact"/>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前款所称项目发起人是指对资产支持证券挂牌条件、投资价值、投资决策判断、投资者利益等事项产生重要影响的参与主体，包括原始权益人、增信机构，以及依托其资产收入作为基础资产现金流来源并获得融资的主体等。</w:t>
      </w:r>
    </w:p>
    <w:p>
      <w:pPr>
        <w:adjustRightInd w:val="0"/>
        <w:snapToGrid w:val="0"/>
        <w:spacing w:line="560" w:lineRule="exact"/>
        <w:ind w:firstLine="640" w:firstLineChars="200"/>
        <w:rPr>
          <w:rFonts w:hint="eastAsia" w:ascii="仿宋" w:hAnsi="仿宋" w:eastAsia="仿宋" w:cs="仿宋"/>
          <w:sz w:val="32"/>
          <w:szCs w:val="32"/>
          <w:lang w:eastAsia="zh" w:bidi="ar"/>
        </w:rPr>
      </w:pPr>
      <w:r>
        <w:rPr>
          <w:rFonts w:hint="eastAsia" w:ascii="仿宋" w:hAnsi="仿宋" w:eastAsia="仿宋" w:cs="仿宋"/>
          <w:kern w:val="2"/>
          <w:sz w:val="32"/>
          <w:szCs w:val="32"/>
          <w:lang w:val="en-US" w:eastAsia="zh" w:bidi="ar"/>
        </w:rPr>
        <w:t>3.</w:t>
      </w:r>
      <w:r>
        <w:rPr>
          <w:rFonts w:hint="eastAsia" w:ascii="仿宋" w:hAnsi="仿宋" w:eastAsia="仿宋" w:cs="仿宋"/>
          <w:sz w:val="32"/>
          <w:szCs w:val="32"/>
          <w:lang w:eastAsia="zh" w:bidi="ar"/>
        </w:rPr>
        <w:t>披露发行公告文件</w:t>
      </w:r>
    </w:p>
    <w:p>
      <w:pPr>
        <w:adjustRightInd w:val="0"/>
        <w:snapToGrid w:val="0"/>
        <w:spacing w:line="240" w:lineRule="auto"/>
        <w:ind w:firstLine="640" w:firstLineChars="200"/>
        <w:rPr>
          <w:rFonts w:ascii="仿宋" w:hAnsi="仿宋" w:eastAsia="仿宋" w:cs="仿宋"/>
          <w:sz w:val="32"/>
          <w:szCs w:val="32"/>
          <w:lang w:bidi="ar"/>
        </w:rPr>
      </w:pPr>
      <w:r>
        <w:rPr>
          <w:rFonts w:hint="eastAsia" w:ascii="仿宋" w:hAnsi="仿宋" w:eastAsia="仿宋" w:cs="仿宋"/>
          <w:sz w:val="32"/>
          <w:szCs w:val="32"/>
          <w:lang w:eastAsia="zh" w:bidi="ar"/>
        </w:rPr>
        <w:t>（</w:t>
      </w:r>
      <w:r>
        <w:rPr>
          <w:rFonts w:ascii="仿宋" w:hAnsi="仿宋" w:eastAsia="仿宋" w:cs="仿宋"/>
          <w:sz w:val="32"/>
          <w:szCs w:val="32"/>
          <w:lang w:bidi="ar"/>
        </w:rPr>
        <w:t>1</w:t>
      </w:r>
      <w:r>
        <w:rPr>
          <w:rFonts w:hint="eastAsia" w:ascii="仿宋" w:hAnsi="仿宋" w:eastAsia="仿宋" w:cs="仿宋"/>
          <w:sz w:val="32"/>
          <w:szCs w:val="32"/>
          <w:lang w:eastAsia="zh" w:bidi="ar"/>
        </w:rPr>
        <w:t>）</w:t>
      </w:r>
      <w:r>
        <w:rPr>
          <w:rFonts w:ascii="仿宋" w:hAnsi="仿宋" w:eastAsia="仿宋" w:cs="仿宋"/>
          <w:sz w:val="32"/>
          <w:szCs w:val="32"/>
          <w:lang w:bidi="ar"/>
        </w:rPr>
        <w:t>披露时间</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发行</w:t>
      </w:r>
      <w:r>
        <w:rPr>
          <w:rFonts w:hint="eastAsia" w:ascii="仿宋" w:hAnsi="仿宋" w:eastAsia="仿宋" w:cs="仿宋"/>
          <w:sz w:val="32"/>
          <w:szCs w:val="32"/>
          <w:lang w:eastAsia="zh" w:bidi="ar"/>
        </w:rPr>
        <w:t>备案</w:t>
      </w:r>
      <w:r>
        <w:rPr>
          <w:rFonts w:hint="eastAsia" w:ascii="仿宋" w:hAnsi="仿宋" w:eastAsia="仿宋" w:cs="仿宋"/>
          <w:sz w:val="32"/>
          <w:szCs w:val="32"/>
          <w:lang w:bidi="ar"/>
        </w:rPr>
        <w:t>通过后，发行公告文件应当在簿记建档或协议发行前1至5个交易日内披露。发行公告文件披露最晚日期为备案通过后的第20个交易日，如在此日期前未披露的，原代码将收回，请重新提交备案。</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 w:bidi="ar"/>
        </w:rPr>
        <w:t>（</w:t>
      </w:r>
      <w:r>
        <w:rPr>
          <w:rFonts w:ascii="仿宋" w:hAnsi="仿宋" w:eastAsia="仿宋" w:cs="仿宋"/>
          <w:sz w:val="32"/>
          <w:szCs w:val="32"/>
          <w:lang w:bidi="ar"/>
        </w:rPr>
        <w:t>2</w:t>
      </w:r>
      <w:r>
        <w:rPr>
          <w:rFonts w:hint="eastAsia" w:ascii="仿宋" w:hAnsi="仿宋" w:eastAsia="仿宋" w:cs="仿宋"/>
          <w:sz w:val="32"/>
          <w:szCs w:val="32"/>
          <w:lang w:eastAsia="zh" w:bidi="ar"/>
        </w:rPr>
        <w:t>）</w:t>
      </w:r>
      <w:r>
        <w:rPr>
          <w:rFonts w:ascii="仿宋" w:hAnsi="仿宋" w:eastAsia="仿宋" w:cs="仿宋"/>
          <w:sz w:val="32"/>
          <w:szCs w:val="32"/>
          <w:lang w:bidi="ar"/>
        </w:rPr>
        <w:t>信息披露申请路径</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计划管理人应当通过固收专区“资产支持证券-信息披露申请（选择公告类别为资产支持证券信息披露申请-发行公告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w:t>
      </w:r>
      <w:r>
        <w:rPr>
          <w:rFonts w:hint="eastAsia" w:ascii="仿宋" w:hAnsi="仿宋" w:eastAsia="仿宋" w:cs="仿宋"/>
          <w:sz w:val="32"/>
          <w:szCs w:val="32"/>
          <w:lang w:eastAsia="zh" w:bidi="ar"/>
        </w:rPr>
        <w:t>）</w:t>
      </w:r>
      <w:r>
        <w:rPr>
          <w:rFonts w:ascii="仿宋" w:hAnsi="仿宋" w:eastAsia="仿宋" w:cs="仿宋"/>
          <w:sz w:val="32"/>
          <w:szCs w:val="32"/>
          <w:lang w:bidi="ar"/>
        </w:rPr>
        <w:t>”流程披露最终版本的计划说明书等发行公告文件。</w:t>
      </w:r>
      <w:r>
        <w:rPr>
          <w:rFonts w:hint="eastAsia" w:ascii="仿宋" w:hAnsi="仿宋" w:eastAsia="仿宋" w:cs="仿宋"/>
          <w:sz w:val="32"/>
          <w:szCs w:val="32"/>
          <w:lang w:bidi="ar"/>
        </w:rPr>
        <w:t>发行公告为事前审查公告，本所处理相关公告后，计划管理人应点击确认相关信息披露申请。</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应当披露的发行公告文件包括：发行公告</w:t>
      </w:r>
      <w:r>
        <w:rPr>
          <w:rFonts w:hint="eastAsia" w:ascii="仿宋" w:hAnsi="仿宋" w:eastAsia="仿宋" w:cs="仿宋"/>
          <w:sz w:val="32"/>
          <w:szCs w:val="32"/>
          <w:lang w:eastAsia="zh" w:bidi="ar"/>
        </w:rPr>
        <w:t>、</w:t>
      </w:r>
      <w:r>
        <w:rPr>
          <w:rFonts w:ascii="仿宋" w:hAnsi="仿宋" w:eastAsia="仿宋" w:cs="仿宋"/>
          <w:sz w:val="32"/>
          <w:szCs w:val="32"/>
          <w:lang w:bidi="ar"/>
        </w:rPr>
        <w:t>计划说明书</w:t>
      </w:r>
      <w:r>
        <w:rPr>
          <w:rFonts w:hint="eastAsia" w:ascii="仿宋" w:hAnsi="仿宋" w:eastAsia="仿宋" w:cs="仿宋"/>
          <w:sz w:val="32"/>
          <w:szCs w:val="32"/>
          <w:lang w:eastAsia="zh" w:bidi="ar"/>
        </w:rPr>
        <w:t>、</w:t>
      </w:r>
      <w:r>
        <w:rPr>
          <w:rFonts w:ascii="仿宋" w:hAnsi="仿宋" w:eastAsia="仿宋" w:cs="仿宋"/>
          <w:sz w:val="32"/>
          <w:szCs w:val="32"/>
          <w:lang w:bidi="ar"/>
        </w:rPr>
        <w:t>法律意见书</w:t>
      </w:r>
      <w:r>
        <w:rPr>
          <w:rFonts w:hint="eastAsia" w:ascii="仿宋" w:hAnsi="仿宋" w:eastAsia="仿宋" w:cs="仿宋"/>
          <w:sz w:val="32"/>
          <w:szCs w:val="32"/>
          <w:lang w:eastAsia="zh" w:bidi="ar"/>
        </w:rPr>
        <w:t>、</w:t>
      </w:r>
      <w:r>
        <w:rPr>
          <w:rFonts w:ascii="仿宋" w:hAnsi="仿宋" w:eastAsia="仿宋" w:cs="仿宋"/>
          <w:sz w:val="32"/>
          <w:szCs w:val="32"/>
          <w:lang w:bidi="ar"/>
        </w:rPr>
        <w:t>信用评级报告（如有）</w:t>
      </w:r>
      <w:r>
        <w:rPr>
          <w:rFonts w:hint="eastAsia" w:ascii="仿宋" w:hAnsi="仿宋" w:eastAsia="仿宋" w:cs="仿宋"/>
          <w:sz w:val="32"/>
          <w:szCs w:val="32"/>
          <w:lang w:eastAsia="zh" w:bidi="ar"/>
        </w:rPr>
        <w:t>、</w:t>
      </w:r>
      <w:r>
        <w:rPr>
          <w:rFonts w:ascii="仿宋" w:hAnsi="仿宋" w:eastAsia="仿宋" w:cs="仿宋"/>
          <w:sz w:val="32"/>
          <w:szCs w:val="32"/>
          <w:lang w:bidi="ar"/>
        </w:rPr>
        <w:t>风险揭示书（如需）。</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 w:bidi="ar"/>
        </w:rPr>
        <w:t>（</w:t>
      </w:r>
      <w:r>
        <w:rPr>
          <w:rFonts w:ascii="仿宋" w:hAnsi="仿宋" w:eastAsia="仿宋" w:cs="仿宋"/>
          <w:sz w:val="32"/>
          <w:szCs w:val="32"/>
          <w:lang w:bidi="ar"/>
        </w:rPr>
        <w:t>3</w:t>
      </w:r>
      <w:r>
        <w:rPr>
          <w:rFonts w:hint="eastAsia" w:ascii="仿宋" w:hAnsi="仿宋" w:eastAsia="仿宋" w:cs="仿宋"/>
          <w:sz w:val="32"/>
          <w:szCs w:val="32"/>
          <w:lang w:eastAsia="zh" w:bidi="ar"/>
        </w:rPr>
        <w:t>）</w:t>
      </w:r>
      <w:r>
        <w:rPr>
          <w:rFonts w:hint="eastAsia" w:ascii="仿宋" w:hAnsi="仿宋" w:eastAsia="仿宋" w:cs="仿宋"/>
          <w:sz w:val="32"/>
          <w:szCs w:val="32"/>
          <w:lang w:bidi="ar"/>
        </w:rPr>
        <w:t>发行公告文件披露地点</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资产支持证券相关公告在深交所固定收益信息平台“信息披露-通知与公告-信息公告（定向）”栏目披露。</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 w:bidi="ar"/>
        </w:rPr>
        <w:t>（</w:t>
      </w:r>
      <w:r>
        <w:rPr>
          <w:rFonts w:ascii="仿宋" w:hAnsi="仿宋" w:eastAsia="仿宋" w:cs="仿宋"/>
          <w:sz w:val="32"/>
          <w:szCs w:val="32"/>
          <w:lang w:bidi="ar"/>
        </w:rPr>
        <w:t>4</w:t>
      </w:r>
      <w:r>
        <w:rPr>
          <w:rFonts w:hint="eastAsia" w:ascii="仿宋" w:hAnsi="仿宋" w:eastAsia="仿宋" w:cs="仿宋"/>
          <w:sz w:val="32"/>
          <w:szCs w:val="32"/>
          <w:lang w:eastAsia="zh" w:bidi="ar"/>
        </w:rPr>
        <w:t>）</w:t>
      </w:r>
      <w:r>
        <w:rPr>
          <w:rFonts w:hint="eastAsia" w:ascii="仿宋" w:hAnsi="仿宋" w:eastAsia="仿宋" w:cs="仿宋"/>
          <w:sz w:val="32"/>
          <w:szCs w:val="32"/>
          <w:lang w:bidi="ar"/>
        </w:rPr>
        <w:t>发行公告披露内容</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发行公告文件应当包含拟发行金额、发行期限、发行方式、发行利率或者价格区间、发行时间、起息日、到期日等发行要素。除发行方式、发行利率或者价格区间、起息日、到期日等可以调整的要素外，发行公告文件内容应当与发行备案文件保持一致。</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提交信息披露时，公告日期应选择拟披露发行公告文件的日期。发行公告文件文件名应以文件内标题全称命名。计划管理人应确保公告披露的准确性和及时性。</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 w:bidi="ar"/>
        </w:rPr>
        <w:t>（5）</w:t>
      </w:r>
      <w:r>
        <w:rPr>
          <w:rFonts w:hint="eastAsia" w:ascii="仿宋" w:hAnsi="仿宋" w:eastAsia="仿宋" w:cs="仿宋"/>
          <w:sz w:val="32"/>
          <w:szCs w:val="32"/>
          <w:lang w:bidi="ar"/>
        </w:rPr>
        <w:t>重新披露发行公告文件</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发行公告文件披露后，发行前拟调整相关发行要素或调整簿记建档、协议定价日期的，计划管理人应当通过固收专区重新披露发行公告文件。如相关发行要素调整涉及资产支持证券基础信息变动的，</w:t>
      </w:r>
      <w:r>
        <w:rPr>
          <w:rFonts w:ascii="仿宋" w:hAnsi="仿宋" w:eastAsia="仿宋" w:cs="仿宋"/>
          <w:sz w:val="32"/>
          <w:szCs w:val="32"/>
          <w:shd w:val="clear" w:color="auto" w:fill="FFFFFF"/>
        </w:rPr>
        <w:t>包括但不限于新增或删除证券、证券类型调整等，</w:t>
      </w:r>
      <w:r>
        <w:rPr>
          <w:rFonts w:ascii="仿宋" w:hAnsi="仿宋" w:eastAsia="仿宋" w:cs="仿宋"/>
          <w:sz w:val="32"/>
          <w:szCs w:val="32"/>
          <w:lang w:bidi="ar"/>
        </w:rPr>
        <w:t>应主动联系本所经办人。</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发行公告文件披露后，如需取消发行的，计划管理人应当不晚于簿记建档</w:t>
      </w:r>
      <w:r>
        <w:rPr>
          <w:rFonts w:hint="eastAsia" w:ascii="仿宋" w:hAnsi="仿宋" w:eastAsia="仿宋" w:cs="仿宋"/>
          <w:sz w:val="32"/>
          <w:szCs w:val="32"/>
          <w:lang w:eastAsia="zh" w:bidi="ar"/>
        </w:rPr>
        <w:t>日</w:t>
      </w:r>
      <w:r>
        <w:rPr>
          <w:rFonts w:ascii="仿宋" w:hAnsi="仿宋" w:eastAsia="仿宋" w:cs="仿宋"/>
          <w:sz w:val="32"/>
          <w:szCs w:val="32"/>
          <w:lang w:bidi="ar"/>
        </w:rPr>
        <w:t>、协议定价</w:t>
      </w:r>
      <w:r>
        <w:rPr>
          <w:rFonts w:hint="eastAsia" w:ascii="仿宋" w:hAnsi="仿宋" w:eastAsia="仿宋" w:cs="仿宋"/>
          <w:sz w:val="32"/>
          <w:szCs w:val="32"/>
          <w:lang w:eastAsia="zh" w:bidi="ar"/>
        </w:rPr>
        <w:t>日</w:t>
      </w:r>
      <w:r>
        <w:rPr>
          <w:rFonts w:ascii="仿宋" w:hAnsi="仿宋" w:eastAsia="仿宋" w:cs="仿宋"/>
          <w:sz w:val="32"/>
          <w:szCs w:val="32"/>
          <w:highlight w:val="none"/>
          <w:lang w:bidi="ar"/>
        </w:rPr>
        <w:t>结束</w:t>
      </w:r>
      <w:r>
        <w:rPr>
          <w:rFonts w:hint="eastAsia" w:ascii="仿宋" w:hAnsi="仿宋" w:eastAsia="仿宋" w:cs="仿宋"/>
          <w:sz w:val="32"/>
          <w:szCs w:val="32"/>
          <w:highlight w:val="none"/>
          <w:lang w:eastAsia="zh" w:bidi="ar"/>
        </w:rPr>
        <w:t>前</w:t>
      </w:r>
      <w:r>
        <w:rPr>
          <w:rFonts w:ascii="仿宋" w:hAnsi="仿宋" w:eastAsia="仿宋" w:cs="仿宋"/>
          <w:sz w:val="32"/>
          <w:szCs w:val="32"/>
          <w:highlight w:val="none"/>
          <w:lang w:bidi="ar"/>
        </w:rPr>
        <w:t>通</w:t>
      </w:r>
      <w:r>
        <w:rPr>
          <w:rFonts w:ascii="仿宋" w:hAnsi="仿宋" w:eastAsia="仿宋" w:cs="仿宋"/>
          <w:sz w:val="32"/>
          <w:szCs w:val="32"/>
          <w:lang w:bidi="ar"/>
        </w:rPr>
        <w:t>过固收专区“资产支持证券-信息披露申请（选择公告类别为资产支持证券信息披露申请-取消发行公告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）”流程披露取消发行公告。</w:t>
      </w:r>
      <w:r>
        <w:rPr>
          <w:rFonts w:hint="eastAsia" w:ascii="仿宋" w:hAnsi="仿宋" w:eastAsia="仿宋" w:cs="仿宋"/>
          <w:sz w:val="32"/>
          <w:szCs w:val="32"/>
          <w:lang w:bidi="ar"/>
        </w:rPr>
        <w:t>取消发行公告为事前审查公告。</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取消发行后，本期资产支持专项计划再次发行的，计划管理人应当重新向本所进行发行备案。簿记建档、协议定价结束并披露预期收益率</w:t>
      </w:r>
      <w:r>
        <w:rPr>
          <w:rFonts w:hint="eastAsia" w:ascii="仿宋" w:hAnsi="仿宋" w:eastAsia="仿宋" w:cs="仿宋"/>
          <w:sz w:val="32"/>
          <w:szCs w:val="32"/>
          <w:lang w:eastAsia="zh" w:bidi="ar"/>
        </w:rPr>
        <w:t>/发行价格</w:t>
      </w:r>
      <w:r>
        <w:rPr>
          <w:rFonts w:ascii="仿宋" w:hAnsi="仿宋" w:eastAsia="仿宋" w:cs="仿宋"/>
          <w:sz w:val="32"/>
          <w:szCs w:val="32"/>
          <w:lang w:bidi="ar"/>
        </w:rPr>
        <w:t>公告后，本期资产支持专项计划不得取消发行。</w:t>
      </w:r>
    </w:p>
    <w:p>
      <w:pPr>
        <w:adjustRightInd w:val="0"/>
        <w:snapToGrid w:val="0"/>
        <w:spacing w:line="560" w:lineRule="exact"/>
        <w:ind w:firstLine="640" w:firstLineChars="200"/>
        <w:outlineLvl w:val="9"/>
        <w:rPr>
          <w:rFonts w:hint="eastAsia" w:ascii="仿宋" w:hAnsi="仿宋" w:eastAsia="仿宋" w:cs="仿宋"/>
          <w:bCs/>
          <w:sz w:val="32"/>
          <w:szCs w:val="32"/>
        </w:rPr>
      </w:pPr>
      <w:r>
        <w:rPr>
          <w:rFonts w:hint="eastAsia" w:ascii="仿宋" w:hAnsi="仿宋" w:eastAsia="仿宋" w:cs="仿宋"/>
          <w:bCs/>
          <w:sz w:val="32"/>
          <w:szCs w:val="32"/>
          <w:lang w:eastAsia="zh" w:bidi="ar"/>
        </w:rPr>
        <w:t>4.</w:t>
      </w:r>
      <w:r>
        <w:rPr>
          <w:rFonts w:hint="eastAsia" w:ascii="仿宋" w:hAnsi="仿宋" w:eastAsia="仿宋" w:cs="仿宋"/>
          <w:bCs/>
          <w:sz w:val="32"/>
          <w:szCs w:val="32"/>
          <w:lang w:bidi="ar"/>
        </w:rPr>
        <w:t>簿记建档</w:t>
      </w:r>
      <w:r>
        <w:rPr>
          <w:rFonts w:hint="eastAsia" w:ascii="仿宋" w:hAnsi="仿宋" w:eastAsia="仿宋" w:cs="仿宋"/>
          <w:bCs/>
          <w:sz w:val="32"/>
          <w:szCs w:val="32"/>
          <w:lang w:eastAsia="zh" w:bidi="ar"/>
        </w:rPr>
        <w:t>发行</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资产支持证券若采取簿记建档发行，则发行公告文件中需明确簿记建档时间区间，簿记管理人应当按照公告约定的申购截止时间结束簿记建档，不得擅自延长簿记时间。</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簿记建档截止时间原则上不得晚于簿记建档当日18:00。经计划管理人与簿记管理人协商一致，可以在原定的截止时间前延时一次并予以披露，延长后的簿记建档截止时间不得晚于簿记建档当日19:00。</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因市场环境变化或其他原因，导致计划管理人、簿记管理人和投资者需要延长簿记建档时间的，计划管理人应当于原簿记建档结束前通过固收专区“资产支持证券-信息披露申请（选择公告类别为资产支持证券信息披露申请-延长簿记时间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”流程提交延长簿记时间的公告文件，同时通过该流程报备延长申请。</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延长簿记时间公告为事后审查公告</w:t>
      </w:r>
      <w:r>
        <w:rPr>
          <w:rFonts w:ascii="仿宋" w:hAnsi="仿宋" w:eastAsia="仿宋" w:cs="仿宋"/>
          <w:sz w:val="32"/>
          <w:szCs w:val="32"/>
          <w:lang w:bidi="ar"/>
        </w:rPr>
        <w:t>。计划管理人应当确保公告信息的准确性和提交文件的及时性。</w:t>
      </w:r>
    </w:p>
    <w:p>
      <w:pPr>
        <w:numPr>
          <w:ilvl w:val="-1"/>
          <w:numId w:val="0"/>
        </w:numPr>
        <w:adjustRightInd w:val="0"/>
        <w:snapToGrid w:val="0"/>
        <w:spacing w:line="560" w:lineRule="exact"/>
        <w:ind w:firstLine="640" w:firstLineChars="200"/>
        <w:rPr>
          <w:rFonts w:hint="eastAsia" w:ascii="仿宋" w:hAnsi="仿宋" w:eastAsia="仿宋" w:cs="仿宋"/>
          <w:bCs/>
          <w:sz w:val="32"/>
          <w:szCs w:val="32"/>
          <w:lang w:eastAsia="zh" w:bidi="ar"/>
        </w:rPr>
      </w:pPr>
      <w:r>
        <w:rPr>
          <w:rFonts w:hint="eastAsia" w:ascii="仿宋" w:hAnsi="仿宋" w:eastAsia="仿宋" w:cs="仿宋"/>
          <w:bCs/>
          <w:sz w:val="32"/>
          <w:szCs w:val="32"/>
          <w:lang w:eastAsia="zh" w:bidi="ar"/>
        </w:rPr>
        <w:t>5.</w:t>
      </w:r>
      <w:r>
        <w:rPr>
          <w:rFonts w:hint="eastAsia" w:ascii="仿宋" w:hAnsi="仿宋" w:eastAsia="仿宋" w:cs="仿宋"/>
          <w:bCs/>
          <w:sz w:val="32"/>
          <w:szCs w:val="32"/>
          <w:lang w:bidi="ar"/>
        </w:rPr>
        <w:t>协议发行</w:t>
      </w:r>
    </w:p>
    <w:p>
      <w:pPr>
        <w:adjustRightInd w:val="0"/>
        <w:snapToGrid w:val="0"/>
        <w:spacing w:line="560" w:lineRule="exact"/>
        <w:ind w:firstLine="640" w:firstLineChars="200"/>
        <w:rPr>
          <w:rFonts w:hint="eastAsia" w:ascii="仿宋" w:hAnsi="仿宋" w:eastAsia="仿宋" w:cs="仿宋"/>
          <w:kern w:val="2"/>
          <w:sz w:val="32"/>
          <w:szCs w:val="32"/>
          <w:lang w:val="en-US" w:eastAsia="zh" w:bidi="ar"/>
        </w:rPr>
      </w:pPr>
      <w:r>
        <w:rPr>
          <w:rFonts w:hint="eastAsia" w:ascii="仿宋" w:hAnsi="仿宋" w:eastAsia="仿宋" w:cs="仿宋"/>
          <w:kern w:val="2"/>
          <w:sz w:val="32"/>
          <w:szCs w:val="32"/>
          <w:lang w:val="en-US" w:eastAsia="zh-CN" w:bidi="ar"/>
        </w:rPr>
        <w:t>资产支持证券若采取协议发行，则发行公告文件中应当包含拟发行金额、发行期限、发行方式、起息日、到期日等发行要素，且应当在发行公告文件中明确协议定价日，计划管理人应当在公告约定的协议定价日当天内确定资产支持证券的</w:t>
      </w:r>
      <w:r>
        <w:rPr>
          <w:rFonts w:hint="eastAsia" w:ascii="仿宋" w:hAnsi="仿宋" w:eastAsia="仿宋" w:cs="仿宋"/>
          <w:kern w:val="2"/>
          <w:sz w:val="32"/>
          <w:szCs w:val="32"/>
          <w:lang w:val="en-US" w:eastAsia="zh" w:bidi="ar"/>
        </w:rPr>
        <w:t>预期收益率</w:t>
      </w:r>
      <w:r>
        <w:rPr>
          <w:rFonts w:hint="eastAsia" w:ascii="仿宋" w:hAnsi="仿宋" w:eastAsia="仿宋" w:cs="仿宋"/>
          <w:kern w:val="2"/>
          <w:sz w:val="32"/>
          <w:szCs w:val="32"/>
          <w:lang w:val="en-US" w:eastAsia="zh-CN" w:bidi="ar"/>
        </w:rPr>
        <w:t>或价格，且协议定价不得跨日。</w:t>
      </w:r>
    </w:p>
    <w:p>
      <w:pPr>
        <w:keepNext w:val="0"/>
        <w:keepLines w:val="0"/>
        <w:widowControl/>
        <w:suppressLineNumbers w:val="0"/>
        <w:adjustRightInd w:val="0"/>
        <w:snapToGrid w:val="0"/>
        <w:spacing w:before="0" w:beforeAutospacing="0" w:after="0" w:afterAutospacing="0" w:line="560" w:lineRule="exact"/>
        <w:ind w:left="0" w:right="0" w:firstLine="640" w:firstLineChars="200"/>
        <w:jc w:val="both"/>
        <w:outlineLvl w:val="9"/>
        <w:rPr>
          <w:rFonts w:hint="eastAsia" w:ascii="仿宋" w:hAnsi="仿宋" w:eastAsia="仿宋" w:cs="仿宋"/>
          <w:bCs/>
          <w:sz w:val="32"/>
          <w:szCs w:val="32"/>
          <w:lang w:eastAsia="zh"/>
        </w:rPr>
      </w:pPr>
      <w:r>
        <w:rPr>
          <w:rFonts w:hint="eastAsia" w:ascii="仿宋" w:hAnsi="仿宋" w:eastAsia="仿宋" w:cs="仿宋"/>
          <w:kern w:val="2"/>
          <w:sz w:val="32"/>
          <w:szCs w:val="32"/>
          <w:lang w:val="en-US" w:eastAsia="zh" w:bidi="ar"/>
        </w:rPr>
        <w:t>6.</w:t>
      </w:r>
      <w:r>
        <w:rPr>
          <w:rFonts w:hint="eastAsia" w:ascii="仿宋" w:hAnsi="仿宋" w:eastAsia="仿宋" w:cs="仿宋"/>
          <w:bCs/>
          <w:sz w:val="32"/>
          <w:szCs w:val="32"/>
          <w:lang w:bidi="ar"/>
        </w:rPr>
        <w:t>披露预期收益率公告</w:t>
      </w:r>
      <w:r>
        <w:rPr>
          <w:rFonts w:hint="eastAsia" w:ascii="仿宋" w:hAnsi="仿宋" w:eastAsia="仿宋" w:cs="仿宋"/>
          <w:bCs/>
          <w:sz w:val="32"/>
          <w:szCs w:val="32"/>
          <w:lang w:eastAsia="zh" w:bidi="ar"/>
        </w:rPr>
        <w:t>/</w:t>
      </w:r>
      <w:r>
        <w:rPr>
          <w:rFonts w:hint="eastAsia" w:ascii="仿宋" w:hAnsi="仿宋" w:eastAsia="仿宋" w:cs="仿宋"/>
          <w:bCs/>
          <w:sz w:val="32"/>
          <w:szCs w:val="32"/>
          <w:lang w:val="en-US" w:eastAsia="zh" w:bidi="ar"/>
        </w:rPr>
        <w:t>发行价格公告</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仿宋" w:hAnsi="仿宋" w:eastAsia="仿宋" w:cs="仿宋"/>
          <w:sz w:val="32"/>
          <w:szCs w:val="32"/>
          <w:lang w:bidi="ar"/>
        </w:rPr>
      </w:pPr>
      <w:r>
        <w:rPr>
          <w:rFonts w:ascii="仿宋" w:hAnsi="仿宋" w:eastAsia="仿宋" w:cs="仿宋"/>
          <w:sz w:val="32"/>
          <w:szCs w:val="32"/>
          <w:lang w:bidi="ar"/>
        </w:rPr>
        <w:t>计划管理人应在簿记建档、协议定价结束后当日通过固收专区“资产支持证券-信息披露申请（</w:t>
      </w:r>
      <w:r>
        <w:rPr>
          <w:rFonts w:ascii="仿宋" w:hAnsi="仿宋" w:eastAsia="仿宋" w:cs="仿宋"/>
          <w:sz w:val="32"/>
          <w:szCs w:val="32"/>
          <w:highlight w:val="none"/>
          <w:lang w:bidi="ar"/>
        </w:rPr>
        <w:t>选择公告类别为资产支持证券信息披露申请-预期收益率公告</w:t>
      </w:r>
      <w:r>
        <w:rPr>
          <w:rFonts w:hint="default" w:ascii="仿宋" w:hAnsi="仿宋" w:eastAsia="仿宋" w:cs="仿宋"/>
          <w:sz w:val="32"/>
          <w:szCs w:val="32"/>
          <w:highlight w:val="none"/>
          <w:lang w:val="en-US" w:eastAsia="zh-CN" w:bidi="ar"/>
        </w:rPr>
        <w:t>/发行价格公告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w:t>
      </w:r>
      <w:r>
        <w:rPr>
          <w:rFonts w:ascii="仿宋" w:hAnsi="仿宋" w:eastAsia="仿宋" w:cs="仿宋"/>
          <w:sz w:val="32"/>
          <w:szCs w:val="32"/>
          <w:highlight w:val="none"/>
          <w:lang w:bidi="ar"/>
        </w:rPr>
        <w:t>流程披露预期收益率公告</w:t>
      </w:r>
      <w:r>
        <w:rPr>
          <w:rFonts w:hint="default" w:ascii="仿宋" w:hAnsi="仿宋" w:eastAsia="仿宋" w:cs="仿宋"/>
          <w:sz w:val="32"/>
          <w:szCs w:val="32"/>
          <w:highlight w:val="none"/>
          <w:lang w:val="en-US" w:eastAsia="zh-CN" w:bidi="ar"/>
        </w:rPr>
        <w:t>/</w:t>
      </w:r>
      <w:r>
        <w:rPr>
          <w:rFonts w:hint="default" w:ascii="仿宋" w:hAnsi="仿宋" w:eastAsia="仿宋" w:cs="仿宋"/>
          <w:sz w:val="32"/>
          <w:szCs w:val="32"/>
          <w:lang w:val="en-US" w:eastAsia="zh-CN" w:bidi="ar"/>
        </w:rPr>
        <w:t>发行价格公告</w:t>
      </w:r>
      <w:r>
        <w:rPr>
          <w:rFonts w:ascii="仿宋" w:hAnsi="仿宋" w:eastAsia="仿宋" w:cs="仿宋"/>
          <w:sz w:val="32"/>
          <w:szCs w:val="32"/>
          <w:lang w:bidi="ar"/>
        </w:rPr>
        <w:t>（附件2</w:t>
      </w:r>
      <w:r>
        <w:rPr>
          <w:rFonts w:hint="eastAsia" w:ascii="仿宋" w:hAnsi="仿宋" w:eastAsia="仿宋" w:cs="仿宋"/>
          <w:sz w:val="32"/>
          <w:szCs w:val="32"/>
          <w:lang w:val="en-US" w:eastAsia="zh-CN" w:bidi="ar"/>
        </w:rPr>
        <w:t>8</w:t>
      </w:r>
      <w:r>
        <w:rPr>
          <w:rFonts w:ascii="仿宋" w:hAnsi="仿宋" w:eastAsia="仿宋" w:cs="仿宋"/>
          <w:sz w:val="32"/>
          <w:szCs w:val="32"/>
          <w:lang w:bidi="ar"/>
        </w:rPr>
        <w:t>）。</w:t>
      </w:r>
      <w:r>
        <w:rPr>
          <w:rFonts w:hint="eastAsia" w:ascii="仿宋" w:hAnsi="仿宋" w:eastAsia="仿宋" w:cs="仿宋"/>
          <w:sz w:val="32"/>
          <w:szCs w:val="32"/>
          <w:lang w:eastAsia="zh" w:bidi="ar"/>
        </w:rPr>
        <w:t>预期收益率</w:t>
      </w:r>
      <w:r>
        <w:rPr>
          <w:rFonts w:hint="eastAsia" w:ascii="仿宋" w:hAnsi="仿宋" w:eastAsia="仿宋" w:cs="仿宋"/>
          <w:sz w:val="32"/>
          <w:szCs w:val="32"/>
          <w:lang w:val="en-US" w:eastAsia="zh-CN" w:bidi="ar"/>
        </w:rPr>
        <w:t>公告/发行价格公告中应当明确发行利率或者价格。</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预期收益率公告</w:t>
      </w:r>
      <w:r>
        <w:rPr>
          <w:rFonts w:hint="eastAsia" w:ascii="仿宋" w:hAnsi="仿宋" w:eastAsia="仿宋" w:cs="仿宋"/>
          <w:sz w:val="32"/>
          <w:szCs w:val="32"/>
          <w:lang w:bidi="ar"/>
        </w:rPr>
        <w:t>为事后审查公告</w:t>
      </w:r>
      <w:r>
        <w:rPr>
          <w:rFonts w:ascii="仿宋" w:hAnsi="仿宋" w:eastAsia="仿宋" w:cs="仿宋"/>
          <w:sz w:val="32"/>
          <w:szCs w:val="32"/>
          <w:lang w:bidi="ar"/>
        </w:rPr>
        <w:t>。计划管理人应当确保公告信息的准确性和提交文件的及时性。</w:t>
      </w:r>
    </w:p>
    <w:p>
      <w:pPr>
        <w:adjustRightInd w:val="0"/>
        <w:snapToGrid w:val="0"/>
        <w:spacing w:line="560" w:lineRule="exact"/>
        <w:ind w:firstLine="640" w:firstLineChars="200"/>
        <w:outlineLvl w:val="9"/>
        <w:rPr>
          <w:rFonts w:hint="eastAsia" w:ascii="仿宋" w:hAnsi="仿宋" w:eastAsia="仿宋" w:cs="仿宋"/>
          <w:bCs/>
          <w:sz w:val="32"/>
          <w:szCs w:val="32"/>
        </w:rPr>
      </w:pPr>
      <w:bookmarkStart w:id="355" w:name="_Toc24376"/>
      <w:r>
        <w:rPr>
          <w:rFonts w:hint="eastAsia" w:ascii="仿宋" w:hAnsi="仿宋" w:eastAsia="仿宋" w:cs="仿宋"/>
          <w:bCs/>
          <w:sz w:val="32"/>
          <w:szCs w:val="32"/>
          <w:lang w:eastAsia="zh" w:bidi="ar"/>
        </w:rPr>
        <w:t>7.</w:t>
      </w:r>
      <w:r>
        <w:rPr>
          <w:rFonts w:hint="eastAsia" w:ascii="仿宋" w:hAnsi="仿宋" w:eastAsia="仿宋" w:cs="仿宋"/>
          <w:bCs/>
          <w:sz w:val="32"/>
          <w:szCs w:val="32"/>
          <w:lang w:bidi="ar"/>
        </w:rPr>
        <w:t>缴款和披露发行结果</w:t>
      </w:r>
      <w:bookmarkEnd w:id="355"/>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获得配售的投资者应当按照有关协议约定或者发行公告文件要求在缴款日按时缴款。</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ascii="仿宋" w:hAnsi="仿宋" w:eastAsia="仿宋" w:cs="仿宋"/>
          <w:sz w:val="32"/>
          <w:szCs w:val="32"/>
          <w:lang w:bidi="ar"/>
        </w:rPr>
      </w:pPr>
      <w:r>
        <w:rPr>
          <w:rFonts w:ascii="仿宋" w:hAnsi="仿宋" w:eastAsia="仿宋" w:cs="仿宋"/>
          <w:sz w:val="32"/>
          <w:szCs w:val="32"/>
          <w:lang w:bidi="ar"/>
        </w:rPr>
        <w:t>计划管理人应当于专项计划设立日当日通过固收专区“资产支持证券-信息披露申请（选择公告类别为资产支持证券信息披露申请-成立公告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）”流程提交资产支持专项计划成立公告（附件</w:t>
      </w:r>
      <w:r>
        <w:rPr>
          <w:rFonts w:hint="eastAsia" w:ascii="仿宋" w:hAnsi="仿宋" w:eastAsia="仿宋" w:cs="仿宋"/>
          <w:sz w:val="32"/>
          <w:szCs w:val="32"/>
          <w:lang w:val="en-US" w:eastAsia="zh-CN" w:bidi="ar"/>
        </w:rPr>
        <w:t>29</w:t>
      </w:r>
      <w:r>
        <w:rPr>
          <w:rFonts w:ascii="仿宋" w:hAnsi="仿宋" w:eastAsia="仿宋" w:cs="仿宋"/>
          <w:sz w:val="32"/>
          <w:szCs w:val="32"/>
          <w:lang w:bidi="ar"/>
        </w:rPr>
        <w:t>），披露资产支持证券发行情况信息，发行情况应包括各档评级、实际发行规模、预期收益率、</w:t>
      </w:r>
      <w:r>
        <w:rPr>
          <w:rFonts w:hint="default" w:ascii="仿宋" w:hAnsi="仿宋" w:eastAsia="仿宋" w:cs="仿宋"/>
          <w:sz w:val="32"/>
          <w:szCs w:val="32"/>
          <w:lang w:val="en-US" w:eastAsia="zh-CN" w:bidi="ar"/>
        </w:rPr>
        <w:t>发行价格（如有）、</w:t>
      </w:r>
      <w:r>
        <w:rPr>
          <w:rFonts w:ascii="仿宋" w:hAnsi="仿宋" w:eastAsia="仿宋" w:cs="仿宋"/>
          <w:sz w:val="32"/>
          <w:szCs w:val="32"/>
          <w:lang w:bidi="ar"/>
        </w:rPr>
        <w:t>认购倍数等基本要素，并加盖计划管理人公章。确有不可抗力原因导致无法及时提交成立公告的，计划管理人应当提交书面文件说明原因。</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成立公告</w:t>
      </w:r>
      <w:r>
        <w:rPr>
          <w:rFonts w:hint="eastAsia" w:ascii="仿宋" w:hAnsi="仿宋" w:eastAsia="仿宋" w:cs="仿宋"/>
          <w:sz w:val="32"/>
          <w:szCs w:val="32"/>
          <w:lang w:bidi="ar"/>
        </w:rPr>
        <w:t>为事后审查公告</w:t>
      </w:r>
      <w:r>
        <w:rPr>
          <w:rFonts w:ascii="仿宋" w:hAnsi="仿宋" w:eastAsia="仿宋" w:cs="仿宋"/>
          <w:sz w:val="32"/>
          <w:szCs w:val="32"/>
          <w:lang w:bidi="ar"/>
        </w:rPr>
        <w:t>。计划管理人应当确保公告信息的准确性和提交文件的及时性。</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发行完成后，计划管理人应当及时按基金业协会的格式要求向基金业协会提交备案文件，同时向本所提交资产支持证券挂牌与登记申请，正式挂牌前应完成基金业协会备案。</w:t>
      </w:r>
    </w:p>
    <w:p>
      <w:pPr>
        <w:adjustRightInd w:val="0"/>
        <w:snapToGrid w:val="0"/>
        <w:spacing w:line="560" w:lineRule="exact"/>
        <w:ind w:firstLine="640" w:firstLineChars="200"/>
        <w:outlineLvl w:val="9"/>
        <w:rPr>
          <w:rFonts w:hint="eastAsia" w:ascii="仿宋" w:hAnsi="仿宋" w:eastAsia="仿宋" w:cs="仿宋"/>
          <w:bCs/>
          <w:sz w:val="32"/>
          <w:szCs w:val="32"/>
        </w:rPr>
      </w:pPr>
      <w:r>
        <w:rPr>
          <w:rFonts w:hint="eastAsia" w:ascii="仿宋" w:hAnsi="仿宋" w:eastAsia="仿宋" w:cs="仿宋"/>
          <w:sz w:val="32"/>
          <w:szCs w:val="32"/>
          <w:lang w:eastAsia="zh" w:bidi="ar"/>
        </w:rPr>
        <w:t>8.</w:t>
      </w:r>
      <w:r>
        <w:rPr>
          <w:rFonts w:hint="eastAsia" w:ascii="仿宋" w:hAnsi="仿宋" w:eastAsia="仿宋" w:cs="仿宋"/>
          <w:bCs/>
          <w:sz w:val="32"/>
          <w:szCs w:val="32"/>
          <w:lang w:bidi="ar"/>
        </w:rPr>
        <w:t>应急处置公告</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簿记建档过程中，出现人为操作失误、系统故障等情形导致簿记建档</w:t>
      </w:r>
      <w:r>
        <w:rPr>
          <w:rFonts w:hint="eastAsia" w:ascii="仿宋" w:hAnsi="仿宋" w:eastAsia="仿宋" w:cs="仿宋"/>
          <w:sz w:val="32"/>
          <w:szCs w:val="32"/>
          <w:lang w:bidi="ar"/>
        </w:rPr>
        <w:t>工作</w:t>
      </w:r>
      <w:r>
        <w:rPr>
          <w:rFonts w:ascii="仿宋" w:hAnsi="仿宋" w:eastAsia="仿宋" w:cs="仿宋"/>
          <w:sz w:val="32"/>
          <w:szCs w:val="32"/>
          <w:lang w:bidi="ar"/>
        </w:rPr>
        <w:t>无法继续的，计划管理人和簿记管理人应当按照应急预案采取变更簿记建档场所、变更簿记建档时间、应急认购、取消发行等应急处置措施。计划管理人和簿记管理人应当通过固收专区“资产支持证券-信息披露（选择公告类别为资产支持证券信息披露申请-其他公告</w:t>
      </w:r>
      <w:r>
        <w:rPr>
          <w:rFonts w:hint="eastAsia" w:ascii="仿宋" w:hAnsi="仿宋" w:eastAsia="仿宋" w:cs="仿宋"/>
          <w:sz w:val="32"/>
          <w:szCs w:val="32"/>
          <w:lang w:eastAsia="zh-CN" w:bidi="ar"/>
        </w:rPr>
        <w:t>（发行上市）</w:t>
      </w:r>
      <w:r>
        <w:rPr>
          <w:rFonts w:ascii="仿宋" w:hAnsi="仿宋" w:eastAsia="仿宋" w:cs="仿宋"/>
          <w:sz w:val="32"/>
          <w:szCs w:val="32"/>
          <w:lang w:bidi="ar"/>
        </w:rPr>
        <w:t>）”流程及时披露应急处置的相关情况，并向本所报告。</w:t>
      </w:r>
    </w:p>
    <w:p>
      <w:pPr>
        <w:pStyle w:val="4"/>
        <w:keepNext w:val="0"/>
        <w:keepLines w:val="0"/>
        <w:widowControl w:val="0"/>
        <w:suppressLineNumbers w:val="0"/>
        <w:adjustRightInd w:val="0"/>
        <w:snapToGrid w:val="0"/>
        <w:spacing w:before="0" w:beforeLines="0" w:beforeAutospacing="0" w:after="0" w:afterLines="0" w:afterAutospacing="0" w:line="560" w:lineRule="exact"/>
        <w:ind w:left="0" w:leftChars="0" w:firstLine="640" w:firstLineChars="200"/>
        <w:rPr>
          <w:rFonts w:hint="eastAsia" w:ascii="仿宋" w:hAnsi="仿宋" w:eastAsia="仿宋" w:cs="仿宋"/>
          <w:b w:val="0"/>
          <w:bCs w:val="0"/>
        </w:rPr>
      </w:pPr>
      <w:r>
        <w:rPr>
          <w:rFonts w:hint="eastAsia" w:ascii="仿宋" w:hAnsi="仿宋" w:eastAsia="仿宋" w:cs="仿宋"/>
          <w:b w:val="0"/>
          <w:bCs w:val="0"/>
          <w:kern w:val="2"/>
          <w:sz w:val="32"/>
          <w:szCs w:val="32"/>
        </w:rPr>
        <w:t>（</w:t>
      </w:r>
      <w:r>
        <w:rPr>
          <w:rFonts w:hint="eastAsia" w:ascii="仿宋" w:hAnsi="仿宋" w:eastAsia="仿宋" w:cs="仿宋"/>
          <w:b w:val="0"/>
          <w:bCs w:val="0"/>
          <w:kern w:val="2"/>
          <w:sz w:val="32"/>
          <w:szCs w:val="32"/>
          <w:lang w:eastAsia="zh-CN"/>
        </w:rPr>
        <w:t>二</w:t>
      </w:r>
      <w:r>
        <w:rPr>
          <w:rFonts w:hint="eastAsia" w:ascii="仿宋" w:hAnsi="仿宋" w:eastAsia="仿宋" w:cs="仿宋"/>
          <w:b w:val="0"/>
          <w:bCs w:val="0"/>
          <w:kern w:val="2"/>
          <w:sz w:val="32"/>
          <w:szCs w:val="32"/>
        </w:rPr>
        <w:t>）</w:t>
      </w:r>
      <w:r>
        <w:rPr>
          <w:rFonts w:hint="eastAsia" w:ascii="仿宋" w:hAnsi="仿宋" w:eastAsia="仿宋" w:cs="仿宋"/>
          <w:b w:val="0"/>
          <w:bCs w:val="0"/>
          <w:color w:val="auto"/>
          <w:kern w:val="2"/>
          <w:sz w:val="32"/>
          <w:szCs w:val="32"/>
          <w:shd w:val="clear" w:fill="auto"/>
          <w:lang w:bidi="ar"/>
        </w:rPr>
        <w:t>资产支持证券扩募发行（试点）</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highlight w:val="none"/>
          <w:lang w:val="en-US" w:eastAsia="zh-CN" w:bidi="ar"/>
        </w:rPr>
        <w:t>资产支持证券扩募发行不属于可续发型资产支持证券</w:t>
      </w:r>
      <w:r>
        <w:rPr>
          <w:rFonts w:hint="eastAsia" w:ascii="仿宋" w:hAnsi="仿宋" w:eastAsia="仿宋" w:cs="仿宋"/>
          <w:kern w:val="0"/>
          <w:sz w:val="32"/>
          <w:szCs w:val="32"/>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资产支持证券扩募发行指计划管理人对在本所挂牌的存量持有型不动产资产支持证券进行扩募发行并且合并挂牌。扩募发行不涉及设立新的资产支持专项计划。合并挂牌首日，扩募发行资产支持证券的证券代码、证券简称、证券简称（短）、起息日、</w:t>
      </w:r>
      <w:r>
        <w:rPr>
          <w:rFonts w:hint="eastAsia" w:ascii="仿宋" w:hAnsi="仿宋" w:eastAsia="仿宋" w:cs="仿宋"/>
          <w:kern w:val="2"/>
          <w:sz w:val="32"/>
          <w:szCs w:val="32"/>
          <w:lang w:val="en-US" w:eastAsia="zh" w:bidi="ar"/>
        </w:rPr>
        <w:t>兑付</w:t>
      </w:r>
      <w:r>
        <w:rPr>
          <w:rFonts w:hint="eastAsia" w:ascii="仿宋" w:hAnsi="仿宋" w:eastAsia="仿宋" w:cs="仿宋"/>
          <w:kern w:val="2"/>
          <w:sz w:val="32"/>
          <w:szCs w:val="32"/>
          <w:lang w:val="en-US" w:eastAsia="zh-CN" w:bidi="ar"/>
        </w:rPr>
        <w:t>日、</w:t>
      </w:r>
      <w:r>
        <w:rPr>
          <w:rFonts w:hint="eastAsia" w:ascii="仿宋" w:hAnsi="仿宋" w:eastAsia="仿宋" w:cs="仿宋"/>
          <w:kern w:val="2"/>
          <w:sz w:val="32"/>
          <w:szCs w:val="32"/>
          <w:lang w:val="en-US" w:eastAsia="zh" w:bidi="ar"/>
        </w:rPr>
        <w:t>预期</w:t>
      </w:r>
      <w:r>
        <w:rPr>
          <w:rFonts w:hint="eastAsia" w:ascii="仿宋" w:hAnsi="仿宋" w:eastAsia="仿宋" w:cs="仿宋"/>
          <w:kern w:val="2"/>
          <w:sz w:val="32"/>
          <w:szCs w:val="32"/>
          <w:lang w:val="en-US" w:eastAsia="zh-CN" w:bidi="ar"/>
        </w:rPr>
        <w:t>到期日、预期收益率和特殊权利条款等基本要素应与存量资产支持证券保持一致。</w:t>
      </w:r>
    </w:p>
    <w:p>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计划管理人确需变更资产支持证券基本要素的，应当经持有人会议审议或者履行其他规定程序。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资产支持证券启动扩募发行前，计划管理人应当召开持有人会议对资产支持证券扩募发行事项进行审议，按本所业务规则的规定向本所提交相关申请材料。</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计划管理人应当参照“（一）</w:t>
      </w:r>
      <w:r>
        <w:rPr>
          <w:rFonts w:hint="eastAsia" w:ascii="仿宋" w:hAnsi="仿宋" w:eastAsia="仿宋" w:cs="仿宋"/>
          <w:b w:val="0"/>
          <w:bCs w:val="0"/>
          <w:kern w:val="2"/>
          <w:sz w:val="32"/>
          <w:szCs w:val="32"/>
        </w:rPr>
        <w:t>资产支持证券</w:t>
      </w:r>
      <w:r>
        <w:rPr>
          <w:rFonts w:hint="eastAsia" w:ascii="仿宋" w:hAnsi="仿宋" w:eastAsia="仿宋" w:cs="仿宋"/>
          <w:kern w:val="2"/>
          <w:sz w:val="32"/>
          <w:szCs w:val="32"/>
          <w:lang w:val="en-US" w:eastAsia="zh-CN" w:bidi="ar"/>
        </w:rPr>
        <w:t>网下发行流程”完成发行备案、按要求履行发行信息披露义务并组织发行。</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资产支持证券扩募发行的发行定价方式应当</w:t>
      </w:r>
      <w:r>
        <w:rPr>
          <w:rFonts w:hint="eastAsia" w:ascii="仿宋" w:hAnsi="仿宋" w:eastAsia="仿宋" w:cs="仿宋"/>
          <w:i w:val="0"/>
          <w:caps w:val="0"/>
          <w:color w:val="auto"/>
          <w:spacing w:val="0"/>
          <w:sz w:val="32"/>
          <w:szCs w:val="32"/>
          <w:shd w:val="clear" w:fill="FFFFFF"/>
        </w:rPr>
        <w:t>以询价等市场化方式确定续发行的发行价格。</w:t>
      </w:r>
      <w:r>
        <w:rPr>
          <w:rFonts w:hint="eastAsia" w:ascii="仿宋" w:hAnsi="仿宋" w:eastAsia="仿宋" w:cs="仿宋"/>
          <w:kern w:val="2"/>
          <w:sz w:val="32"/>
          <w:szCs w:val="32"/>
          <w:lang w:val="en-US" w:eastAsia="zh-CN" w:bidi="ar"/>
        </w:rPr>
        <w:t>计划管理人应当在发行公告文件中详细披露发行价格的确定原则和确定方式。</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计划管理人应当在簿记建档、协议定价结束后当日披露发行价格公告，发行价格公告中应当明确当期扩募发行的发行价格。</w:t>
      </w:r>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kern w:val="2"/>
          <w:sz w:val="32"/>
          <w:szCs w:val="32"/>
        </w:rPr>
      </w:pPr>
      <w:r>
        <w:rPr>
          <w:rFonts w:hint="eastAsia" w:ascii="仿宋" w:hAnsi="仿宋" w:eastAsia="仿宋" w:cs="仿宋"/>
          <w:sz w:val="32"/>
          <w:szCs w:val="32"/>
        </w:rPr>
        <w:t>拟采取簿记建档方式</w:t>
      </w:r>
      <w:r>
        <w:rPr>
          <w:rFonts w:hint="eastAsia" w:ascii="仿宋" w:hAnsi="仿宋" w:eastAsia="仿宋" w:cs="仿宋"/>
          <w:sz w:val="32"/>
          <w:szCs w:val="32"/>
          <w:lang w:eastAsia="zh-CN"/>
        </w:rPr>
        <w:t>扩募发行</w:t>
      </w:r>
      <w:r>
        <w:rPr>
          <w:rFonts w:hint="eastAsia" w:ascii="仿宋" w:hAnsi="仿宋" w:eastAsia="仿宋" w:cs="仿宋"/>
          <w:sz w:val="32"/>
          <w:szCs w:val="32"/>
        </w:rPr>
        <w:t>的，则簿记建档开始时间原则上不早于簿记建档当日15:30。确有必要的，</w:t>
      </w:r>
      <w:r>
        <w:rPr>
          <w:rFonts w:hint="eastAsia" w:ascii="仿宋" w:hAnsi="仿宋" w:eastAsia="仿宋" w:cs="仿宋"/>
          <w:sz w:val="32"/>
          <w:szCs w:val="32"/>
          <w:lang w:eastAsia="zh-CN"/>
        </w:rPr>
        <w:t>扩募发行</w:t>
      </w:r>
      <w:r>
        <w:rPr>
          <w:rFonts w:hint="eastAsia" w:ascii="仿宋" w:hAnsi="仿宋" w:eastAsia="仿宋" w:cs="仿宋"/>
          <w:sz w:val="32"/>
          <w:szCs w:val="32"/>
        </w:rPr>
        <w:t>期间</w:t>
      </w:r>
      <w:r>
        <w:rPr>
          <w:rFonts w:hint="eastAsia" w:ascii="仿宋" w:hAnsi="仿宋" w:eastAsia="仿宋" w:cs="仿宋"/>
          <w:sz w:val="32"/>
          <w:szCs w:val="32"/>
          <w:lang w:eastAsia="zh-CN"/>
        </w:rPr>
        <w:t>计划管理人</w:t>
      </w:r>
      <w:r>
        <w:rPr>
          <w:rFonts w:hint="eastAsia" w:ascii="仿宋" w:hAnsi="仿宋" w:eastAsia="仿宋" w:cs="仿宋"/>
          <w:sz w:val="32"/>
          <w:szCs w:val="32"/>
        </w:rPr>
        <w:t>可以按照本所相关规定申请存量</w:t>
      </w:r>
      <w:r>
        <w:rPr>
          <w:rFonts w:hint="eastAsia" w:ascii="仿宋" w:hAnsi="仿宋" w:eastAsia="仿宋" w:cs="仿宋"/>
          <w:sz w:val="32"/>
          <w:szCs w:val="32"/>
          <w:lang w:eastAsia="zh-CN"/>
        </w:rPr>
        <w:t>资产支持证券</w:t>
      </w:r>
      <w:r>
        <w:rPr>
          <w:rFonts w:hint="eastAsia" w:ascii="仿宋" w:hAnsi="仿宋" w:eastAsia="仿宋" w:cs="仿宋"/>
          <w:sz w:val="32"/>
          <w:szCs w:val="32"/>
        </w:rPr>
        <w:t>停牌。</w:t>
      </w:r>
    </w:p>
    <w:p>
      <w:pPr>
        <w:widowControl/>
        <w:adjustRightInd w:val="0"/>
        <w:snapToGrid w:val="0"/>
        <w:ind w:firstLine="600"/>
        <w:jc w:val="left"/>
        <w:rPr>
          <w:rFonts w:hint="eastAsia" w:ascii="仿宋" w:hAnsi="仿宋" w:eastAsia="仿宋" w:cs="仿宋"/>
          <w:sz w:val="32"/>
          <w:szCs w:val="32"/>
        </w:rPr>
      </w:pPr>
    </w:p>
    <w:p>
      <w:pPr>
        <w:pStyle w:val="2"/>
        <w:keepNext w:val="0"/>
        <w:keepLines w:val="0"/>
        <w:adjustRightInd w:val="0"/>
        <w:snapToGrid w:val="0"/>
        <w:spacing w:before="156" w:beforeLines="50" w:after="156" w:afterLines="50" w:line="560" w:lineRule="exact"/>
        <w:jc w:val="center"/>
        <w:outlineLvl w:val="9"/>
        <w:rPr>
          <w:rFonts w:hint="eastAsia" w:ascii="仿宋" w:hAnsi="仿宋" w:eastAsia="仿宋" w:cs="仿宋"/>
          <w:kern w:val="2"/>
          <w:sz w:val="32"/>
          <w:szCs w:val="32"/>
          <w:lang w:bidi="ar"/>
        </w:rPr>
        <w:sectPr>
          <w:footerReference r:id="rId8" w:type="default"/>
          <w:pgSz w:w="11906" w:h="16838"/>
          <w:pgMar w:top="1440" w:right="1800" w:bottom="1440" w:left="1800" w:header="851" w:footer="992" w:gutter="0"/>
          <w:pgNumType w:fmt="decimal" w:start="1"/>
          <w:cols w:space="720" w:num="1"/>
          <w:formProt w:val="1"/>
          <w:docGrid w:type="lines" w:linePitch="312" w:charSpace="0"/>
        </w:sectPr>
      </w:pPr>
      <w:bookmarkStart w:id="356" w:name="_Toc31230"/>
      <w:bookmarkStart w:id="357" w:name="_Toc9980"/>
    </w:p>
    <w:p>
      <w:pPr>
        <w:pStyle w:val="2"/>
        <w:keepNext w:val="0"/>
        <w:keepLines w:val="0"/>
        <w:adjustRightInd w:val="0"/>
        <w:snapToGrid w:val="0"/>
        <w:spacing w:before="0" w:beforeLines="0" w:after="156" w:afterLines="50" w:line="240" w:lineRule="auto"/>
        <w:jc w:val="center"/>
        <w:rPr>
          <w:rFonts w:hint="eastAsia" w:ascii="黑体" w:hAnsi="黑体" w:eastAsia="黑体" w:cs="黑体"/>
          <w:kern w:val="2"/>
          <w:sz w:val="32"/>
          <w:szCs w:val="32"/>
          <w:lang w:bidi="ar"/>
        </w:rPr>
      </w:pPr>
      <w:bookmarkStart w:id="358" w:name="_Toc1408477841"/>
      <w:bookmarkStart w:id="359" w:name="_Toc16145"/>
      <w:bookmarkStart w:id="360" w:name="_Toc9892"/>
      <w:bookmarkStart w:id="361" w:name="_Toc1794938644"/>
      <w:bookmarkStart w:id="362" w:name="_Toc20915"/>
      <w:bookmarkStart w:id="363" w:name="_Toc9517"/>
      <w:bookmarkStart w:id="364" w:name="_Toc19660"/>
      <w:bookmarkStart w:id="365" w:name="_Toc10900"/>
      <w:bookmarkStart w:id="366" w:name="_Toc15637"/>
      <w:bookmarkStart w:id="367" w:name="_Toc14464"/>
      <w:bookmarkStart w:id="368" w:name="_Toc26514"/>
      <w:r>
        <w:rPr>
          <w:rFonts w:hint="eastAsia" w:ascii="黑体" w:hAnsi="黑体" w:eastAsia="黑体" w:cs="黑体"/>
          <w:kern w:val="2"/>
          <w:sz w:val="32"/>
          <w:szCs w:val="32"/>
          <w:lang w:bidi="ar"/>
        </w:rPr>
        <w:t>第</w:t>
      </w:r>
      <w:r>
        <w:rPr>
          <w:rFonts w:hint="eastAsia" w:ascii="黑体" w:hAnsi="黑体" w:eastAsia="黑体" w:cs="黑体"/>
          <w:kern w:val="2"/>
          <w:sz w:val="32"/>
          <w:szCs w:val="32"/>
          <w:lang w:eastAsia="zh" w:bidi="ar"/>
        </w:rPr>
        <w:t>六</w:t>
      </w:r>
      <w:r>
        <w:rPr>
          <w:rFonts w:hint="eastAsia" w:ascii="黑体" w:hAnsi="黑体" w:eastAsia="黑体" w:cs="黑体"/>
          <w:kern w:val="2"/>
          <w:sz w:val="32"/>
          <w:szCs w:val="32"/>
          <w:lang w:bidi="ar"/>
        </w:rPr>
        <w:t>章 资产支持证券登记与挂牌业务</w:t>
      </w:r>
      <w:bookmarkEnd w:id="356"/>
      <w:bookmarkEnd w:id="357"/>
      <w:bookmarkEnd w:id="358"/>
      <w:bookmarkEnd w:id="359"/>
      <w:bookmarkEnd w:id="360"/>
      <w:bookmarkEnd w:id="361"/>
      <w:bookmarkEnd w:id="362"/>
      <w:bookmarkEnd w:id="363"/>
      <w:bookmarkEnd w:id="364"/>
      <w:bookmarkEnd w:id="365"/>
      <w:bookmarkEnd w:id="366"/>
      <w:bookmarkEnd w:id="367"/>
      <w:bookmarkEnd w:id="368"/>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本所和中国结算深圳分公司共同提供资产支持证券登记、挂牌申请文件一站式递交服务。本所统一受理登记、挂牌申请电子化申报。</w:t>
      </w:r>
    </w:p>
    <w:p>
      <w:pPr>
        <w:adjustRightInd w:val="0"/>
        <w:snapToGrid w:val="0"/>
        <w:spacing w:line="560" w:lineRule="exact"/>
        <w:ind w:firstLine="640" w:firstLineChars="200"/>
        <w:outlineLvl w:val="1"/>
        <w:rPr>
          <w:rFonts w:hint="eastAsia" w:ascii="楷体" w:hAnsi="楷体" w:eastAsia="楷体" w:cs="楷体"/>
          <w:bCs/>
          <w:sz w:val="32"/>
          <w:szCs w:val="32"/>
          <w:lang w:bidi="ar"/>
        </w:rPr>
      </w:pPr>
      <w:bookmarkStart w:id="369" w:name="_Toc20826"/>
      <w:bookmarkStart w:id="370" w:name="_Toc28096"/>
      <w:bookmarkStart w:id="371" w:name="_Toc11040"/>
      <w:bookmarkStart w:id="372" w:name="_Toc6201"/>
      <w:bookmarkStart w:id="373" w:name="_Toc617111615"/>
      <w:bookmarkStart w:id="374" w:name="_Toc200349304"/>
      <w:bookmarkStart w:id="375" w:name="_Toc28438"/>
      <w:bookmarkStart w:id="376" w:name="_Toc10808"/>
      <w:bookmarkStart w:id="377" w:name="_Toc9655"/>
      <w:bookmarkStart w:id="378" w:name="_Toc26292"/>
      <w:bookmarkStart w:id="379" w:name="_Toc8707"/>
      <w:bookmarkStart w:id="380" w:name="_Toc13161"/>
      <w:bookmarkStart w:id="381" w:name="_Toc2451"/>
      <w:r>
        <w:rPr>
          <w:rFonts w:hint="eastAsia" w:ascii="楷体" w:hAnsi="楷体" w:eastAsia="楷体" w:cs="楷体"/>
          <w:bCs/>
          <w:sz w:val="32"/>
          <w:szCs w:val="32"/>
          <w:lang w:bidi="ar"/>
        </w:rPr>
        <w:t>一、登记挂牌申请文件</w:t>
      </w:r>
      <w:bookmarkEnd w:id="369"/>
      <w:bookmarkEnd w:id="370"/>
      <w:bookmarkEnd w:id="371"/>
      <w:bookmarkEnd w:id="372"/>
      <w:bookmarkEnd w:id="373"/>
      <w:bookmarkEnd w:id="374"/>
      <w:bookmarkEnd w:id="375"/>
      <w:bookmarkEnd w:id="376"/>
      <w:bookmarkEnd w:id="377"/>
      <w:bookmarkEnd w:id="378"/>
      <w:bookmarkEnd w:id="379"/>
      <w:bookmarkEnd w:id="380"/>
      <w:bookmarkEnd w:id="381"/>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计划管理人应当于专项计划设立后次日，通过固收专区提交资产支持证券初始登记申请和挂牌申请。</w:t>
      </w:r>
    </w:p>
    <w:p>
      <w:pPr>
        <w:adjustRightInd w:val="0"/>
        <w:snapToGrid w:val="0"/>
        <w:spacing w:line="560" w:lineRule="exact"/>
        <w:ind w:firstLine="643" w:firstLineChars="200"/>
        <w:outlineLvl w:val="2"/>
        <w:rPr>
          <w:rFonts w:ascii="仿宋" w:hAnsi="仿宋" w:eastAsia="仿宋" w:cs="仿宋"/>
          <w:b/>
          <w:bCs/>
          <w:sz w:val="32"/>
          <w:szCs w:val="32"/>
          <w:lang w:bidi="ar"/>
        </w:rPr>
      </w:pPr>
      <w:r>
        <w:rPr>
          <w:rFonts w:ascii="仿宋" w:hAnsi="仿宋" w:eastAsia="仿宋" w:cs="仿宋"/>
          <w:b/>
          <w:bCs/>
          <w:sz w:val="32"/>
          <w:szCs w:val="32"/>
          <w:lang w:bidi="ar"/>
        </w:rPr>
        <w:t>1.</w:t>
      </w:r>
      <w:r>
        <w:rPr>
          <w:rFonts w:hint="eastAsia" w:ascii="仿宋" w:hAnsi="仿宋" w:eastAsia="仿宋" w:cs="仿宋"/>
          <w:b/>
          <w:bCs/>
          <w:sz w:val="32"/>
          <w:szCs w:val="32"/>
          <w:lang w:eastAsia="zh-CN" w:bidi="ar"/>
        </w:rPr>
        <w:t>资产支持证券</w:t>
      </w:r>
      <w:r>
        <w:rPr>
          <w:rFonts w:ascii="仿宋" w:hAnsi="仿宋" w:eastAsia="仿宋" w:cs="仿宋"/>
          <w:b/>
          <w:bCs/>
          <w:sz w:val="32"/>
          <w:szCs w:val="32"/>
          <w:lang w:bidi="ar"/>
        </w:rPr>
        <w:t>初始登记申请文件包括</w:t>
      </w:r>
      <w:r>
        <w:rPr>
          <w:rFonts w:hint="eastAsia" w:ascii="仿宋" w:hAnsi="仿宋" w:eastAsia="仿宋" w:cs="仿宋"/>
          <w:b/>
          <w:bCs/>
          <w:sz w:val="32"/>
          <w:szCs w:val="32"/>
          <w:lang w:eastAsia="zh-CN"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（1）计划说明书；</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（2）法人营业执照；</w:t>
      </w:r>
    </w:p>
    <w:p>
      <w:pPr>
        <w:adjustRightInd w:val="0"/>
        <w:snapToGrid w:val="0"/>
        <w:spacing w:line="560" w:lineRule="exact"/>
        <w:ind w:firstLine="640" w:firstLineChars="200"/>
        <w:rPr>
          <w:rFonts w:ascii="仿宋" w:hAnsi="仿宋" w:eastAsia="仿宋" w:cs="仿宋"/>
          <w:sz w:val="32"/>
          <w:szCs w:val="32"/>
          <w:lang w:bidi="ar"/>
        </w:rPr>
      </w:pPr>
      <w:r>
        <w:rPr>
          <w:rFonts w:hint="default" w:ascii="仿宋" w:hAnsi="仿宋" w:eastAsia="仿宋" w:cs="仿宋"/>
          <w:sz w:val="32"/>
          <w:szCs w:val="32"/>
          <w:lang w:eastAsia="zh" w:bidi="ar"/>
        </w:rPr>
        <w:t>（3</w:t>
      </w:r>
      <w:r>
        <w:rPr>
          <w:rFonts w:ascii="仿宋" w:hAnsi="仿宋" w:eastAsia="仿宋" w:cs="仿宋"/>
          <w:sz w:val="32"/>
          <w:szCs w:val="32"/>
          <w:lang w:bidi="ar"/>
        </w:rPr>
        <w:t>）</w:t>
      </w:r>
      <w:r>
        <w:rPr>
          <w:rFonts w:hint="eastAsia" w:ascii="仿宋" w:hAnsi="仿宋" w:eastAsia="仿宋" w:cs="仿宋"/>
          <w:sz w:val="32"/>
          <w:szCs w:val="32"/>
          <w:lang w:bidi="ar"/>
        </w:rPr>
        <w:t>网下发行登记数据（以证券代码命名，</w:t>
      </w:r>
      <w:r>
        <w:rPr>
          <w:rFonts w:ascii="仿宋" w:hAnsi="仿宋" w:eastAsia="仿宋" w:cs="仿宋"/>
          <w:sz w:val="32"/>
          <w:szCs w:val="32"/>
          <w:lang w:bidi="ar"/>
        </w:rPr>
        <w:t>******.xlsx</w:t>
      </w:r>
      <w:r>
        <w:rPr>
          <w:rFonts w:hint="eastAsia" w:ascii="仿宋" w:hAnsi="仿宋" w:eastAsia="仿宋" w:cs="仿宋"/>
          <w:sz w:val="32"/>
          <w:szCs w:val="32"/>
          <w:lang w:bidi="ar"/>
        </w:rPr>
        <w:t>）（可在“固定收益品种业务专区-</w:t>
      </w:r>
      <w:r>
        <w:rPr>
          <w:rFonts w:hint="eastAsia" w:ascii="仿宋" w:hAnsi="仿宋" w:eastAsia="仿宋" w:cs="仿宋"/>
          <w:sz w:val="32"/>
          <w:szCs w:val="32"/>
          <w:lang w:eastAsia="zh-CN" w:bidi="ar"/>
        </w:rPr>
        <w:t>综合业务</w:t>
      </w:r>
      <w:r>
        <w:rPr>
          <w:rFonts w:hint="eastAsia" w:ascii="仿宋" w:hAnsi="仿宋" w:eastAsia="仿宋" w:cs="仿宋"/>
          <w:sz w:val="32"/>
          <w:szCs w:val="32"/>
          <w:lang w:val="en-US" w:eastAsia="zh-CN" w:bidi="ar"/>
        </w:rPr>
        <w:t>-</w:t>
      </w:r>
      <w:r>
        <w:rPr>
          <w:rFonts w:hint="eastAsia" w:ascii="仿宋" w:hAnsi="仿宋" w:eastAsia="仿宋" w:cs="仿宋"/>
          <w:sz w:val="32"/>
          <w:szCs w:val="32"/>
          <w:lang w:bidi="ar"/>
        </w:rPr>
        <w:t>模板下载”中下载）；</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（4）银行流水单或验资报告；</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（5）收款证明及责任承诺（附件</w:t>
      </w:r>
      <w:r>
        <w:rPr>
          <w:rFonts w:hint="eastAsia" w:ascii="仿宋" w:hAnsi="仿宋" w:eastAsia="仿宋" w:cs="仿宋"/>
          <w:sz w:val="32"/>
          <w:szCs w:val="32"/>
          <w:lang w:val="en-US" w:eastAsia="zh-CN" w:bidi="ar"/>
        </w:rPr>
        <w:t>30</w:t>
      </w:r>
      <w:r>
        <w:rPr>
          <w:rFonts w:ascii="仿宋" w:hAnsi="仿宋" w:eastAsia="仿宋" w:cs="仿宋"/>
          <w:sz w:val="32"/>
          <w:szCs w:val="32"/>
          <w:lang w:bidi="ar"/>
        </w:rPr>
        <w:t>，如提交验资报告则无需提交本项）；</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（6）证券登记及服务协议（可通过中国结算网站下载）；</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（7）授权委托书及指定联络人身份证（附件</w:t>
      </w:r>
      <w:r>
        <w:rPr>
          <w:rFonts w:hint="eastAsia" w:ascii="仿宋" w:hAnsi="仿宋" w:eastAsia="仿宋" w:cs="仿宋"/>
          <w:sz w:val="32"/>
          <w:szCs w:val="32"/>
          <w:lang w:val="en-US" w:eastAsia="zh-CN" w:bidi="ar"/>
        </w:rPr>
        <w:t>10</w:t>
      </w:r>
      <w:r>
        <w:rPr>
          <w:rFonts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w:t>
      </w:r>
      <w:r>
        <w:rPr>
          <w:rFonts w:hint="eastAsia" w:ascii="仿宋" w:hAnsi="仿宋" w:eastAsia="仿宋" w:cs="仿宋"/>
          <w:sz w:val="32"/>
          <w:szCs w:val="32"/>
          <w:lang w:eastAsia="zh" w:bidi="ar"/>
        </w:rPr>
        <w:t>8</w:t>
      </w:r>
      <w:r>
        <w:rPr>
          <w:rFonts w:ascii="仿宋" w:hAnsi="仿宋" w:eastAsia="仿宋" w:cs="仿宋"/>
          <w:sz w:val="32"/>
          <w:szCs w:val="32"/>
          <w:lang w:bidi="ar"/>
        </w:rPr>
        <w:t>）本所出具的无异议函；</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w:t>
      </w:r>
      <w:r>
        <w:rPr>
          <w:rFonts w:hint="eastAsia" w:ascii="仿宋" w:hAnsi="仿宋" w:eastAsia="仿宋" w:cs="仿宋"/>
          <w:sz w:val="32"/>
          <w:szCs w:val="32"/>
          <w:lang w:val="en-US" w:eastAsia="zh-CN" w:bidi="ar"/>
        </w:rPr>
        <w:t>9</w:t>
      </w:r>
      <w:r>
        <w:rPr>
          <w:rFonts w:hint="eastAsia" w:ascii="仿宋" w:hAnsi="仿宋" w:eastAsia="仿宋" w:cs="仿宋"/>
          <w:sz w:val="32"/>
          <w:szCs w:val="32"/>
          <w:lang w:eastAsia="zh" w:bidi="ar"/>
        </w:rPr>
        <w:t>）</w:t>
      </w:r>
      <w:r>
        <w:rPr>
          <w:rFonts w:ascii="仿宋" w:hAnsi="仿宋" w:eastAsia="仿宋" w:cs="仿宋"/>
          <w:sz w:val="32"/>
          <w:szCs w:val="32"/>
          <w:lang w:bidi="ar"/>
        </w:rPr>
        <w:t>网下发行登记数据--签字版（以证券代码命名，******.pdf);</w:t>
      </w:r>
    </w:p>
    <w:p>
      <w:pPr>
        <w:adjustRightInd w:val="0"/>
        <w:snapToGrid w:val="0"/>
        <w:spacing w:line="560" w:lineRule="exact"/>
        <w:ind w:firstLine="640" w:firstLineChars="200"/>
        <w:rPr>
          <w:rFonts w:hint="eastAsia" w:ascii="仿宋" w:hAnsi="仿宋" w:eastAsia="仿宋" w:cs="仿宋"/>
          <w:sz w:val="32"/>
          <w:szCs w:val="32"/>
          <w:lang w:eastAsia="zh-CN" w:bidi="ar"/>
        </w:rPr>
      </w:pPr>
      <w:r>
        <w:rPr>
          <w:rFonts w:hint="eastAsia" w:ascii="仿宋" w:hAnsi="仿宋" w:eastAsia="仿宋" w:cs="仿宋"/>
          <w:sz w:val="32"/>
          <w:szCs w:val="32"/>
          <w:lang w:eastAsia="zh" w:bidi="ar"/>
        </w:rPr>
        <w:t>（1</w:t>
      </w:r>
      <w:r>
        <w:rPr>
          <w:rFonts w:hint="eastAsia" w:ascii="仿宋" w:hAnsi="仿宋" w:eastAsia="仿宋" w:cs="仿宋"/>
          <w:sz w:val="32"/>
          <w:szCs w:val="32"/>
          <w:lang w:val="en-US" w:eastAsia="zh-CN" w:bidi="ar"/>
        </w:rPr>
        <w:t>0</w:t>
      </w:r>
      <w:r>
        <w:rPr>
          <w:rFonts w:hint="eastAsia" w:ascii="仿宋" w:hAnsi="仿宋" w:eastAsia="仿宋" w:cs="仿宋"/>
          <w:sz w:val="32"/>
          <w:szCs w:val="32"/>
          <w:lang w:eastAsia="zh" w:bidi="ar"/>
        </w:rPr>
        <w:t>）</w:t>
      </w:r>
      <w:r>
        <w:rPr>
          <w:rFonts w:ascii="仿宋" w:hAnsi="仿宋" w:eastAsia="仿宋" w:cs="仿宋"/>
          <w:sz w:val="32"/>
          <w:szCs w:val="32"/>
          <w:lang w:bidi="ar"/>
        </w:rPr>
        <w:t>中国结算要求的其他登记申请文件</w:t>
      </w:r>
      <w:r>
        <w:rPr>
          <w:rFonts w:hint="eastAsia" w:ascii="仿宋" w:hAnsi="仿宋" w:eastAsia="仿宋" w:cs="仿宋"/>
          <w:sz w:val="32"/>
          <w:szCs w:val="32"/>
          <w:lang w:eastAsia="zh-CN" w:bidi="ar"/>
        </w:rPr>
        <w:t>；</w:t>
      </w:r>
    </w:p>
    <w:p>
      <w:pPr>
        <w:numPr>
          <w:ilvl w:val="-1"/>
          <w:numId w:val="0"/>
        </w:num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11</w:t>
      </w:r>
      <w:r>
        <w:rPr>
          <w:rFonts w:hint="eastAsia" w:ascii="仿宋" w:hAnsi="仿宋" w:eastAsia="仿宋" w:cs="仿宋"/>
          <w:sz w:val="32"/>
          <w:szCs w:val="32"/>
          <w:lang w:eastAsia="zh-CN" w:bidi="ar"/>
        </w:rPr>
        <w:t>）本所要求的其他文件</w:t>
      </w:r>
      <w:r>
        <w:rPr>
          <w:rFonts w:ascii="仿宋" w:hAnsi="仿宋" w:eastAsia="仿宋" w:cs="仿宋"/>
          <w:sz w:val="32"/>
          <w:szCs w:val="32"/>
          <w:lang w:bidi="ar"/>
        </w:rPr>
        <w:t>。</w:t>
      </w:r>
    </w:p>
    <w:p>
      <w:pPr>
        <w:numPr>
          <w:ilvl w:val="-1"/>
          <w:numId w:val="0"/>
        </w:numPr>
        <w:adjustRightInd w:val="0"/>
        <w:snapToGrid w:val="0"/>
        <w:spacing w:line="560" w:lineRule="exact"/>
        <w:ind w:firstLine="643" w:firstLineChars="200"/>
        <w:outlineLvl w:val="2"/>
        <w:rPr>
          <w:rFonts w:ascii="仿宋" w:hAnsi="仿宋" w:eastAsia="仿宋" w:cs="仿宋"/>
          <w:b/>
          <w:bCs/>
          <w:sz w:val="32"/>
          <w:szCs w:val="32"/>
          <w:lang w:bidi="ar"/>
        </w:rPr>
      </w:pPr>
      <w:r>
        <w:rPr>
          <w:rFonts w:hint="eastAsia" w:ascii="仿宋" w:hAnsi="仿宋" w:eastAsia="仿宋" w:cs="仿宋"/>
          <w:b/>
          <w:bCs/>
          <w:color w:val="auto"/>
          <w:sz w:val="32"/>
          <w:szCs w:val="32"/>
          <w:shd w:val="clear" w:fill="auto"/>
          <w:lang w:val="en-US" w:eastAsia="zh-CN" w:bidi="ar"/>
        </w:rPr>
        <w:t>2.</w:t>
      </w:r>
      <w:r>
        <w:rPr>
          <w:rFonts w:ascii="仿宋" w:hAnsi="仿宋" w:eastAsia="仿宋" w:cs="仿宋"/>
          <w:b/>
          <w:bCs/>
          <w:color w:val="auto"/>
          <w:sz w:val="32"/>
          <w:szCs w:val="32"/>
          <w:shd w:val="clear" w:fill="auto"/>
          <w:lang w:bidi="ar"/>
        </w:rPr>
        <w:t>资产支持证券挂牌申请文件包括</w:t>
      </w:r>
      <w:r>
        <w:rPr>
          <w:rFonts w:ascii="仿宋" w:hAnsi="仿宋" w:eastAsia="仿宋" w:cs="仿宋"/>
          <w:b/>
          <w:bCs/>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（1）资产支持专项计划成立公告（附件</w:t>
      </w:r>
      <w:r>
        <w:rPr>
          <w:rFonts w:hint="eastAsia" w:ascii="仿宋" w:hAnsi="仿宋" w:eastAsia="仿宋" w:cs="仿宋"/>
          <w:sz w:val="32"/>
          <w:szCs w:val="32"/>
          <w:lang w:val="en-US" w:eastAsia="zh-CN" w:bidi="ar"/>
        </w:rPr>
        <w:t>29</w:t>
      </w:r>
      <w:r>
        <w:rPr>
          <w:rFonts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（2）资产支持证券挂牌转让信息申报表（附件</w:t>
      </w:r>
      <w:r>
        <w:rPr>
          <w:rFonts w:hint="eastAsia" w:ascii="仿宋" w:hAnsi="仿宋" w:eastAsia="仿宋" w:cs="仿宋"/>
          <w:sz w:val="32"/>
          <w:szCs w:val="32"/>
          <w:lang w:val="en-US" w:eastAsia="zh-CN" w:bidi="ar"/>
        </w:rPr>
        <w:t>26</w:t>
      </w:r>
      <w:r>
        <w:rPr>
          <w:rFonts w:ascii="仿宋" w:hAnsi="仿宋" w:eastAsia="仿宋" w:cs="仿宋"/>
          <w:sz w:val="32"/>
          <w:szCs w:val="32"/>
          <w:lang w:bidi="ar"/>
        </w:rPr>
        <w:t>，盖章版及excel版）；</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（3）银行流水单或验资报告；</w:t>
      </w:r>
    </w:p>
    <w:p>
      <w:pPr>
        <w:adjustRightInd w:val="0"/>
        <w:snapToGrid w:val="0"/>
        <w:spacing w:line="560" w:lineRule="exact"/>
        <w:ind w:firstLine="0" w:firstLineChars="0"/>
        <w:rPr>
          <w:rFonts w:ascii="仿宋" w:hAnsi="仿宋" w:eastAsia="仿宋" w:cs="仿宋"/>
          <w:sz w:val="32"/>
          <w:szCs w:val="32"/>
          <w:lang w:bidi="ar"/>
        </w:rPr>
      </w:pPr>
      <w:r>
        <w:rPr>
          <w:rFonts w:hint="eastAsia" w:ascii="仿宋" w:hAnsi="仿宋" w:eastAsia="仿宋" w:cs="仿宋"/>
          <w:sz w:val="32"/>
          <w:szCs w:val="32"/>
          <w:lang w:val="en-US" w:eastAsia="zh-CN" w:bidi="ar"/>
        </w:rPr>
        <w:t xml:space="preserve">    </w:t>
      </w:r>
      <w:r>
        <w:rPr>
          <w:rFonts w:ascii="仿宋" w:hAnsi="仿宋" w:eastAsia="仿宋" w:cs="仿宋"/>
          <w:sz w:val="32"/>
          <w:szCs w:val="32"/>
          <w:lang w:bidi="ar"/>
        </w:rPr>
        <w:t>（</w:t>
      </w:r>
      <w:r>
        <w:rPr>
          <w:rFonts w:hint="eastAsia" w:ascii="仿宋" w:hAnsi="仿宋" w:eastAsia="仿宋" w:cs="仿宋"/>
          <w:sz w:val="32"/>
          <w:szCs w:val="32"/>
          <w:lang w:val="en-US" w:eastAsia="zh-CN" w:bidi="ar"/>
        </w:rPr>
        <w:t>4</w:t>
      </w:r>
      <w:r>
        <w:rPr>
          <w:rFonts w:ascii="仿宋" w:hAnsi="仿宋" w:eastAsia="仿宋" w:cs="仿宋"/>
          <w:sz w:val="32"/>
          <w:szCs w:val="32"/>
          <w:lang w:bidi="ar"/>
        </w:rPr>
        <w:t>）本所要求的其他文件。</w:t>
      </w:r>
    </w:p>
    <w:p>
      <w:pPr>
        <w:adjustRightInd w:val="0"/>
        <w:snapToGrid w:val="0"/>
        <w:spacing w:line="560" w:lineRule="exact"/>
        <w:ind w:firstLine="640" w:firstLineChars="200"/>
        <w:outlineLvl w:val="1"/>
        <w:rPr>
          <w:rFonts w:hint="eastAsia" w:ascii="楷体" w:hAnsi="楷体" w:eastAsia="楷体" w:cs="楷体"/>
          <w:bCs/>
          <w:sz w:val="32"/>
          <w:szCs w:val="32"/>
          <w:lang w:bidi="ar"/>
        </w:rPr>
      </w:pPr>
      <w:bookmarkStart w:id="382" w:name="_Toc23151"/>
      <w:bookmarkStart w:id="383" w:name="_Toc2812"/>
      <w:bookmarkStart w:id="384" w:name="_Toc18751"/>
      <w:bookmarkStart w:id="385" w:name="_Toc7996"/>
      <w:bookmarkStart w:id="386" w:name="_Toc1761443613"/>
      <w:bookmarkStart w:id="387" w:name="_Toc11893"/>
      <w:bookmarkStart w:id="388" w:name="_Toc14171"/>
      <w:bookmarkStart w:id="389" w:name="_Toc5950"/>
      <w:bookmarkStart w:id="390" w:name="_Toc919602012"/>
      <w:bookmarkStart w:id="391" w:name="_Toc17597"/>
      <w:bookmarkStart w:id="392" w:name="_Toc17248"/>
      <w:bookmarkStart w:id="393" w:name="_Toc16193"/>
      <w:bookmarkStart w:id="394" w:name="_Toc27541"/>
      <w:r>
        <w:rPr>
          <w:rFonts w:hint="eastAsia" w:ascii="楷体" w:hAnsi="楷体" w:eastAsia="楷体" w:cs="楷体"/>
          <w:bCs/>
          <w:sz w:val="32"/>
          <w:szCs w:val="32"/>
          <w:lang w:bidi="ar"/>
        </w:rPr>
        <w:t>二、登记挂牌办理流程</w:t>
      </w:r>
      <w:bookmarkEnd w:id="382"/>
      <w:bookmarkEnd w:id="383"/>
      <w:bookmarkEnd w:id="384"/>
      <w:bookmarkEnd w:id="385"/>
      <w:bookmarkEnd w:id="386"/>
      <w:bookmarkEnd w:id="387"/>
      <w:bookmarkEnd w:id="388"/>
      <w:bookmarkEnd w:id="389"/>
      <w:bookmarkEnd w:id="390"/>
      <w:bookmarkEnd w:id="391"/>
      <w:bookmarkEnd w:id="392"/>
      <w:bookmarkEnd w:id="393"/>
      <w:bookmarkEnd w:id="394"/>
    </w:p>
    <w:p>
      <w:pPr>
        <w:adjustRightInd w:val="0"/>
        <w:snapToGrid w:val="0"/>
        <w:spacing w:line="560" w:lineRule="exact"/>
        <w:ind w:firstLine="640" w:firstLineChars="200"/>
        <w:outlineLvl w:val="2"/>
        <w:rPr>
          <w:rFonts w:ascii="仿宋" w:hAnsi="仿宋" w:eastAsia="仿宋" w:cs="仿宋"/>
          <w:sz w:val="32"/>
          <w:szCs w:val="32"/>
          <w:lang w:bidi="ar"/>
        </w:rPr>
      </w:pPr>
      <w:bookmarkStart w:id="395" w:name="_Toc23903"/>
      <w:r>
        <w:rPr>
          <w:rFonts w:hint="eastAsia" w:ascii="仿宋" w:hAnsi="仿宋" w:eastAsia="仿宋" w:cs="仿宋"/>
          <w:sz w:val="32"/>
          <w:szCs w:val="32"/>
          <w:lang w:bidi="ar"/>
        </w:rPr>
        <w:t>（一）总体要求</w:t>
      </w:r>
      <w:bookmarkEnd w:id="395"/>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计划管理人应在专项计划设立后次日提交初始登记申请和挂牌申请。计划管理人应于无异议函有效期内向本所提交挂牌申请文件。</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计划管理人应在资产支持证券正式挂牌前，完成基金业协会备案流程。</w:t>
      </w:r>
    </w:p>
    <w:p>
      <w:pPr>
        <w:adjustRightInd w:val="0"/>
        <w:snapToGrid w:val="0"/>
        <w:spacing w:line="560" w:lineRule="exact"/>
        <w:ind w:firstLine="640" w:firstLineChars="200"/>
        <w:outlineLvl w:val="2"/>
        <w:rPr>
          <w:rFonts w:ascii="仿宋" w:hAnsi="仿宋" w:eastAsia="仿宋" w:cs="仿宋"/>
          <w:sz w:val="32"/>
          <w:szCs w:val="32"/>
          <w:lang w:bidi="ar"/>
        </w:rPr>
      </w:pPr>
      <w:bookmarkStart w:id="396" w:name="_Toc16225"/>
      <w:r>
        <w:rPr>
          <w:rFonts w:hint="eastAsia" w:ascii="仿宋" w:hAnsi="仿宋" w:eastAsia="仿宋" w:cs="仿宋"/>
          <w:sz w:val="32"/>
          <w:szCs w:val="32"/>
          <w:lang w:bidi="ar"/>
        </w:rPr>
        <w:t>（二）具体流程</w:t>
      </w:r>
      <w:bookmarkEnd w:id="396"/>
    </w:p>
    <w:p>
      <w:pPr>
        <w:adjustRightInd w:val="0"/>
        <w:snapToGrid w:val="0"/>
        <w:spacing w:line="560" w:lineRule="exact"/>
        <w:ind w:firstLine="643" w:firstLineChars="200"/>
        <w:rPr>
          <w:rFonts w:ascii="仿宋" w:hAnsi="仿宋" w:eastAsia="仿宋" w:cs="仿宋"/>
          <w:sz w:val="32"/>
          <w:szCs w:val="32"/>
          <w:lang w:bidi="ar"/>
        </w:rPr>
      </w:pPr>
      <w:r>
        <w:rPr>
          <w:rFonts w:ascii="仿宋" w:hAnsi="仿宋" w:eastAsia="仿宋" w:cs="仿宋"/>
          <w:b/>
          <w:bCs/>
          <w:sz w:val="32"/>
          <w:szCs w:val="32"/>
          <w:lang w:bidi="ar"/>
        </w:rPr>
        <w:t>专项计划设立后次日</w:t>
      </w:r>
      <w:r>
        <w:rPr>
          <w:rFonts w:ascii="仿宋" w:hAnsi="仿宋" w:eastAsia="仿宋" w:cs="仿宋"/>
          <w:sz w:val="32"/>
          <w:szCs w:val="32"/>
          <w:lang w:bidi="ar"/>
        </w:rPr>
        <w:t>，计划管理人通过固收专区“资产支持证券-初始登记申请”向本所提交初始登记申请，按登记申请界面的要求填写“选择证券”栏目内信息和经办人信息，并依次填写登记申请信息、登记明细、材料信息。</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本所将核对</w:t>
      </w:r>
      <w:r>
        <w:rPr>
          <w:rFonts w:hint="eastAsia" w:ascii="仿宋" w:hAnsi="仿宋" w:eastAsia="仿宋" w:cs="仿宋"/>
          <w:sz w:val="32"/>
          <w:szCs w:val="32"/>
          <w:lang w:bidi="ar"/>
        </w:rPr>
        <w:t>登记材料的齐备性。若登记材料需要调整的，请根据本所反馈意见进行补正；若无需补正或补正完成的，“材料信息”旁将显示“核验中”。中国结算核对登记明细后，“登记明细”旁将显示“核验通过”，并向</w:t>
      </w:r>
      <w:r>
        <w:rPr>
          <w:rFonts w:ascii="仿宋" w:hAnsi="仿宋" w:eastAsia="仿宋" w:cs="仿宋"/>
          <w:sz w:val="32"/>
          <w:szCs w:val="32"/>
          <w:lang w:bidi="ar"/>
        </w:rPr>
        <w:t>计划管理人</w:t>
      </w:r>
      <w:r>
        <w:rPr>
          <w:rFonts w:hint="eastAsia" w:ascii="仿宋" w:hAnsi="仿宋" w:eastAsia="仿宋" w:cs="仿宋"/>
          <w:sz w:val="32"/>
          <w:szCs w:val="32"/>
          <w:lang w:bidi="ar"/>
        </w:rPr>
        <w:t>经办人反馈登记明细校验结果</w:t>
      </w:r>
      <w:r>
        <w:rPr>
          <w:rFonts w:ascii="仿宋" w:hAnsi="仿宋" w:eastAsia="仿宋" w:cs="仿宋"/>
          <w:sz w:val="32"/>
          <w:szCs w:val="32"/>
          <w:lang w:bidi="ar"/>
        </w:rPr>
        <w:t>pdf</w:t>
      </w:r>
      <w:r>
        <w:rPr>
          <w:rFonts w:hint="eastAsia" w:ascii="仿宋" w:hAnsi="仿宋" w:eastAsia="仿宋" w:cs="仿宋"/>
          <w:sz w:val="32"/>
          <w:szCs w:val="32"/>
          <w:lang w:bidi="ar"/>
        </w:rPr>
        <w:t>。</w:t>
      </w:r>
      <w:r>
        <w:rPr>
          <w:rFonts w:ascii="仿宋" w:hAnsi="仿宋" w:eastAsia="仿宋" w:cs="仿宋"/>
          <w:sz w:val="32"/>
          <w:szCs w:val="32"/>
          <w:lang w:bidi="ar"/>
        </w:rPr>
        <w:t>计划管理人</w:t>
      </w:r>
      <w:r>
        <w:rPr>
          <w:rFonts w:hint="eastAsia" w:ascii="仿宋" w:hAnsi="仿宋" w:eastAsia="仿宋" w:cs="仿宋"/>
          <w:sz w:val="32"/>
          <w:szCs w:val="32"/>
          <w:lang w:bidi="ar"/>
        </w:rPr>
        <w:t>可在登记申请页面上方的“最新反馈”中查看本所反馈结果和相关反馈文件。</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如在</w:t>
      </w:r>
      <w:r>
        <w:rPr>
          <w:rFonts w:ascii="仿宋" w:hAnsi="仿宋" w:eastAsia="仿宋" w:cs="仿宋"/>
          <w:sz w:val="32"/>
          <w:szCs w:val="32"/>
          <w:lang w:bidi="ar"/>
        </w:rPr>
        <w:t>当</w:t>
      </w:r>
      <w:r>
        <w:rPr>
          <w:rFonts w:hint="eastAsia" w:ascii="仿宋" w:hAnsi="仿宋" w:eastAsia="仿宋" w:cs="仿宋"/>
          <w:sz w:val="32"/>
          <w:szCs w:val="32"/>
          <w:lang w:bidi="ar"/>
        </w:rPr>
        <w:t>日</w:t>
      </w:r>
      <w:r>
        <w:rPr>
          <w:rFonts w:ascii="仿宋" w:hAnsi="仿宋" w:eastAsia="仿宋" w:cs="仿宋"/>
          <w:sz w:val="32"/>
          <w:szCs w:val="32"/>
          <w:lang w:bidi="ar"/>
        </w:rPr>
        <w:t>12：00</w:t>
      </w:r>
      <w:r>
        <w:rPr>
          <w:rFonts w:hint="eastAsia" w:ascii="仿宋" w:hAnsi="仿宋" w:eastAsia="仿宋" w:cs="仿宋"/>
          <w:sz w:val="32"/>
          <w:szCs w:val="32"/>
          <w:lang w:bidi="ar"/>
        </w:rPr>
        <w:t>前提交登记申请，本所当日反馈材料；如在</w:t>
      </w:r>
      <w:r>
        <w:rPr>
          <w:rFonts w:ascii="仿宋" w:hAnsi="仿宋" w:eastAsia="仿宋" w:cs="仿宋"/>
          <w:sz w:val="32"/>
          <w:szCs w:val="32"/>
          <w:lang w:bidi="ar"/>
        </w:rPr>
        <w:t>12:00</w:t>
      </w:r>
      <w:r>
        <w:rPr>
          <w:rFonts w:hint="eastAsia" w:ascii="仿宋" w:hAnsi="仿宋" w:eastAsia="仿宋" w:cs="仿宋"/>
          <w:sz w:val="32"/>
          <w:szCs w:val="32"/>
          <w:lang w:bidi="ar"/>
        </w:rPr>
        <w:t>后提交的次日</w:t>
      </w:r>
      <w:r>
        <w:rPr>
          <w:rFonts w:ascii="仿宋" w:hAnsi="仿宋" w:eastAsia="仿宋" w:cs="仿宋"/>
          <w:sz w:val="32"/>
          <w:szCs w:val="32"/>
          <w:lang w:bidi="ar"/>
        </w:rPr>
        <w:t>12:00</w:t>
      </w:r>
      <w:r>
        <w:rPr>
          <w:rFonts w:hint="eastAsia" w:ascii="仿宋" w:hAnsi="仿宋" w:eastAsia="仿宋" w:cs="仿宋"/>
          <w:sz w:val="32"/>
          <w:szCs w:val="32"/>
          <w:lang w:bidi="ar"/>
        </w:rPr>
        <w:t>前反馈。</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本所材料信息审核通过且中国结算登记明细校验通过后，登记申请页面出现“确认《申报明细表》”按钮，该文件为最终的登记结果，为避免初始登记</w:t>
      </w:r>
      <w:r>
        <w:rPr>
          <w:rFonts w:ascii="仿宋" w:hAnsi="仿宋" w:eastAsia="仿宋" w:cs="仿宋"/>
          <w:sz w:val="32"/>
          <w:szCs w:val="32"/>
          <w:lang w:bidi="ar"/>
        </w:rPr>
        <w:t>出错</w:t>
      </w:r>
      <w:r>
        <w:rPr>
          <w:rFonts w:hint="eastAsia" w:ascii="仿宋" w:hAnsi="仿宋" w:eastAsia="仿宋" w:cs="仿宋"/>
          <w:sz w:val="32"/>
          <w:szCs w:val="32"/>
          <w:lang w:bidi="ar"/>
        </w:rPr>
        <w:t>，</w:t>
      </w:r>
      <w:r>
        <w:rPr>
          <w:rFonts w:ascii="仿宋" w:hAnsi="仿宋" w:eastAsia="仿宋" w:cs="仿宋"/>
          <w:sz w:val="32"/>
          <w:szCs w:val="32"/>
          <w:lang w:bidi="ar"/>
        </w:rPr>
        <w:t>计划管理人</w:t>
      </w:r>
      <w:r>
        <w:rPr>
          <w:rFonts w:hint="eastAsia" w:ascii="仿宋" w:hAnsi="仿宋" w:eastAsia="仿宋" w:cs="仿宋"/>
          <w:sz w:val="32"/>
          <w:szCs w:val="32"/>
          <w:lang w:bidi="ar"/>
        </w:rPr>
        <w:t>应当及时认真核对登记校验明细结果，如信息有误，可以修改证券登记明细数据和材料信息并重新提交和校验；确认无误后及时点击“确认《证券登记申报明细表》”。</w:t>
      </w:r>
      <w:r>
        <w:rPr>
          <w:rFonts w:ascii="仿宋" w:hAnsi="仿宋" w:eastAsia="仿宋" w:cs="仿宋"/>
          <w:sz w:val="32"/>
          <w:szCs w:val="32"/>
          <w:lang w:bidi="ar"/>
        </w:rPr>
        <w:t>计划管理人</w:t>
      </w:r>
      <w:r>
        <w:rPr>
          <w:rFonts w:hint="eastAsia" w:ascii="仿宋" w:hAnsi="仿宋" w:eastAsia="仿宋" w:cs="仿宋"/>
          <w:sz w:val="32"/>
          <w:szCs w:val="32"/>
          <w:lang w:bidi="ar"/>
        </w:rPr>
        <w:t>应当根据中国结算通知办理后续业务流程，及时办结登记流程。</w:t>
      </w:r>
      <w:r>
        <w:rPr>
          <w:rFonts w:ascii="仿宋" w:hAnsi="仿宋" w:eastAsia="仿宋" w:cs="仿宋"/>
          <w:sz w:val="32"/>
          <w:szCs w:val="32"/>
          <w:lang w:bidi="ar"/>
        </w:rPr>
        <w:t>证券</w:t>
      </w:r>
      <w:r>
        <w:rPr>
          <w:rFonts w:hint="eastAsia" w:ascii="仿宋" w:hAnsi="仿宋" w:eastAsia="仿宋" w:cs="仿宋"/>
          <w:sz w:val="32"/>
          <w:szCs w:val="32"/>
          <w:lang w:bidi="ar"/>
        </w:rPr>
        <w:t>登记成功后，本所安排</w:t>
      </w:r>
      <w:r>
        <w:rPr>
          <w:rFonts w:ascii="仿宋" w:hAnsi="仿宋" w:eastAsia="仿宋" w:cs="仿宋"/>
          <w:sz w:val="32"/>
          <w:szCs w:val="32"/>
          <w:lang w:bidi="ar"/>
        </w:rPr>
        <w:t>资产支持证券挂牌</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通常情况下，《证券登记申报明细表》一经确认</w:t>
      </w:r>
      <w:r>
        <w:rPr>
          <w:rFonts w:ascii="仿宋" w:hAnsi="仿宋" w:eastAsia="仿宋" w:cs="仿宋"/>
          <w:sz w:val="32"/>
          <w:szCs w:val="32"/>
          <w:lang w:bidi="ar"/>
        </w:rPr>
        <w:t>，</w:t>
      </w:r>
      <w:r>
        <w:rPr>
          <w:rFonts w:hint="eastAsia" w:ascii="仿宋" w:hAnsi="仿宋" w:eastAsia="仿宋" w:cs="仿宋"/>
          <w:sz w:val="32"/>
          <w:szCs w:val="32"/>
          <w:lang w:bidi="ar"/>
        </w:rPr>
        <w:t>股份将登记到账，相关信息无法修改，</w:t>
      </w:r>
      <w:r>
        <w:rPr>
          <w:rFonts w:ascii="仿宋" w:hAnsi="仿宋" w:eastAsia="仿宋" w:cs="仿宋"/>
          <w:sz w:val="32"/>
          <w:szCs w:val="32"/>
          <w:lang w:bidi="ar"/>
        </w:rPr>
        <w:t>计划管理人</w:t>
      </w:r>
      <w:r>
        <w:rPr>
          <w:rFonts w:hint="eastAsia" w:ascii="仿宋" w:hAnsi="仿宋" w:eastAsia="仿宋" w:cs="仿宋"/>
          <w:sz w:val="32"/>
          <w:szCs w:val="32"/>
          <w:lang w:bidi="ar"/>
        </w:rPr>
        <w:t>应认真核对。</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bidi="ar"/>
        </w:rPr>
        <w:t>登记材料不齐备，或者所提交材料不符合要求的，</w:t>
      </w:r>
      <w:r>
        <w:rPr>
          <w:rFonts w:ascii="仿宋" w:hAnsi="仿宋" w:eastAsia="仿宋" w:cs="仿宋"/>
          <w:sz w:val="32"/>
          <w:szCs w:val="32"/>
          <w:lang w:bidi="ar"/>
        </w:rPr>
        <w:t>计划管理人</w:t>
      </w:r>
      <w:r>
        <w:rPr>
          <w:rFonts w:hint="eastAsia" w:ascii="仿宋" w:hAnsi="仿宋" w:eastAsia="仿宋" w:cs="仿宋"/>
          <w:sz w:val="32"/>
          <w:szCs w:val="32"/>
          <w:lang w:bidi="ar"/>
        </w:rPr>
        <w:t>应按照本所或者中国结算深圳分公司的反馈意见进行补正，补正时间不计入办理流程所计算的交易日内。</w:t>
      </w:r>
    </w:p>
    <w:p>
      <w:pPr>
        <w:adjustRightInd w:val="0"/>
        <w:snapToGrid w:val="0"/>
        <w:spacing w:line="560" w:lineRule="exact"/>
        <w:ind w:firstLine="643" w:firstLineChars="200"/>
        <w:rPr>
          <w:rFonts w:ascii="仿宋" w:hAnsi="仿宋" w:eastAsia="仿宋" w:cs="仿宋"/>
          <w:sz w:val="32"/>
          <w:szCs w:val="32"/>
          <w:lang w:bidi="ar"/>
        </w:rPr>
      </w:pPr>
      <w:r>
        <w:rPr>
          <w:rFonts w:ascii="仿宋" w:hAnsi="仿宋" w:eastAsia="仿宋" w:cs="仿宋"/>
          <w:b/>
          <w:bCs/>
          <w:sz w:val="32"/>
          <w:szCs w:val="32"/>
          <w:lang w:bidi="ar"/>
        </w:rPr>
        <w:t>初始登记完成后</w:t>
      </w:r>
      <w:r>
        <w:rPr>
          <w:rFonts w:ascii="仿宋" w:hAnsi="仿宋" w:eastAsia="仿宋" w:cs="仿宋"/>
          <w:sz w:val="32"/>
          <w:szCs w:val="32"/>
          <w:lang w:bidi="ar"/>
        </w:rPr>
        <w:t>，计划管理人应与本所债券业务</w:t>
      </w:r>
      <w:r>
        <w:rPr>
          <w:rFonts w:hint="eastAsia" w:ascii="仿宋" w:hAnsi="仿宋" w:eastAsia="仿宋" w:cs="仿宋"/>
          <w:sz w:val="32"/>
          <w:szCs w:val="32"/>
          <w:lang w:eastAsia="zh-CN" w:bidi="ar"/>
        </w:rPr>
        <w:t>中心</w:t>
      </w:r>
      <w:r>
        <w:rPr>
          <w:rFonts w:ascii="仿宋" w:hAnsi="仿宋" w:eastAsia="仿宋" w:cs="仿宋"/>
          <w:sz w:val="32"/>
          <w:szCs w:val="32"/>
          <w:lang w:bidi="ar"/>
        </w:rPr>
        <w:t>确认挂牌日期。挂牌日期确认后，本所安排资产支持证券挂牌。资产支持证券挂牌当日，投资者可开始交易。</w:t>
      </w:r>
    </w:p>
    <w:p>
      <w:pPr>
        <w:adjustRightInd w:val="0"/>
        <w:snapToGrid w:val="0"/>
        <w:spacing w:line="560" w:lineRule="exact"/>
        <w:ind w:firstLine="640" w:firstLineChars="200"/>
        <w:outlineLvl w:val="2"/>
        <w:rPr>
          <w:rFonts w:ascii="仿宋" w:hAnsi="仿宋" w:eastAsia="仿宋" w:cs="仿宋"/>
          <w:sz w:val="32"/>
          <w:szCs w:val="32"/>
          <w:lang w:bidi="ar"/>
        </w:rPr>
      </w:pPr>
      <w:bookmarkStart w:id="397" w:name="_Toc18315"/>
      <w:r>
        <w:rPr>
          <w:rFonts w:hint="eastAsia" w:ascii="仿宋" w:hAnsi="仿宋" w:eastAsia="仿宋" w:cs="仿宋"/>
          <w:sz w:val="32"/>
          <w:szCs w:val="32"/>
          <w:lang w:bidi="ar"/>
        </w:rPr>
        <w:t>（三）其他注意事项</w:t>
      </w:r>
      <w:bookmarkEnd w:id="397"/>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计划管理人如申请举办资产支持证券挂牌仪式，应提前与本所经办人联系。</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如资产支持证券在挂牌前存在收益分配</w:t>
      </w:r>
      <w:r>
        <w:rPr>
          <w:rFonts w:ascii="仿宋" w:hAnsi="仿宋" w:eastAsia="仿宋" w:cs="仿宋"/>
          <w:sz w:val="32"/>
          <w:szCs w:val="32"/>
          <w:highlight w:val="none"/>
          <w:lang w:bidi="ar"/>
        </w:rPr>
        <w:t>情形，计划管理人应提前与本所经办人联系，并报备《收益分配报告》。</w:t>
      </w:r>
      <w:r>
        <w:rPr>
          <w:rFonts w:ascii="仿宋" w:hAnsi="仿宋" w:eastAsia="仿宋" w:cs="仿宋"/>
          <w:sz w:val="32"/>
          <w:szCs w:val="32"/>
          <w:lang w:bidi="ar"/>
        </w:rPr>
        <w:t>本所将根据实际情况调整证券面值及派息兑付列表相关要素。</w:t>
      </w:r>
    </w:p>
    <w:p>
      <w:pPr>
        <w:adjustRightInd w:val="0"/>
        <w:snapToGrid w:val="0"/>
        <w:spacing w:line="560" w:lineRule="exact"/>
        <w:ind w:firstLine="640" w:firstLineChars="200"/>
        <w:outlineLvl w:val="1"/>
        <w:rPr>
          <w:rFonts w:hint="eastAsia" w:ascii="楷体" w:hAnsi="楷体" w:eastAsia="楷体" w:cs="楷体"/>
          <w:bCs/>
          <w:sz w:val="32"/>
          <w:szCs w:val="32"/>
          <w:lang w:bidi="ar"/>
        </w:rPr>
      </w:pPr>
      <w:bookmarkStart w:id="398" w:name="_Toc19216"/>
      <w:bookmarkStart w:id="399" w:name="_Toc23081"/>
      <w:bookmarkStart w:id="400" w:name="_Toc31564"/>
      <w:bookmarkStart w:id="401" w:name="_Toc31736"/>
      <w:bookmarkStart w:id="402" w:name="_Toc16561"/>
      <w:bookmarkStart w:id="403" w:name="_Toc12050"/>
      <w:bookmarkStart w:id="404" w:name="_Toc32521"/>
      <w:bookmarkStart w:id="405" w:name="_Toc31299"/>
      <w:bookmarkStart w:id="406" w:name="_Toc20258"/>
      <w:bookmarkStart w:id="407" w:name="_Toc170545462"/>
      <w:bookmarkStart w:id="408" w:name="_Toc1444986153"/>
      <w:bookmarkStart w:id="409" w:name="_Toc12838"/>
      <w:bookmarkStart w:id="410" w:name="_Toc1095"/>
      <w:r>
        <w:rPr>
          <w:rFonts w:hint="eastAsia" w:ascii="楷体" w:hAnsi="楷体" w:eastAsia="楷体" w:cs="楷体"/>
          <w:bCs/>
          <w:sz w:val="32"/>
          <w:szCs w:val="32"/>
          <w:lang w:bidi="ar"/>
        </w:rPr>
        <w:t>三、挂牌后事项</w:t>
      </w:r>
      <w:bookmarkEnd w:id="398"/>
      <w:bookmarkEnd w:id="399"/>
      <w:bookmarkEnd w:id="400"/>
      <w:bookmarkEnd w:id="401"/>
      <w:bookmarkEnd w:id="402"/>
      <w:bookmarkEnd w:id="403"/>
      <w:bookmarkEnd w:id="404"/>
      <w:bookmarkEnd w:id="405"/>
      <w:bookmarkEnd w:id="406"/>
      <w:bookmarkEnd w:id="407"/>
      <w:bookmarkEnd w:id="408"/>
      <w:bookmarkEnd w:id="409"/>
      <w:bookmarkEnd w:id="410"/>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资产支持证券挂牌后10个交易日内，计划管理人应根据《深圳证券交易所公司债券发行承销规则》要求准备法律意见书、发行总结报告等文件，并通过固收专区“资产支持证券信息披露-发行上市阶段公告-发行总结报告”流程进行报备。</w:t>
      </w:r>
    </w:p>
    <w:p>
      <w:pPr>
        <w:adjustRightInd w:val="0"/>
        <w:snapToGrid w:val="0"/>
        <w:spacing w:line="560" w:lineRule="exact"/>
        <w:ind w:firstLine="640" w:firstLineChars="200"/>
        <w:rPr>
          <w:rFonts w:ascii="仿宋" w:hAnsi="仿宋" w:eastAsia="仿宋" w:cs="仿宋"/>
          <w:sz w:val="32"/>
          <w:szCs w:val="32"/>
          <w:lang w:bidi="ar"/>
        </w:rPr>
      </w:pPr>
      <w:r>
        <w:rPr>
          <w:rFonts w:ascii="仿宋" w:hAnsi="仿宋" w:eastAsia="仿宋" w:cs="仿宋"/>
          <w:sz w:val="32"/>
          <w:szCs w:val="32"/>
          <w:lang w:bidi="ar"/>
        </w:rPr>
        <w:t>发行</w:t>
      </w:r>
      <w:r>
        <w:rPr>
          <w:rFonts w:hint="eastAsia" w:ascii="仿宋" w:hAnsi="仿宋" w:eastAsia="仿宋" w:cs="仿宋"/>
          <w:sz w:val="32"/>
          <w:szCs w:val="32"/>
          <w:lang w:bidi="ar"/>
        </w:rPr>
        <w:t>总结报告中，</w:t>
      </w:r>
      <w:r>
        <w:rPr>
          <w:rFonts w:ascii="仿宋" w:hAnsi="仿宋" w:eastAsia="仿宋" w:cs="仿宋"/>
          <w:sz w:val="32"/>
          <w:szCs w:val="32"/>
          <w:lang w:bidi="ar"/>
        </w:rPr>
        <w:t>除</w:t>
      </w:r>
      <w:r>
        <w:rPr>
          <w:rFonts w:hint="eastAsia" w:ascii="仿宋" w:hAnsi="仿宋" w:eastAsia="仿宋" w:cs="仿宋"/>
          <w:sz w:val="32"/>
          <w:szCs w:val="32"/>
          <w:lang w:bidi="ar"/>
        </w:rPr>
        <w:t>原始权益人或者其关联方在发行公告文件中披露的自持事项外，</w:t>
      </w:r>
      <w:r>
        <w:rPr>
          <w:rFonts w:ascii="仿宋" w:hAnsi="仿宋" w:eastAsia="仿宋" w:cs="仿宋"/>
          <w:sz w:val="32"/>
          <w:szCs w:val="32"/>
          <w:lang w:bidi="ar"/>
        </w:rPr>
        <w:t>计划管理人</w:t>
      </w:r>
      <w:r>
        <w:rPr>
          <w:rFonts w:hint="eastAsia" w:ascii="仿宋" w:hAnsi="仿宋" w:eastAsia="仿宋" w:cs="仿宋"/>
          <w:sz w:val="32"/>
          <w:szCs w:val="32"/>
          <w:lang w:bidi="ar"/>
        </w:rPr>
        <w:t>应核查：</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1.</w:t>
      </w:r>
      <w:r>
        <w:rPr>
          <w:rFonts w:ascii="仿宋" w:hAnsi="仿宋" w:eastAsia="仿宋" w:cs="仿宋"/>
          <w:sz w:val="32"/>
          <w:szCs w:val="32"/>
          <w:lang w:bidi="ar"/>
        </w:rPr>
        <w:t>原始权益</w:t>
      </w:r>
      <w:r>
        <w:rPr>
          <w:rFonts w:hint="eastAsia" w:ascii="仿宋" w:hAnsi="仿宋" w:eastAsia="仿宋" w:cs="仿宋"/>
          <w:sz w:val="32"/>
          <w:szCs w:val="32"/>
          <w:lang w:bidi="ar"/>
        </w:rPr>
        <w:t>人及其控股股东、实际控制人</w:t>
      </w:r>
      <w:r>
        <w:rPr>
          <w:rFonts w:ascii="仿宋" w:hAnsi="仿宋" w:eastAsia="仿宋" w:cs="仿宋"/>
          <w:sz w:val="32"/>
          <w:szCs w:val="32"/>
          <w:lang w:bidi="ar"/>
        </w:rPr>
        <w:t>，计划管理人和销售机构</w:t>
      </w:r>
      <w:r>
        <w:rPr>
          <w:rFonts w:hint="eastAsia" w:ascii="仿宋" w:hAnsi="仿宋" w:eastAsia="仿宋" w:cs="仿宋"/>
          <w:sz w:val="32"/>
          <w:szCs w:val="32"/>
          <w:lang w:bidi="ar"/>
        </w:rPr>
        <w:t>是否存在操纵发行定价、暗箱操作；是否以代持、信托等方式谋取不正当利益或者向其他相关利益主体输送利益；是否直接或者通过其利益相关方向参与认购的投资者提供财务资助；是否有其他违反公平竞争、破坏市场秩序等行为。</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2.</w:t>
      </w:r>
      <w:r>
        <w:rPr>
          <w:rFonts w:ascii="仿宋" w:hAnsi="仿宋" w:eastAsia="仿宋" w:cs="仿宋"/>
          <w:sz w:val="32"/>
          <w:szCs w:val="32"/>
          <w:lang w:bidi="ar"/>
        </w:rPr>
        <w:t>原始权益人</w:t>
      </w:r>
      <w:r>
        <w:rPr>
          <w:rFonts w:hint="eastAsia" w:ascii="仿宋" w:hAnsi="仿宋" w:eastAsia="仿宋" w:cs="仿宋"/>
          <w:sz w:val="32"/>
          <w:szCs w:val="32"/>
          <w:lang w:bidi="ar"/>
        </w:rPr>
        <w:t>是否在发行环节直接或者间接认购其发行的</w:t>
      </w:r>
      <w:r>
        <w:rPr>
          <w:rFonts w:ascii="仿宋" w:hAnsi="仿宋" w:eastAsia="仿宋" w:cs="仿宋"/>
          <w:sz w:val="32"/>
          <w:szCs w:val="32"/>
          <w:lang w:bidi="ar"/>
        </w:rPr>
        <w:t>资产支持证券</w:t>
      </w:r>
      <w:r>
        <w:rPr>
          <w:rFonts w:hint="eastAsia" w:ascii="仿宋" w:hAnsi="仿宋" w:eastAsia="仿宋" w:cs="仿宋"/>
          <w:sz w:val="32"/>
          <w:szCs w:val="32"/>
          <w:lang w:bidi="ar"/>
        </w:rPr>
        <w:t>。</w:t>
      </w:r>
    </w:p>
    <w:p>
      <w:pPr>
        <w:adjustRightInd w:val="0"/>
        <w:snapToGrid w:val="0"/>
        <w:spacing w:line="56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3.</w:t>
      </w:r>
      <w:r>
        <w:rPr>
          <w:rFonts w:ascii="仿宋" w:hAnsi="仿宋" w:eastAsia="仿宋" w:cs="仿宋"/>
          <w:sz w:val="32"/>
          <w:szCs w:val="32"/>
          <w:lang w:bidi="ar"/>
        </w:rPr>
        <w:t>成立</w:t>
      </w:r>
      <w:r>
        <w:rPr>
          <w:rFonts w:hint="eastAsia" w:ascii="仿宋" w:hAnsi="仿宋" w:eastAsia="仿宋" w:cs="仿宋"/>
          <w:sz w:val="32"/>
          <w:szCs w:val="32"/>
          <w:lang w:bidi="ar"/>
        </w:rPr>
        <w:t>公告是否披露</w:t>
      </w:r>
      <w:r>
        <w:rPr>
          <w:rFonts w:ascii="仿宋" w:hAnsi="仿宋" w:eastAsia="仿宋" w:cs="仿宋"/>
          <w:sz w:val="32"/>
          <w:szCs w:val="32"/>
          <w:lang w:bidi="ar"/>
        </w:rPr>
        <w:t>原始权益人</w:t>
      </w:r>
      <w:r>
        <w:rPr>
          <w:rFonts w:hint="eastAsia" w:ascii="仿宋" w:hAnsi="仿宋" w:eastAsia="仿宋" w:cs="仿宋"/>
          <w:sz w:val="32"/>
          <w:szCs w:val="32"/>
          <w:lang w:bidi="ar"/>
        </w:rPr>
        <w:t>持股比例超过百分之五的股东以及其他关联方参与其发行的</w:t>
      </w:r>
      <w:r>
        <w:rPr>
          <w:rFonts w:ascii="仿宋" w:hAnsi="仿宋" w:eastAsia="仿宋" w:cs="仿宋"/>
          <w:sz w:val="32"/>
          <w:szCs w:val="32"/>
          <w:lang w:bidi="ar"/>
        </w:rPr>
        <w:t>资产支持证券</w:t>
      </w:r>
      <w:r>
        <w:rPr>
          <w:rFonts w:hint="eastAsia" w:ascii="仿宋" w:hAnsi="仿宋" w:eastAsia="仿宋" w:cs="仿宋"/>
          <w:sz w:val="32"/>
          <w:szCs w:val="32"/>
          <w:lang w:bidi="ar"/>
        </w:rPr>
        <w:t>认购情况。</w:t>
      </w:r>
    </w:p>
    <w:p>
      <w:pPr>
        <w:widowControl/>
        <w:adjustRightInd w:val="0"/>
        <w:snapToGrid w:val="0"/>
        <w:spacing w:line="560" w:lineRule="exact"/>
        <w:ind w:firstLine="640" w:firstLineChars="200"/>
        <w:jc w:val="both"/>
        <w:rPr>
          <w:rFonts w:ascii="仿宋" w:hAnsi="仿宋" w:eastAsia="仿宋" w:cs="仿宋"/>
          <w:color w:val="333333"/>
          <w:sz w:val="32"/>
          <w:szCs w:val="32"/>
          <w:shd w:val="clear" w:color="auto" w:fill="FFFFFF"/>
        </w:rPr>
      </w:pPr>
      <w:r>
        <w:rPr>
          <w:rFonts w:ascii="仿宋" w:hAnsi="仿宋" w:eastAsia="仿宋" w:cs="仿宋"/>
          <w:sz w:val="32"/>
          <w:szCs w:val="32"/>
          <w:lang w:bidi="ar"/>
        </w:rPr>
        <w:t>计划管理人应当在资产支持证券挂牌后5个交易日内邮寄《转让服务协议》至本所，邮寄《证券登记及服务协议》至中国结算深圳分公司。《转让服务协议》一式四份,若已签署的转让服务协议尚在有效期内，则无需邮寄。《证券登记及服务协议》一式两份</w:t>
      </w:r>
      <w:r>
        <w:rPr>
          <w:rFonts w:ascii="仿宋" w:hAnsi="仿宋" w:eastAsia="仿宋" w:cs="仿宋"/>
          <w:color w:val="333333"/>
          <w:sz w:val="32"/>
          <w:szCs w:val="32"/>
          <w:shd w:val="clear" w:color="auto" w:fill="FFFFFF"/>
        </w:rPr>
        <w:t>，可通过中国结算网站下载</w:t>
      </w:r>
      <w:r>
        <w:rPr>
          <w:rFonts w:hint="eastAsia" w:ascii="仿宋" w:hAnsi="仿宋" w:eastAsia="仿宋" w:cs="仿宋"/>
          <w:color w:val="333333"/>
          <w:sz w:val="32"/>
          <w:szCs w:val="32"/>
          <w:shd w:val="clear" w:color="auto" w:fill="FFFFFF"/>
        </w:rPr>
        <w:t>最新版本</w:t>
      </w:r>
      <w:r>
        <w:rPr>
          <w:rFonts w:ascii="仿宋" w:hAnsi="仿宋" w:eastAsia="仿宋" w:cs="仿宋"/>
          <w:sz w:val="32"/>
          <w:szCs w:val="32"/>
        </w:rPr>
        <w:t>，</w:t>
      </w:r>
      <w:r>
        <w:rPr>
          <w:rFonts w:ascii="仿宋" w:hAnsi="仿宋" w:eastAsia="仿宋" w:cs="仿宋"/>
          <w:sz w:val="32"/>
          <w:szCs w:val="32"/>
          <w:lang w:bidi="ar"/>
        </w:rPr>
        <w:t>若已签署的证券登记及服务协议尚在有效期内，则无需邮寄</w:t>
      </w:r>
      <w:r>
        <w:rPr>
          <w:rFonts w:ascii="仿宋" w:hAnsi="仿宋" w:eastAsia="仿宋" w:cs="仿宋"/>
          <w:color w:val="333333"/>
          <w:sz w:val="32"/>
          <w:szCs w:val="32"/>
          <w:shd w:val="clear" w:color="auto" w:fill="FFFFFF"/>
        </w:rPr>
        <w:t>。</w:t>
      </w:r>
    </w:p>
    <w:p>
      <w:pPr>
        <w:widowControl/>
        <w:adjustRightInd w:val="0"/>
        <w:snapToGrid w:val="0"/>
        <w:spacing w:line="560" w:lineRule="exact"/>
        <w:ind w:firstLine="640" w:firstLineChars="200"/>
        <w:outlineLvl w:val="1"/>
        <w:rPr>
          <w:rFonts w:hint="eastAsia" w:ascii="仿宋" w:hAnsi="仿宋" w:eastAsia="仿宋" w:cs="仿宋"/>
          <w:sz w:val="32"/>
          <w:szCs w:val="32"/>
          <w:lang w:val="en-US" w:eastAsia="zh-CN" w:bidi="ar"/>
        </w:rPr>
      </w:pPr>
      <w:bookmarkStart w:id="411" w:name="_Toc4371"/>
      <w:bookmarkStart w:id="412" w:name="_Toc15414"/>
      <w:bookmarkStart w:id="413" w:name="_Toc4581"/>
      <w:bookmarkStart w:id="414" w:name="_Toc17097"/>
      <w:bookmarkStart w:id="415" w:name="_Toc12008"/>
      <w:bookmarkStart w:id="416" w:name="_Toc3005"/>
      <w:bookmarkStart w:id="417" w:name="_Toc1279"/>
      <w:bookmarkStart w:id="418" w:name="_Toc10988"/>
      <w:bookmarkStart w:id="419" w:name="_Toc28332"/>
      <w:r>
        <w:rPr>
          <w:rFonts w:hint="eastAsia" w:ascii="楷体" w:hAnsi="楷体" w:eastAsia="楷体" w:cs="楷体"/>
          <w:b w:val="0"/>
          <w:bCs w:val="0"/>
          <w:sz w:val="32"/>
          <w:szCs w:val="32"/>
          <w:lang w:eastAsia="zh" w:bidi="ar"/>
        </w:rPr>
        <w:t>四</w:t>
      </w:r>
      <w:r>
        <w:rPr>
          <w:rFonts w:hint="eastAsia" w:ascii="楷体" w:hAnsi="楷体" w:eastAsia="楷体" w:cs="楷体"/>
          <w:b w:val="0"/>
          <w:bCs w:val="0"/>
          <w:sz w:val="32"/>
          <w:szCs w:val="32"/>
          <w:lang w:bidi="ar"/>
        </w:rPr>
        <w:t>、</w:t>
      </w:r>
      <w:r>
        <w:rPr>
          <w:rStyle w:val="56"/>
          <w:rFonts w:hint="eastAsia" w:ascii="楷体" w:hAnsi="楷体" w:eastAsia="楷体" w:cs="楷体"/>
          <w:b w:val="0"/>
          <w:bCs w:val="0"/>
          <w:highlight w:val="none"/>
          <w:lang w:bidi="ar"/>
        </w:rPr>
        <w:t>资产支持证券扩募登记与挂牌（试点）</w:t>
      </w:r>
      <w:bookmarkEnd w:id="411"/>
      <w:bookmarkEnd w:id="412"/>
      <w:bookmarkEnd w:id="413"/>
      <w:bookmarkEnd w:id="414"/>
      <w:bookmarkEnd w:id="415"/>
      <w:bookmarkEnd w:id="416"/>
      <w:bookmarkEnd w:id="417"/>
      <w:bookmarkEnd w:id="418"/>
      <w:bookmarkEnd w:id="419"/>
      <w:bookmarkStart w:id="420" w:name="_Toc16366"/>
      <w:bookmarkStart w:id="421" w:name="_Toc24827"/>
    </w:p>
    <w:p>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eastAsia" w:ascii="仿宋" w:hAnsi="仿宋" w:eastAsia="仿宋" w:cs="仿宋"/>
          <w:b w:val="0"/>
          <w:bCs w:val="0"/>
          <w:kern w:val="2"/>
          <w:sz w:val="32"/>
          <w:szCs w:val="32"/>
          <w:highlight w:val="none"/>
        </w:rPr>
      </w:pPr>
      <w:r>
        <w:rPr>
          <w:rFonts w:hint="eastAsia" w:ascii="仿宋" w:hAnsi="仿宋" w:eastAsia="仿宋" w:cs="仿宋"/>
          <w:kern w:val="2"/>
          <w:sz w:val="32"/>
          <w:szCs w:val="32"/>
          <w:highlight w:val="none"/>
          <w:lang w:val="en-US" w:eastAsia="zh-CN" w:bidi="ar"/>
        </w:rPr>
        <w:t>计划管理人应在</w:t>
      </w:r>
      <w:r>
        <w:rPr>
          <w:rFonts w:hint="eastAsia" w:ascii="仿宋" w:hAnsi="仿宋" w:eastAsia="仿宋" w:cs="仿宋"/>
          <w:b w:val="0"/>
          <w:bCs w:val="0"/>
          <w:kern w:val="2"/>
          <w:sz w:val="32"/>
          <w:szCs w:val="32"/>
          <w:highlight w:val="none"/>
          <w:lang w:val="en-US" w:eastAsia="zh-CN" w:bidi="ar"/>
        </w:rPr>
        <w:t>S日（S日为发行结束日，下同）通过“资产支持证券-初始登记申请”申请扩募登记，按系统要求填写债券基础信息并提交材料。相关申请材料要求同上述“一、登记挂牌申请文件”。登记材料不符合要求或登记明细有误的，计划管理人应于</w:t>
      </w:r>
      <w:r>
        <w:rPr>
          <w:rFonts w:hint="eastAsia" w:ascii="仿宋" w:hAnsi="仿宋" w:eastAsia="仿宋" w:cs="仿宋"/>
          <w:b w:val="0"/>
          <w:bCs w:val="0"/>
          <w:kern w:val="2"/>
          <w:sz w:val="32"/>
          <w:szCs w:val="32"/>
          <w:highlight w:val="none"/>
          <w:lang w:val="en-US" w:eastAsia="zh" w:bidi="ar"/>
        </w:rPr>
        <w:t>S</w:t>
      </w:r>
      <w:r>
        <w:rPr>
          <w:rFonts w:hint="eastAsia" w:ascii="仿宋" w:hAnsi="仿宋" w:eastAsia="仿宋" w:cs="仿宋"/>
          <w:b w:val="0"/>
          <w:bCs w:val="0"/>
          <w:kern w:val="2"/>
          <w:sz w:val="32"/>
          <w:szCs w:val="32"/>
          <w:highlight w:val="none"/>
          <w:lang w:val="en-US" w:eastAsia="zh-CN" w:bidi="ar"/>
        </w:rPr>
        <w:t>+2日上午9:30前进行补正。</w:t>
      </w:r>
    </w:p>
    <w:p>
      <w:pPr>
        <w:keepNext w:val="0"/>
        <w:keepLines w:val="0"/>
        <w:widowControl/>
        <w:suppressLineNumbers w:val="0"/>
        <w:shd w:val="clear" w:fill="auto"/>
        <w:adjustRightInd w:val="0"/>
        <w:snapToGrid w:val="0"/>
        <w:spacing w:before="0" w:beforeAutospacing="0" w:after="0" w:afterAutospacing="0" w:line="560" w:lineRule="exact"/>
        <w:ind w:left="0" w:right="0" w:firstLine="594" w:firstLineChars="0"/>
        <w:jc w:val="both"/>
        <w:rPr>
          <w:rFonts w:hint="eastAsia" w:ascii="仿宋" w:hAnsi="仿宋" w:eastAsia="仿宋" w:cs="仿宋"/>
          <w:b w:val="0"/>
          <w:bCs w:val="0"/>
          <w:sz w:val="32"/>
          <w:szCs w:val="32"/>
          <w:highlight w:val="none"/>
          <w:lang w:eastAsia="zh" w:bidi="ar"/>
        </w:rPr>
      </w:pPr>
      <w:r>
        <w:rPr>
          <w:rFonts w:hint="default" w:ascii="仿宋" w:hAnsi="仿宋" w:eastAsia="仿宋" w:cs="仿宋"/>
          <w:b w:val="0"/>
          <w:bCs w:val="0"/>
          <w:kern w:val="2"/>
          <w:sz w:val="32"/>
          <w:szCs w:val="32"/>
          <w:highlight w:val="none"/>
          <w:lang w:val="en-US" w:eastAsia="zh" w:bidi="ar"/>
        </w:rPr>
        <w:t>S</w:t>
      </w:r>
      <w:r>
        <w:rPr>
          <w:rFonts w:hint="default" w:ascii="仿宋" w:hAnsi="仿宋" w:eastAsia="仿宋" w:cs="仿宋"/>
          <w:b w:val="0"/>
          <w:bCs w:val="0"/>
          <w:kern w:val="2"/>
          <w:sz w:val="32"/>
          <w:szCs w:val="32"/>
          <w:highlight w:val="none"/>
          <w:lang w:val="en-US" w:eastAsia="zh-CN" w:bidi="ar"/>
        </w:rPr>
        <w:t>+2</w:t>
      </w:r>
      <w:r>
        <w:rPr>
          <w:rFonts w:hint="eastAsia" w:ascii="仿宋" w:hAnsi="仿宋" w:eastAsia="仿宋" w:cs="仿宋"/>
          <w:b w:val="0"/>
          <w:bCs w:val="0"/>
          <w:kern w:val="2"/>
          <w:sz w:val="32"/>
          <w:szCs w:val="32"/>
          <w:highlight w:val="none"/>
          <w:lang w:val="en-US" w:eastAsia="zh-CN" w:bidi="ar"/>
        </w:rPr>
        <w:t>日11:00前，</w:t>
      </w:r>
      <w:r>
        <w:rPr>
          <w:rFonts w:hint="eastAsia" w:ascii="仿宋" w:hAnsi="仿宋" w:eastAsia="仿宋" w:cs="仿宋"/>
          <w:b w:val="0"/>
          <w:bCs w:val="0"/>
          <w:sz w:val="32"/>
          <w:szCs w:val="32"/>
          <w:highlight w:val="none"/>
          <w:lang w:eastAsia="zh-CN" w:bidi="ar"/>
        </w:rPr>
        <w:t>计划管理人应完成</w:t>
      </w:r>
      <w:r>
        <w:rPr>
          <w:rFonts w:hint="eastAsia" w:ascii="仿宋" w:hAnsi="仿宋" w:eastAsia="仿宋" w:cs="仿宋"/>
          <w:b w:val="0"/>
          <w:bCs w:val="0"/>
          <w:sz w:val="32"/>
          <w:szCs w:val="32"/>
          <w:highlight w:val="none"/>
          <w:lang w:bidi="ar"/>
        </w:rPr>
        <w:t>《证券登记申报明细清单》</w:t>
      </w:r>
      <w:r>
        <w:rPr>
          <w:rFonts w:hint="eastAsia" w:ascii="仿宋" w:hAnsi="仿宋" w:eastAsia="仿宋" w:cs="仿宋"/>
          <w:b w:val="0"/>
          <w:bCs w:val="0"/>
          <w:sz w:val="32"/>
          <w:szCs w:val="32"/>
          <w:highlight w:val="none"/>
          <w:lang w:eastAsia="zh-CN" w:bidi="ar"/>
        </w:rPr>
        <w:t>确认</w:t>
      </w:r>
      <w:r>
        <w:rPr>
          <w:rFonts w:hint="eastAsia" w:ascii="仿宋" w:hAnsi="仿宋" w:eastAsia="仿宋" w:cs="仿宋"/>
          <w:b w:val="0"/>
          <w:bCs w:val="0"/>
          <w:sz w:val="32"/>
          <w:szCs w:val="32"/>
          <w:highlight w:val="none"/>
          <w:lang w:eastAsia="zh" w:bidi="ar"/>
        </w:rPr>
        <w:t>。</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b w:val="0"/>
          <w:bCs w:val="0"/>
          <w:color w:val="0000FF"/>
          <w:kern w:val="2"/>
          <w:sz w:val="32"/>
          <w:szCs w:val="32"/>
          <w:highlight w:val="none"/>
          <w:lang w:val="en-US" w:eastAsia="zh-CN" w:bidi="ar"/>
        </w:rPr>
      </w:pPr>
      <w:r>
        <w:rPr>
          <w:rFonts w:hint="eastAsia" w:ascii="仿宋" w:hAnsi="仿宋" w:eastAsia="仿宋" w:cs="仿宋"/>
          <w:b w:val="0"/>
          <w:bCs w:val="0"/>
          <w:color w:val="0000FF"/>
          <w:kern w:val="2"/>
          <w:sz w:val="32"/>
          <w:szCs w:val="32"/>
          <w:highlight w:val="none"/>
          <w:lang w:val="en-US" w:eastAsia="zh-CN" w:bidi="ar"/>
        </w:rPr>
        <w:t>S+2日14：00前</w:t>
      </w:r>
      <w:r>
        <w:rPr>
          <w:rFonts w:hint="eastAsia" w:ascii="仿宋" w:hAnsi="仿宋" w:eastAsia="仿宋" w:cs="仿宋"/>
          <w:b w:val="0"/>
          <w:bCs w:val="0"/>
          <w:sz w:val="32"/>
          <w:szCs w:val="32"/>
          <w:highlight w:val="none"/>
          <w:lang w:eastAsia="zh-CN" w:bidi="ar"/>
        </w:rPr>
        <w:t>计划管理人</w:t>
      </w:r>
      <w:r>
        <w:rPr>
          <w:rFonts w:hint="eastAsia" w:ascii="仿宋" w:hAnsi="仿宋" w:eastAsia="仿宋" w:cs="仿宋"/>
          <w:b w:val="0"/>
          <w:bCs w:val="0"/>
          <w:color w:val="0000FF"/>
          <w:kern w:val="2"/>
          <w:sz w:val="32"/>
          <w:szCs w:val="32"/>
          <w:highlight w:val="none"/>
          <w:lang w:val="en-US" w:eastAsia="zh-CN" w:bidi="ar"/>
        </w:rPr>
        <w:t>收到《登记费付款通知》,本所安排S+3日与</w:t>
      </w:r>
      <w:r>
        <w:rPr>
          <w:rFonts w:hint="eastAsia" w:ascii="仿宋" w:hAnsi="仿宋" w:eastAsia="仿宋" w:cs="仿宋"/>
          <w:kern w:val="2"/>
          <w:sz w:val="32"/>
          <w:szCs w:val="32"/>
          <w:lang w:val="en-US" w:eastAsia="zh-CN" w:bidi="ar"/>
        </w:rPr>
        <w:t>挂牌的存量资产支持证券进行扩募发行并合并挂牌，</w:t>
      </w:r>
      <w:r>
        <w:rPr>
          <w:rFonts w:hint="eastAsia" w:ascii="仿宋" w:hAnsi="仿宋" w:eastAsia="仿宋" w:cs="仿宋"/>
          <w:b w:val="0"/>
          <w:bCs w:val="0"/>
          <w:color w:val="0000FF"/>
          <w:kern w:val="2"/>
          <w:sz w:val="32"/>
          <w:szCs w:val="32"/>
          <w:highlight w:val="none"/>
          <w:lang w:val="en-US" w:eastAsia="zh-CN" w:bidi="ar"/>
        </w:rPr>
        <w:t>投资者可开始交易。</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 w:hAnsi="仿宋" w:eastAsia="仿宋" w:cs="仿宋"/>
          <w:color w:val="0000FF"/>
          <w:sz w:val="32"/>
          <w:szCs w:val="32"/>
          <w:lang w:val="en-US" w:eastAsia="zh-CN" w:bidi="ar"/>
        </w:rPr>
      </w:pPr>
      <w:r>
        <w:rPr>
          <w:rFonts w:hint="eastAsia" w:ascii="仿宋" w:hAnsi="仿宋" w:eastAsia="仿宋" w:cs="仿宋"/>
          <w:b w:val="0"/>
          <w:bCs w:val="0"/>
          <w:color w:val="0000FF"/>
          <w:sz w:val="32"/>
          <w:szCs w:val="32"/>
          <w:highlight w:val="none"/>
          <w:lang w:eastAsia="zh-CN"/>
        </w:rPr>
        <w:t>若S+2日14：00前计划管理人收到《登记费付款通知》且预期资产支持证券</w:t>
      </w:r>
      <w:r>
        <w:rPr>
          <w:rStyle w:val="32"/>
          <w:rFonts w:hint="eastAsia" w:ascii="仿宋" w:hAnsi="仿宋" w:eastAsia="仿宋" w:cs="仿宋"/>
          <w:b w:val="0"/>
          <w:bCs w:val="0"/>
          <w:color w:val="0000FF"/>
          <w:sz w:val="32"/>
          <w:szCs w:val="32"/>
          <w:highlight w:val="none"/>
          <w:lang w:bidi="ar"/>
        </w:rPr>
        <w:t>扩募</w:t>
      </w:r>
      <w:r>
        <w:rPr>
          <w:rStyle w:val="32"/>
          <w:rFonts w:hint="eastAsia" w:ascii="仿宋" w:hAnsi="仿宋" w:eastAsia="仿宋" w:cs="仿宋"/>
          <w:b w:val="0"/>
          <w:bCs w:val="0"/>
          <w:color w:val="0000FF"/>
          <w:sz w:val="32"/>
          <w:szCs w:val="32"/>
          <w:highlight w:val="none"/>
          <w:lang w:eastAsia="zh-CN" w:bidi="ar"/>
        </w:rPr>
        <w:t>份额</w:t>
      </w:r>
      <w:r>
        <w:rPr>
          <w:rFonts w:hint="eastAsia" w:ascii="仿宋" w:hAnsi="仿宋" w:eastAsia="仿宋" w:cs="仿宋"/>
          <w:b w:val="0"/>
          <w:bCs w:val="0"/>
          <w:color w:val="0000FF"/>
          <w:sz w:val="32"/>
          <w:szCs w:val="32"/>
          <w:highlight w:val="none"/>
          <w:lang w:eastAsia="zh-CN"/>
        </w:rPr>
        <w:t>无法在S+3日挂牌，请按照本所相关规定申请存量</w:t>
      </w:r>
      <w:r>
        <w:rPr>
          <w:rFonts w:hint="eastAsia" w:ascii="仿宋" w:hAnsi="仿宋" w:eastAsia="仿宋" w:cs="仿宋"/>
          <w:kern w:val="2"/>
          <w:sz w:val="32"/>
          <w:szCs w:val="32"/>
          <w:lang w:val="en-US" w:eastAsia="zh-CN" w:bidi="ar"/>
        </w:rPr>
        <w:t>资产支持证券</w:t>
      </w:r>
      <w:r>
        <w:rPr>
          <w:rFonts w:hint="eastAsia" w:ascii="仿宋" w:hAnsi="仿宋" w:eastAsia="仿宋" w:cs="仿宋"/>
          <w:b w:val="0"/>
          <w:bCs w:val="0"/>
          <w:color w:val="0000FF"/>
          <w:sz w:val="32"/>
          <w:szCs w:val="32"/>
          <w:highlight w:val="none"/>
          <w:lang w:eastAsia="zh-CN"/>
        </w:rPr>
        <w:t>停牌至合并上市日复牌。</w:t>
      </w:r>
    </w:p>
    <w:p>
      <w:pPr>
        <w:widowControl/>
        <w:adjustRightInd w:val="0"/>
        <w:snapToGrid w:val="0"/>
        <w:spacing w:line="560" w:lineRule="exact"/>
        <w:ind w:firstLine="640" w:firstLineChars="200"/>
        <w:rPr>
          <w:rFonts w:hint="eastAsia" w:ascii="仿宋" w:hAnsi="仿宋" w:eastAsia="仿宋" w:cs="仿宋"/>
          <w:sz w:val="32"/>
          <w:szCs w:val="32"/>
          <w:lang w:val="en-US" w:eastAsia="zh-CN" w:bidi="ar"/>
        </w:rPr>
      </w:pPr>
      <w:r>
        <w:rPr>
          <w:rFonts w:hint="eastAsia" w:ascii="仿宋" w:hAnsi="仿宋" w:eastAsia="仿宋" w:cs="仿宋"/>
          <w:sz w:val="32"/>
          <w:szCs w:val="32"/>
          <w:lang w:val="en-US" w:eastAsia="zh" w:bidi="ar"/>
        </w:rPr>
        <w:t>资产支持证券</w:t>
      </w:r>
      <w:r>
        <w:rPr>
          <w:rFonts w:hint="eastAsia" w:ascii="仿宋" w:hAnsi="仿宋" w:eastAsia="仿宋" w:cs="仿宋"/>
          <w:sz w:val="32"/>
          <w:szCs w:val="32"/>
          <w:lang w:val="en-US" w:eastAsia="zh-CN" w:bidi="ar"/>
        </w:rPr>
        <w:t>扩募登记挂牌业务在本所系统</w:t>
      </w:r>
      <w:r>
        <w:rPr>
          <w:rFonts w:hint="eastAsia" w:ascii="仿宋" w:hAnsi="仿宋" w:eastAsia="仿宋" w:cs="仿宋"/>
          <w:sz w:val="32"/>
          <w:szCs w:val="32"/>
          <w:lang w:val="en-US" w:eastAsia="zh" w:bidi="ar"/>
        </w:rPr>
        <w:t>就绪</w:t>
      </w:r>
      <w:r>
        <w:rPr>
          <w:rFonts w:hint="eastAsia" w:ascii="仿宋" w:hAnsi="仿宋" w:eastAsia="仿宋" w:cs="仿宋"/>
          <w:sz w:val="32"/>
          <w:szCs w:val="32"/>
          <w:lang w:val="en-US" w:eastAsia="zh-CN" w:bidi="ar"/>
        </w:rPr>
        <w:t>前，如有相关业务，将通过向前述指定邮箱发送材料方式办理。</w:t>
      </w:r>
    </w:p>
    <w:p>
      <w:pPr>
        <w:widowControl/>
        <w:adjustRightInd w:val="0"/>
        <w:snapToGrid w:val="0"/>
        <w:spacing w:line="560" w:lineRule="exact"/>
        <w:ind w:firstLine="640" w:firstLineChars="200"/>
        <w:rPr>
          <w:rFonts w:hint="eastAsia" w:ascii="仿宋" w:hAnsi="仿宋" w:eastAsia="仿宋" w:cs="仿宋"/>
          <w:sz w:val="32"/>
          <w:szCs w:val="32"/>
          <w:lang w:val="en-US" w:eastAsia="zh-CN" w:bidi="ar"/>
        </w:rPr>
        <w:sectPr>
          <w:pgSz w:w="11906" w:h="16838"/>
          <w:pgMar w:top="1440" w:right="1800" w:bottom="1440" w:left="1800" w:header="851" w:footer="992" w:gutter="0"/>
          <w:pgNumType w:fmt="decimal"/>
          <w:cols w:space="720" w:num="1"/>
          <w:formProt w:val="1"/>
          <w:docGrid w:type="lines" w:linePitch="312" w:charSpace="0"/>
        </w:sectPr>
      </w:pPr>
    </w:p>
    <w:p>
      <w:pPr>
        <w:pStyle w:val="2"/>
        <w:widowControl w:val="0"/>
        <w:adjustRightInd w:val="0"/>
        <w:snapToGrid w:val="0"/>
        <w:spacing w:before="0" w:after="0" w:line="560" w:lineRule="exact"/>
        <w:jc w:val="left"/>
        <w:rPr>
          <w:rFonts w:hint="eastAsia" w:ascii="宋体" w:hAnsi="宋体" w:eastAsia="宋体" w:cs="宋体"/>
          <w:b/>
          <w:bCs/>
          <w:sz w:val="44"/>
          <w:szCs w:val="44"/>
          <w:lang w:val="en-US" w:eastAsia="zh-CN"/>
        </w:rPr>
      </w:pPr>
      <w:bookmarkStart w:id="422" w:name="_Toc21586"/>
      <w:bookmarkStart w:id="423" w:name="_Toc28801"/>
      <w:bookmarkStart w:id="424" w:name="_Toc10595"/>
      <w:bookmarkStart w:id="425" w:name="_Toc26028"/>
      <w:bookmarkStart w:id="426" w:name="_Toc8946"/>
      <w:bookmarkStart w:id="427" w:name="_Toc16620"/>
      <w:bookmarkStart w:id="428" w:name="_Toc30215"/>
      <w:bookmarkStart w:id="429" w:name="_Toc7902"/>
      <w:bookmarkStart w:id="430" w:name="_Toc28417"/>
      <w:bookmarkStart w:id="431" w:name="_Toc148696263"/>
      <w:r>
        <w:rPr>
          <w:rFonts w:hint="eastAsia" w:ascii="宋体" w:hAnsi="宋体" w:eastAsia="宋体" w:cs="宋体"/>
          <w:b/>
          <w:bCs/>
          <w:sz w:val="44"/>
          <w:szCs w:val="44"/>
          <w:lang w:val="en-US" w:eastAsia="zh-CN"/>
        </w:rPr>
        <w:t>附件</w:t>
      </w:r>
      <w:bookmarkEnd w:id="422"/>
      <w:bookmarkEnd w:id="423"/>
      <w:bookmarkEnd w:id="424"/>
      <w:bookmarkEnd w:id="425"/>
      <w:bookmarkEnd w:id="426"/>
      <w:bookmarkEnd w:id="427"/>
      <w:bookmarkEnd w:id="428"/>
      <w:bookmarkEnd w:id="429"/>
      <w:bookmarkEnd w:id="430"/>
    </w:p>
    <w:p>
      <w:pPr>
        <w:pStyle w:val="3"/>
        <w:rPr>
          <w:rFonts w:hint="eastAsia" w:ascii="仿宋" w:hAnsi="仿宋" w:eastAsia="仿宋" w:cs="仿宋"/>
          <w:b w:val="0"/>
          <w:bCs w:val="0"/>
          <w:sz w:val="32"/>
          <w:szCs w:val="32"/>
        </w:rPr>
      </w:pPr>
      <w:bookmarkStart w:id="432" w:name="_Toc12168"/>
      <w:bookmarkStart w:id="433" w:name="_Toc28668"/>
      <w:bookmarkStart w:id="434" w:name="_Toc2396"/>
      <w:bookmarkStart w:id="435" w:name="_Toc6680"/>
      <w:bookmarkStart w:id="436" w:name="_Toc8123"/>
      <w:bookmarkStart w:id="437" w:name="_Toc10727"/>
      <w:bookmarkStart w:id="438" w:name="_Toc883"/>
      <w:bookmarkStart w:id="439" w:name="_Toc12506"/>
      <w:bookmarkStart w:id="440" w:name="_Toc3544"/>
      <w:r>
        <w:rPr>
          <w:rFonts w:hint="eastAsia" w:ascii="仿宋" w:hAnsi="仿宋" w:eastAsia="仿宋" w:cs="仿宋"/>
          <w:b w:val="0"/>
          <w:bCs w:val="0"/>
          <w:sz w:val="32"/>
          <w:szCs w:val="32"/>
        </w:rPr>
        <w:t>附件1 公募债发行公告</w:t>
      </w:r>
      <w:bookmarkEnd w:id="431"/>
      <w:bookmarkEnd w:id="432"/>
      <w:bookmarkEnd w:id="433"/>
      <w:bookmarkEnd w:id="434"/>
      <w:bookmarkEnd w:id="435"/>
      <w:bookmarkEnd w:id="436"/>
      <w:bookmarkEnd w:id="437"/>
      <w:bookmarkEnd w:id="438"/>
      <w:bookmarkEnd w:id="439"/>
      <w:bookmarkEnd w:id="440"/>
    </w:p>
    <w:p>
      <w:pPr>
        <w:adjustRightInd w:val="0"/>
        <w:snapToGrid w:val="0"/>
        <w:rPr>
          <w:rFonts w:eastAsia="黑体"/>
          <w:b/>
          <w:sz w:val="28"/>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【债券全称】</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发行公告</w:t>
      </w:r>
    </w:p>
    <w:p>
      <w:pPr>
        <w:adjustRightInd w:val="0"/>
        <w:snapToGrid w:val="0"/>
        <w:jc w:val="center"/>
        <w:rPr>
          <w:sz w:val="30"/>
        </w:rPr>
      </w:pPr>
      <w:r>
        <w:rPr>
          <w:rFonts w:hint="eastAsia" w:ascii="Calibri" w:hAnsi="Calibri" w:eastAsia="宋体" w:cs="宋体"/>
          <w:sz w:val="30"/>
          <w:lang w:bidi="ar"/>
        </w:rPr>
        <w:t>（以设置网上发行为例，内容可根据实际情况调整）</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【发行人】</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【主承销商】</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【签署日期】</w:t>
      </w:r>
    </w:p>
    <w:p>
      <w:pPr>
        <w:adjustRightInd w:val="0"/>
        <w:snapToGrid w:val="0"/>
        <w:jc w:val="center"/>
      </w:pPr>
      <w:r>
        <w:rPr>
          <w:rFonts w:ascii="Calibri" w:hAnsi="Calibri" w:eastAsia="宋体" w:cs="Times New Roman"/>
          <w:lang w:bidi="ar"/>
        </w:rPr>
        <w:br w:type="page"/>
      </w:r>
    </w:p>
    <w:p>
      <w:pPr>
        <w:adjustRightInd w:val="0"/>
        <w:snapToGrid w:val="0"/>
        <w:spacing w:line="360" w:lineRule="auto"/>
        <w:ind w:firstLine="482" w:firstLineChars="200"/>
      </w:pPr>
      <w:r>
        <w:rPr>
          <w:rFonts w:hint="eastAsia" w:ascii="Calibri" w:hAnsi="Calibri" w:eastAsia="宋体" w:cs="宋体"/>
          <w:b/>
          <w:sz w:val="24"/>
          <w:lang w:bidi="ar"/>
        </w:rPr>
        <w:t>本公司及其全体董事、监事、高级管理人员或履行同等职责的人员保证公告内容真实、准确和完整。</w:t>
      </w:r>
    </w:p>
    <w:p>
      <w:pPr>
        <w:adjustRightInd w:val="0"/>
        <w:snapToGrid w:val="0"/>
        <w:spacing w:line="360" w:lineRule="auto"/>
        <w:ind w:firstLine="562" w:firstLineChars="200"/>
        <w:jc w:val="center"/>
        <w:rPr>
          <w:rFonts w:hAnsi="宋体" w:eastAsia="黑体"/>
          <w:b/>
          <w:sz w:val="28"/>
          <w:szCs w:val="28"/>
        </w:rPr>
      </w:pPr>
      <w:r>
        <w:rPr>
          <w:rFonts w:hint="eastAsia" w:ascii="Calibri" w:hAnsi="宋体" w:eastAsia="黑体" w:cs="黑体"/>
          <w:b/>
          <w:sz w:val="28"/>
          <w:szCs w:val="28"/>
          <w:lang w:bidi="ar"/>
        </w:rPr>
        <w:t>重要事项提示</w:t>
      </w:r>
    </w:p>
    <w:p>
      <w:pPr>
        <w:adjustRightInd w:val="0"/>
        <w:snapToGrid w:val="0"/>
        <w:spacing w:line="360" w:lineRule="auto"/>
        <w:ind w:firstLine="480" w:firstLineChars="200"/>
        <w:rPr>
          <w:sz w:val="24"/>
        </w:rPr>
      </w:pPr>
      <w:r>
        <w:rPr>
          <w:rFonts w:ascii="Calibri" w:hAnsi="Calibri" w:eastAsia="宋体" w:cs="Times New Roman"/>
          <w:sz w:val="24"/>
          <w:lang w:bidi="ar"/>
        </w:rPr>
        <w:t>1</w:t>
      </w:r>
      <w:r>
        <w:rPr>
          <w:rFonts w:hint="eastAsia" w:ascii="Calibri" w:hAnsi="Calibri" w:eastAsia="宋体" w:cs="宋体"/>
          <w:sz w:val="24"/>
          <w:lang w:bidi="ar"/>
        </w:rPr>
        <w:t>、【】（以下简称“发行人”或“公司”）已于【】年【】月【】日获得中国证券监督管理委员会证监许可【】号文注册</w:t>
      </w:r>
      <w:r>
        <w:rPr>
          <w:rFonts w:ascii="Calibri" w:hAnsi="Calibri" w:eastAsia="宋体" w:cs="宋体"/>
          <w:sz w:val="24"/>
          <w:lang w:bidi="ar"/>
        </w:rPr>
        <w:t>/国家发展和改革委员会发改企业债券〔xx〕xx号文件批准</w:t>
      </w:r>
      <w:r>
        <w:rPr>
          <w:rFonts w:hint="eastAsia" w:ascii="Calibri" w:hAnsi="Calibri" w:eastAsia="宋体" w:cs="宋体"/>
          <w:sz w:val="24"/>
          <w:lang w:bidi="ar"/>
        </w:rPr>
        <w:t>公开发行面值不超过【】亿元的公司债券</w:t>
      </w:r>
      <w:r>
        <w:rPr>
          <w:rFonts w:ascii="Calibri" w:hAnsi="Calibri" w:eastAsia="宋体" w:cs="Times New Roman"/>
          <w:sz w:val="24"/>
          <w:lang w:bidi="ar"/>
        </w:rPr>
        <w:t>/</w:t>
      </w:r>
      <w:r>
        <w:rPr>
          <w:rFonts w:hint="eastAsia" w:ascii="Calibri" w:hAnsi="Calibri" w:eastAsia="宋体" w:cs="宋体"/>
          <w:sz w:val="24"/>
          <w:lang w:bidi="ar"/>
        </w:rPr>
        <w:t>企业债券（以下简称“本次债券”）。</w:t>
      </w:r>
    </w:p>
    <w:p>
      <w:pPr>
        <w:adjustRightInd w:val="0"/>
        <w:snapToGrid w:val="0"/>
        <w:spacing w:line="360" w:lineRule="auto"/>
        <w:ind w:firstLine="480" w:firstLineChars="200"/>
        <w:rPr>
          <w:sz w:val="24"/>
        </w:rPr>
      </w:pPr>
      <w:r>
        <w:rPr>
          <w:rFonts w:ascii="Calibri" w:hAnsi="Calibri" w:eastAsia="宋体" w:cs="Times New Roman"/>
          <w:sz w:val="24"/>
          <w:lang w:bidi="ar"/>
        </w:rPr>
        <w:t>2</w:t>
      </w:r>
      <w:r>
        <w:rPr>
          <w:rFonts w:hint="eastAsia" w:ascii="Calibri" w:hAnsi="Calibri" w:eastAsia="宋体" w:cs="宋体"/>
          <w:sz w:val="24"/>
          <w:lang w:bidi="ar"/>
        </w:rPr>
        <w:t>、本期债券发行规模为</w:t>
      </w:r>
      <w:r>
        <w:rPr>
          <w:rFonts w:ascii="Calibri" w:hAnsi="Calibri" w:eastAsia="宋体" w:cs="宋体"/>
          <w:sz w:val="24"/>
          <w:lang w:bidi="ar"/>
        </w:rPr>
        <w:t>【不超过】</w:t>
      </w:r>
      <w:r>
        <w:rPr>
          <w:rFonts w:hint="eastAsia" w:ascii="Calibri" w:hAnsi="Calibri" w:eastAsia="宋体" w:cs="宋体"/>
          <w:sz w:val="24"/>
          <w:lang w:bidi="ar"/>
        </w:rPr>
        <w:t>人民币【】亿元</w:t>
      </w:r>
      <w:r>
        <w:rPr>
          <w:rFonts w:ascii="Calibri" w:hAnsi="Calibri" w:eastAsia="宋体" w:cs="宋体"/>
          <w:sz w:val="24"/>
          <w:lang w:bidi="ar"/>
        </w:rPr>
        <w:t>（【含【】亿元】）</w:t>
      </w:r>
      <w:r>
        <w:rPr>
          <w:rFonts w:hint="eastAsia" w:ascii="Calibri" w:hAnsi="Calibri" w:eastAsia="宋体" w:cs="宋体"/>
          <w:sz w:val="24"/>
          <w:lang w:bidi="ar"/>
        </w:rPr>
        <w:t>，每张面值为</w:t>
      </w:r>
      <w:r>
        <w:rPr>
          <w:rFonts w:ascii="Calibri" w:hAnsi="Calibri" w:eastAsia="宋体" w:cs="Times New Roman"/>
          <w:sz w:val="24"/>
          <w:lang w:bidi="ar"/>
        </w:rPr>
        <w:t>100</w:t>
      </w:r>
      <w:r>
        <w:rPr>
          <w:rFonts w:hint="eastAsia" w:ascii="Calibri" w:hAnsi="Calibri" w:eastAsia="宋体" w:cs="宋体"/>
          <w:sz w:val="24"/>
          <w:lang w:bidi="ar"/>
        </w:rPr>
        <w:t>元，发行数量为【】万张，发行价格为人民币</w:t>
      </w:r>
      <w:r>
        <w:rPr>
          <w:rFonts w:ascii="Calibri" w:hAnsi="Calibri" w:eastAsia="宋体" w:cs="Times New Roman"/>
          <w:sz w:val="24"/>
          <w:lang w:bidi="ar"/>
        </w:rPr>
        <w:t>100</w:t>
      </w:r>
      <w:r>
        <w:rPr>
          <w:rFonts w:hint="eastAsia" w:ascii="Calibri" w:hAnsi="Calibri" w:eastAsia="宋体" w:cs="宋体"/>
          <w:sz w:val="24"/>
          <w:lang w:bidi="ar"/>
        </w:rPr>
        <w:t>元</w:t>
      </w:r>
      <w:r>
        <w:rPr>
          <w:rFonts w:ascii="Calibri" w:hAnsi="Calibri" w:eastAsia="宋体" w:cs="Times New Roman"/>
          <w:sz w:val="24"/>
          <w:lang w:bidi="ar"/>
        </w:rPr>
        <w:t>/</w:t>
      </w:r>
      <w:r>
        <w:rPr>
          <w:rFonts w:hint="eastAsia" w:ascii="Calibri" w:hAnsi="Calibri" w:eastAsia="宋体" w:cs="宋体"/>
          <w:sz w:val="24"/>
          <w:lang w:bidi="ar"/>
        </w:rPr>
        <w:t>张。</w:t>
      </w:r>
    </w:p>
    <w:p>
      <w:pPr>
        <w:adjustRightInd w:val="0"/>
        <w:snapToGrid w:val="0"/>
        <w:spacing w:line="360" w:lineRule="auto"/>
        <w:ind w:firstLine="480" w:firstLineChars="200"/>
        <w:rPr>
          <w:sz w:val="24"/>
        </w:rPr>
      </w:pPr>
      <w:r>
        <w:rPr>
          <w:rFonts w:ascii="Calibri" w:hAnsi="Calibri" w:eastAsia="宋体" w:cs="Times New Roman"/>
          <w:sz w:val="24"/>
          <w:lang w:bidi="ar"/>
        </w:rPr>
        <w:t>3</w:t>
      </w:r>
      <w:r>
        <w:rPr>
          <w:rFonts w:hint="eastAsia" w:ascii="Calibri" w:hAnsi="Calibri" w:eastAsia="宋体" w:cs="宋体"/>
          <w:sz w:val="24"/>
          <w:lang w:bidi="ar"/>
        </w:rPr>
        <w:t>、根据《证券法》等相关规定，本期债券仅面向专业投资者中的机构投资者发行，普通投资者和专业投资者中的个人投资者不得参与发行认购。本期债券上市后将被实施投资者适当性管理，仅专业投资者中的机构投资者参与交易，普通投资者和专业投资者中的个人投资者认购或买入的交易行为无效。</w:t>
      </w:r>
    </w:p>
    <w:p>
      <w:pPr>
        <w:adjustRightInd w:val="0"/>
        <w:snapToGrid w:val="0"/>
        <w:spacing w:line="360" w:lineRule="auto"/>
        <w:ind w:firstLine="480" w:firstLineChars="200"/>
        <w:rPr>
          <w:sz w:val="24"/>
        </w:rPr>
      </w:pPr>
      <w:r>
        <w:rPr>
          <w:rFonts w:ascii="Calibri" w:hAnsi="Calibri" w:eastAsia="宋体" w:cs="Times New Roman"/>
          <w:sz w:val="24"/>
          <w:lang w:bidi="ar"/>
        </w:rPr>
        <w:t>4</w:t>
      </w:r>
      <w:r>
        <w:rPr>
          <w:rFonts w:hint="eastAsia" w:ascii="Calibri" w:hAnsi="Calibri" w:eastAsia="宋体" w:cs="宋体"/>
          <w:sz w:val="24"/>
          <w:lang w:bidi="ar"/>
        </w:rPr>
        <w:t>、经【】综合评定，发行人本期债券评级为【】（未进行评级的债券不适用），主体评级为【】，评级展望为【】。本期债券发行上市前，公司最近一期期末净资产为【】（【】年【】月【】日合并财务报表中的所有者权益合计），合并口径资产负债率为【】，母公司口径资产负债率为【】；发行人最近三个会计年度实现的年均可分配利润为【】亿元（</w:t>
      </w:r>
      <w:r>
        <w:rPr>
          <w:rFonts w:ascii="Calibri" w:hAnsi="Calibri" w:eastAsia="宋体" w:cs="Times New Roman"/>
          <w:sz w:val="24"/>
          <w:lang w:bidi="ar"/>
        </w:rPr>
        <w:t>20XX</w:t>
      </w:r>
      <w:r>
        <w:rPr>
          <w:rFonts w:hint="eastAsia" w:ascii="Calibri" w:hAnsi="Calibri" w:eastAsia="宋体" w:cs="宋体"/>
          <w:sz w:val="24"/>
          <w:lang w:bidi="ar"/>
        </w:rPr>
        <w:t>年度、</w:t>
      </w:r>
      <w:r>
        <w:rPr>
          <w:rFonts w:ascii="Calibri" w:hAnsi="Calibri" w:eastAsia="宋体" w:cs="Times New Roman"/>
          <w:sz w:val="24"/>
          <w:lang w:bidi="ar"/>
        </w:rPr>
        <w:t>20XX</w:t>
      </w:r>
      <w:r>
        <w:rPr>
          <w:rFonts w:hint="eastAsia" w:ascii="Calibri" w:hAnsi="Calibri" w:eastAsia="宋体" w:cs="宋体"/>
          <w:sz w:val="24"/>
          <w:lang w:bidi="ar"/>
        </w:rPr>
        <w:t>年度和</w:t>
      </w:r>
      <w:r>
        <w:rPr>
          <w:rFonts w:ascii="Calibri" w:hAnsi="Calibri" w:eastAsia="宋体" w:cs="Times New Roman"/>
          <w:sz w:val="24"/>
          <w:lang w:bidi="ar"/>
        </w:rPr>
        <w:t>20XX</w:t>
      </w:r>
      <w:r>
        <w:rPr>
          <w:rFonts w:hint="eastAsia" w:ascii="Calibri" w:hAnsi="Calibri" w:eastAsia="宋体" w:cs="宋体"/>
          <w:sz w:val="24"/>
          <w:lang w:bidi="ar"/>
        </w:rPr>
        <w:t>年度实现的归属于母公司所有者的净利润【】万元、【】万元和【】万元的平均值），预计不少于本期债券一年利息的</w:t>
      </w:r>
      <w:r>
        <w:rPr>
          <w:rFonts w:ascii="Calibri" w:hAnsi="Calibri" w:eastAsia="宋体" w:cs="Times New Roman"/>
          <w:sz w:val="24"/>
          <w:lang w:bidi="ar"/>
        </w:rPr>
        <w:t>1</w:t>
      </w:r>
      <w:r>
        <w:rPr>
          <w:rFonts w:hint="eastAsia" w:ascii="Calibri" w:hAnsi="Calibri" w:eastAsia="宋体" w:cs="宋体"/>
          <w:sz w:val="24"/>
          <w:lang w:bidi="ar"/>
        </w:rPr>
        <w:t>倍。发行人在本期发行前的财务指标符合相关规定。</w:t>
      </w:r>
    </w:p>
    <w:p>
      <w:pPr>
        <w:adjustRightInd w:val="0"/>
        <w:snapToGrid w:val="0"/>
        <w:spacing w:line="360" w:lineRule="auto"/>
        <w:ind w:firstLine="480" w:firstLineChars="200"/>
        <w:rPr>
          <w:sz w:val="24"/>
        </w:rPr>
      </w:pPr>
      <w:r>
        <w:rPr>
          <w:rFonts w:ascii="Calibri" w:hAnsi="Calibri" w:eastAsia="宋体" w:cs="Times New Roman"/>
          <w:sz w:val="24"/>
          <w:lang w:bidi="ar"/>
        </w:rPr>
        <w:t>5</w:t>
      </w:r>
      <w:r>
        <w:rPr>
          <w:rFonts w:hint="eastAsia" w:ascii="Calibri" w:hAnsi="Calibri" w:eastAsia="宋体" w:cs="宋体"/>
          <w:sz w:val="24"/>
          <w:lang w:bidi="ar"/>
        </w:rPr>
        <w:t>、本次发行结束后，公司将尽快向深圳证券交易所</w:t>
      </w:r>
      <w:r>
        <w:rPr>
          <w:rFonts w:ascii="Calibri" w:hAnsi="Calibri" w:eastAsia="宋体" w:cs="宋体"/>
          <w:sz w:val="24"/>
          <w:lang w:bidi="ar"/>
        </w:rPr>
        <w:t>【和</w:t>
      </w:r>
      <w:r>
        <w:rPr>
          <w:rFonts w:hint="eastAsia" w:ascii="Calibri" w:hAnsi="Calibri" w:eastAsia="宋体" w:cs="宋体"/>
          <w:sz w:val="24"/>
          <w:lang w:bidi="ar"/>
        </w:rPr>
        <w:t>全国</w:t>
      </w:r>
      <w:r>
        <w:rPr>
          <w:rFonts w:ascii="Calibri" w:hAnsi="Calibri" w:eastAsia="宋体" w:cs="宋体"/>
          <w:sz w:val="24"/>
          <w:lang w:bidi="ar"/>
        </w:rPr>
        <w:t>银行间</w:t>
      </w:r>
      <w:r>
        <w:rPr>
          <w:rFonts w:hint="eastAsia" w:ascii="Calibri" w:hAnsi="Calibri" w:eastAsia="宋体" w:cs="宋体"/>
          <w:sz w:val="24"/>
          <w:lang w:bidi="ar"/>
        </w:rPr>
        <w:t>债券</w:t>
      </w:r>
      <w:r>
        <w:rPr>
          <w:rFonts w:ascii="Calibri" w:hAnsi="Calibri" w:eastAsia="宋体" w:cs="宋体"/>
          <w:sz w:val="24"/>
          <w:lang w:bidi="ar"/>
        </w:rPr>
        <w:t>市场（企业债</w:t>
      </w:r>
      <w:r>
        <w:rPr>
          <w:rFonts w:hint="eastAsia" w:ascii="Calibri" w:hAnsi="Calibri" w:eastAsia="宋体" w:cs="宋体"/>
          <w:sz w:val="24"/>
          <w:lang w:bidi="ar"/>
        </w:rPr>
        <w:t>适用</w:t>
      </w:r>
      <w:r>
        <w:rPr>
          <w:rFonts w:ascii="Calibri" w:hAnsi="Calibri" w:eastAsia="宋体" w:cs="宋体"/>
          <w:sz w:val="24"/>
          <w:lang w:bidi="ar"/>
        </w:rPr>
        <w:t>）】</w:t>
      </w:r>
      <w:r>
        <w:rPr>
          <w:rFonts w:hint="eastAsia" w:ascii="Calibri" w:hAnsi="Calibri" w:eastAsia="宋体" w:cs="宋体"/>
          <w:sz w:val="24"/>
          <w:lang w:bidi="ar"/>
        </w:rPr>
        <w:t>提出关于本期债券上市【或交易流通（企业债券适用）】的申请。本期债券符合深圳证券交易所上市条件，将采取匹配成交、点击成交、询价成交、竞买成交及协商成交的交易方式。但本期债券上市前，公司财务状况、经营业绩、现金流和信用评级等情况可能出现重大变化，公司无法保证本期债券上市申请能够获得深圳证券交易所同意，若届时本期债券无法上市，投资者有权选择将本期债券回售予本公司。因公司经营与收益等情况变化引致的投资风险和流动性风险，由债券投资者自行承担，本期债券不能在除深圳证券交易所以外的其他交易场所上市</w:t>
      </w:r>
      <w:r>
        <w:rPr>
          <w:sz w:val="24"/>
          <w:szCs w:val="24"/>
        </w:rPr>
        <w:t>（公司债券适用）</w:t>
      </w:r>
      <w:r>
        <w:t>/</w:t>
      </w:r>
      <w:r>
        <w:rPr>
          <w:rFonts w:hint="eastAsia" w:ascii="Calibri" w:hAnsi="Calibri" w:eastAsia="宋体" w:cs="宋体"/>
          <w:sz w:val="24"/>
          <w:lang w:bidi="ar"/>
        </w:rPr>
        <w:t>本期债券不能在除深圳证券交易所</w:t>
      </w:r>
      <w:r>
        <w:rPr>
          <w:rFonts w:ascii="Calibri" w:hAnsi="Calibri" w:eastAsia="宋体" w:cs="宋体"/>
          <w:sz w:val="24"/>
          <w:lang w:bidi="ar"/>
        </w:rPr>
        <w:t>及银行间市场</w:t>
      </w:r>
      <w:r>
        <w:rPr>
          <w:rFonts w:hint="eastAsia" w:ascii="Calibri" w:hAnsi="Calibri" w:eastAsia="宋体" w:cs="宋体"/>
          <w:sz w:val="24"/>
          <w:lang w:bidi="ar"/>
        </w:rPr>
        <w:t>以外的其他交易场所上市</w:t>
      </w:r>
      <w:r>
        <w:rPr>
          <w:rFonts w:ascii="Calibri" w:hAnsi="Calibri" w:eastAsia="宋体" w:cs="宋体"/>
          <w:sz w:val="24"/>
          <w:lang w:bidi="ar"/>
        </w:rPr>
        <w:t>（企业债券适用）</w:t>
      </w:r>
      <w:r>
        <w:rPr>
          <w:rFonts w:hint="eastAsia" w:ascii="Calibri" w:hAnsi="Calibri" w:eastAsia="宋体" w:cs="宋体"/>
          <w:sz w:val="24"/>
          <w:lang w:bidi="ar"/>
        </w:rPr>
        <w:t>。</w:t>
      </w:r>
    </w:p>
    <w:p>
      <w:pPr>
        <w:adjustRightInd w:val="0"/>
        <w:snapToGrid w:val="0"/>
        <w:spacing w:line="360" w:lineRule="auto"/>
        <w:ind w:firstLine="480" w:firstLineChars="200"/>
        <w:rPr>
          <w:sz w:val="24"/>
        </w:rPr>
      </w:pPr>
      <w:r>
        <w:rPr>
          <w:rFonts w:ascii="Calibri" w:hAnsi="Calibri" w:eastAsia="宋体" w:cs="Times New Roman"/>
          <w:sz w:val="24"/>
          <w:lang w:bidi="ar"/>
        </w:rPr>
        <w:t>6</w:t>
      </w:r>
      <w:r>
        <w:rPr>
          <w:rFonts w:hint="eastAsia" w:ascii="Calibri" w:hAnsi="Calibri" w:eastAsia="宋体" w:cs="宋体"/>
          <w:sz w:val="24"/>
          <w:lang w:bidi="ar"/>
        </w:rPr>
        <w:t>、期限：【】</w:t>
      </w:r>
    </w:p>
    <w:p>
      <w:pPr>
        <w:adjustRightInd w:val="0"/>
        <w:snapToGrid w:val="0"/>
        <w:spacing w:line="360" w:lineRule="auto"/>
        <w:ind w:firstLine="480" w:firstLineChars="200"/>
        <w:rPr>
          <w:sz w:val="24"/>
        </w:rPr>
      </w:pPr>
      <w:r>
        <w:rPr>
          <w:rFonts w:ascii="Calibri" w:hAnsi="Calibri" w:eastAsia="宋体" w:cs="Times New Roman"/>
          <w:sz w:val="24"/>
          <w:lang w:bidi="ar"/>
        </w:rPr>
        <w:t>7</w:t>
      </w:r>
      <w:r>
        <w:rPr>
          <w:rFonts w:hint="eastAsia" w:ascii="Calibri" w:hAnsi="Calibri" w:eastAsia="宋体" w:cs="宋体"/>
          <w:sz w:val="24"/>
          <w:lang w:bidi="ar"/>
        </w:rPr>
        <w:t>、【增信措施（如有）】</w:t>
      </w:r>
    </w:p>
    <w:p>
      <w:pPr>
        <w:adjustRightInd w:val="0"/>
        <w:snapToGrid w:val="0"/>
        <w:spacing w:line="360" w:lineRule="auto"/>
        <w:ind w:firstLine="480" w:firstLineChars="200"/>
        <w:rPr>
          <w:sz w:val="24"/>
        </w:rPr>
      </w:pPr>
      <w:r>
        <w:rPr>
          <w:rFonts w:ascii="Calibri" w:hAnsi="Calibri" w:eastAsia="宋体" w:cs="Times New Roman"/>
          <w:sz w:val="24"/>
          <w:lang w:bidi="ar"/>
        </w:rPr>
        <w:t>8</w:t>
      </w:r>
      <w:r>
        <w:rPr>
          <w:rFonts w:hint="eastAsia" w:ascii="Calibri" w:hAnsi="Calibri" w:eastAsia="宋体" w:cs="宋体"/>
          <w:sz w:val="24"/>
          <w:lang w:bidi="ar"/>
        </w:rPr>
        <w:t>、【特殊权利条款（如有）】</w:t>
      </w:r>
    </w:p>
    <w:p>
      <w:pPr>
        <w:adjustRightInd w:val="0"/>
        <w:snapToGrid w:val="0"/>
        <w:spacing w:line="360" w:lineRule="auto"/>
        <w:ind w:firstLine="480" w:firstLineChars="200"/>
        <w:rPr>
          <w:rFonts w:ascii="Calibri" w:hAnsi="Calibri" w:eastAsia="宋体" w:cs="宋体"/>
          <w:sz w:val="24"/>
          <w:lang w:bidi="ar"/>
        </w:rPr>
      </w:pPr>
      <w:r>
        <w:rPr>
          <w:rFonts w:ascii="Calibri" w:hAnsi="Calibri" w:eastAsia="宋体" w:cs="Times New Roman"/>
          <w:sz w:val="24"/>
          <w:lang w:bidi="ar"/>
        </w:rPr>
        <w:t>9</w:t>
      </w:r>
      <w:r>
        <w:rPr>
          <w:rFonts w:hint="eastAsia" w:ascii="Calibri" w:hAnsi="Calibri" w:eastAsia="宋体" w:cs="宋体"/>
          <w:sz w:val="24"/>
          <w:lang w:bidi="ar"/>
        </w:rPr>
        <w:t>、</w:t>
      </w:r>
      <w:r>
        <w:rPr>
          <w:rFonts w:ascii="Calibri" w:hAnsi="Calibri" w:eastAsia="宋体" w:cs="宋体"/>
          <w:sz w:val="24"/>
          <w:lang w:bidi="ar"/>
        </w:rPr>
        <w:t>【簿记场所、簿记时间等簿记建档重要事项】</w:t>
      </w:r>
    </w:p>
    <w:p>
      <w:pPr>
        <w:adjustRightInd w:val="0"/>
        <w:snapToGrid w:val="0"/>
        <w:spacing w:line="360" w:lineRule="auto"/>
        <w:ind w:firstLine="480" w:firstLineChars="200"/>
        <w:rPr>
          <w:sz w:val="24"/>
        </w:rPr>
      </w:pPr>
      <w:r>
        <w:rPr>
          <w:rFonts w:ascii="Calibri" w:hAnsi="Calibri" w:eastAsia="宋体" w:cs="宋体"/>
          <w:sz w:val="24"/>
          <w:lang w:bidi="ar"/>
        </w:rPr>
        <w:t>10、</w:t>
      </w:r>
      <w:r>
        <w:rPr>
          <w:rFonts w:hint="eastAsia" w:ascii="Calibri" w:hAnsi="Calibri" w:eastAsia="宋体" w:cs="宋体"/>
          <w:sz w:val="24"/>
          <w:lang w:bidi="ar"/>
        </w:rPr>
        <w:t>本期债券的询价区间为【】，发行人和主承销商将于</w:t>
      </w:r>
      <w:r>
        <w:rPr>
          <w:rFonts w:ascii="Calibri" w:hAnsi="Calibri" w:eastAsia="宋体" w:cs="Times New Roman"/>
          <w:sz w:val="24"/>
          <w:lang w:bidi="ar"/>
        </w:rPr>
        <w:t>20XX</w:t>
      </w:r>
      <w:r>
        <w:rPr>
          <w:rFonts w:hint="eastAsia" w:ascii="Calibri" w:hAnsi="Calibri" w:eastAsia="宋体" w:cs="宋体"/>
          <w:sz w:val="24"/>
          <w:lang w:bidi="ar"/>
        </w:rPr>
        <w:t>年【】月【】日（</w:t>
      </w:r>
      <w:r>
        <w:rPr>
          <w:rFonts w:ascii="Calibri" w:hAnsi="Calibri" w:eastAsia="宋体" w:cs="Times New Roman"/>
          <w:sz w:val="24"/>
          <w:lang w:bidi="ar"/>
        </w:rPr>
        <w:t>T-1</w:t>
      </w:r>
      <w:r>
        <w:rPr>
          <w:rFonts w:hint="eastAsia" w:ascii="Calibri" w:hAnsi="Calibri" w:eastAsia="宋体" w:cs="宋体"/>
          <w:sz w:val="24"/>
          <w:lang w:bidi="ar"/>
        </w:rPr>
        <w:t>日）向投资者利率询价，并根据利率询价情况确定本期债券的最终票面利率。发行人和主承销商将于</w:t>
      </w:r>
      <w:r>
        <w:rPr>
          <w:rFonts w:ascii="Calibri" w:hAnsi="Calibri" w:eastAsia="宋体" w:cs="Times New Roman"/>
          <w:sz w:val="24"/>
          <w:lang w:bidi="ar"/>
        </w:rPr>
        <w:t>20XX</w:t>
      </w:r>
      <w:r>
        <w:rPr>
          <w:rFonts w:hint="eastAsia" w:ascii="Calibri" w:hAnsi="Calibri" w:eastAsia="宋体" w:cs="宋体"/>
          <w:sz w:val="24"/>
          <w:lang w:bidi="ar"/>
        </w:rPr>
        <w:t>年【】月【】日（</w:t>
      </w:r>
      <w:r>
        <w:rPr>
          <w:rFonts w:ascii="Calibri" w:hAnsi="Calibri" w:eastAsia="宋体" w:cs="Times New Roman"/>
          <w:sz w:val="24"/>
          <w:lang w:bidi="ar"/>
        </w:rPr>
        <w:t>T-1</w:t>
      </w:r>
      <w:r>
        <w:rPr>
          <w:rFonts w:hint="eastAsia" w:ascii="Calibri" w:hAnsi="Calibri" w:eastAsia="宋体" w:cs="宋体"/>
          <w:sz w:val="24"/>
          <w:lang w:bidi="ar"/>
        </w:rPr>
        <w:t>日）在深圳证券交易所网站（</w:t>
      </w:r>
      <w:r>
        <w:rPr>
          <w:rFonts w:ascii="Calibri" w:hAnsi="Calibri" w:eastAsia="宋体" w:cs="Times New Roman"/>
          <w:sz w:val="24"/>
          <w:lang w:bidi="ar"/>
        </w:rPr>
        <w:t>http://www.szse.cn</w:t>
      </w:r>
      <w:r>
        <w:rPr>
          <w:rFonts w:hint="eastAsia" w:ascii="Calibri" w:hAnsi="Calibri" w:eastAsia="宋体" w:cs="宋体"/>
          <w:sz w:val="24"/>
          <w:lang w:bidi="ar"/>
        </w:rPr>
        <w:t>）及巨潮资讯网（</w:t>
      </w:r>
      <w:r>
        <w:rPr>
          <w:rFonts w:ascii="Calibri" w:hAnsi="Calibri" w:eastAsia="宋体" w:cs="Times New Roman"/>
          <w:sz w:val="24"/>
          <w:lang w:bidi="ar"/>
        </w:rPr>
        <w:t>http://www.cninfo.com.cn</w:t>
      </w:r>
      <w:r>
        <w:rPr>
          <w:rFonts w:hint="eastAsia" w:ascii="Calibri" w:hAnsi="Calibri" w:eastAsia="宋体" w:cs="宋体"/>
          <w:sz w:val="24"/>
          <w:lang w:bidi="ar"/>
        </w:rPr>
        <w:t>）上公告本期债券的最终票面利率，敬请投资者关注。</w:t>
      </w:r>
    </w:p>
    <w:p>
      <w:pPr>
        <w:adjustRightInd w:val="0"/>
        <w:snapToGrid w:val="0"/>
        <w:spacing w:line="360" w:lineRule="auto"/>
        <w:ind w:firstLine="480" w:firstLineChars="200"/>
        <w:rPr>
          <w:sz w:val="24"/>
        </w:rPr>
      </w:pPr>
      <w:r>
        <w:rPr>
          <w:rFonts w:hint="eastAsia" w:ascii="Calibri" w:hAnsi="Calibri" w:eastAsia="宋体" w:cs="宋体"/>
          <w:sz w:val="24"/>
          <w:lang w:bidi="ar"/>
        </w:rPr>
        <w:t>【如同时有网下发行和网上发行，则应适用以下</w:t>
      </w:r>
      <w:r>
        <w:rPr>
          <w:rFonts w:ascii="Calibri" w:hAnsi="Calibri" w:eastAsia="宋体" w:cs="宋体"/>
          <w:sz w:val="24"/>
          <w:lang w:bidi="ar"/>
        </w:rPr>
        <w:t>第11</w:t>
      </w:r>
      <w:r>
        <w:rPr>
          <w:rFonts w:ascii="Calibri" w:hAnsi="Calibri" w:eastAsia="宋体" w:cs="Times New Roman"/>
          <w:sz w:val="24"/>
          <w:lang w:bidi="ar"/>
        </w:rPr>
        <w:t>-13</w:t>
      </w:r>
      <w:r>
        <w:rPr>
          <w:rFonts w:hint="eastAsia" w:ascii="Calibri" w:hAnsi="Calibri" w:eastAsia="宋体" w:cs="宋体"/>
          <w:sz w:val="24"/>
          <w:lang w:bidi="ar"/>
        </w:rPr>
        <w:t>点，如仅有网下发行，则适用第</w:t>
      </w:r>
      <w:r>
        <w:rPr>
          <w:rFonts w:ascii="Calibri" w:hAnsi="Calibri" w:eastAsia="宋体" w:cs="宋体"/>
          <w:sz w:val="24"/>
          <w:lang w:bidi="ar"/>
        </w:rPr>
        <w:t>14</w:t>
      </w:r>
      <w:r>
        <w:rPr>
          <w:rFonts w:hint="eastAsia" w:ascii="Calibri" w:hAnsi="Calibri" w:eastAsia="宋体" w:cs="宋体"/>
          <w:sz w:val="24"/>
          <w:lang w:bidi="ar"/>
        </w:rPr>
        <w:t>点即可。】</w:t>
      </w:r>
    </w:p>
    <w:p>
      <w:pPr>
        <w:adjustRightInd w:val="0"/>
        <w:snapToGrid w:val="0"/>
        <w:spacing w:line="360" w:lineRule="auto"/>
        <w:ind w:firstLine="480" w:firstLineChars="200"/>
        <w:rPr>
          <w:sz w:val="24"/>
        </w:rPr>
      </w:pPr>
      <w:r>
        <w:rPr>
          <w:rFonts w:ascii="Calibri" w:hAnsi="Calibri" w:eastAsia="宋体" w:cs="Times New Roman"/>
          <w:sz w:val="24"/>
          <w:lang w:bidi="ar"/>
        </w:rPr>
        <w:t>11</w:t>
      </w:r>
      <w:r>
        <w:rPr>
          <w:rFonts w:hint="eastAsia" w:ascii="Calibri" w:hAnsi="Calibri" w:eastAsia="宋体" w:cs="宋体"/>
          <w:sz w:val="24"/>
          <w:lang w:bidi="ar"/>
        </w:rPr>
        <w:t>、本期债券面向拥有中国证券登记结算有限责任公司深圳分公司开立</w:t>
      </w:r>
      <w:r>
        <w:rPr>
          <w:rFonts w:ascii="Calibri" w:hAnsi="Calibri" w:eastAsia="宋体" w:cs="Times New Roman"/>
          <w:sz w:val="24"/>
          <w:lang w:bidi="ar"/>
        </w:rPr>
        <w:t>A</w:t>
      </w:r>
      <w:r>
        <w:rPr>
          <w:rFonts w:hint="eastAsia" w:ascii="Calibri" w:hAnsi="Calibri" w:eastAsia="宋体" w:cs="宋体"/>
          <w:sz w:val="24"/>
          <w:lang w:bidi="ar"/>
        </w:rPr>
        <w:t>股证券账户的普通投资者和专业投资者（法律、法规禁止购买者除外）发行，发行采取网上面向普通投资者公开发行和网下面向专业投资者询价配售相结合的方式。网上认购按照“时间优先”的原则实时成交，网下申购由发行人与主承销商根据网下询价情况进行配售，具体配售原则请详见本公告之“四、网下发行”之“（六）配售”。具体发行安排将根据深圳证券交易所的相关规定进行。</w:t>
      </w:r>
    </w:p>
    <w:p>
      <w:pPr>
        <w:adjustRightInd w:val="0"/>
        <w:snapToGrid w:val="0"/>
        <w:spacing w:line="360" w:lineRule="auto"/>
        <w:ind w:firstLine="480" w:firstLineChars="200"/>
        <w:rPr>
          <w:sz w:val="24"/>
        </w:rPr>
      </w:pPr>
      <w:r>
        <w:rPr>
          <w:rFonts w:ascii="Calibri" w:hAnsi="Calibri" w:eastAsia="宋体" w:cs="Times New Roman"/>
          <w:sz w:val="24"/>
          <w:lang w:bidi="ar"/>
        </w:rPr>
        <w:t>12</w:t>
      </w:r>
      <w:r>
        <w:rPr>
          <w:rFonts w:hint="eastAsia" w:ascii="Calibri" w:hAnsi="Calibri" w:eastAsia="宋体" w:cs="宋体"/>
          <w:sz w:val="24"/>
          <w:lang w:bidi="ar"/>
        </w:rPr>
        <w:t>、本期债券网上、网下预设的发行总额分别为【】亿元和【】亿元，占发行规模的比例分别为【】</w:t>
      </w:r>
      <w:r>
        <w:rPr>
          <w:rFonts w:ascii="Calibri" w:hAnsi="Calibri" w:eastAsia="宋体" w:cs="Times New Roman"/>
          <w:sz w:val="24"/>
          <w:lang w:bidi="ar"/>
        </w:rPr>
        <w:t>%</w:t>
      </w:r>
      <w:r>
        <w:rPr>
          <w:rFonts w:hint="eastAsia" w:ascii="Calibri" w:hAnsi="Calibri" w:eastAsia="宋体" w:cs="宋体"/>
          <w:sz w:val="24"/>
          <w:lang w:bidi="ar"/>
        </w:rPr>
        <w:t>和【】</w:t>
      </w:r>
      <w:r>
        <w:rPr>
          <w:rFonts w:ascii="Calibri" w:hAnsi="Calibri" w:eastAsia="宋体" w:cs="Times New Roman"/>
          <w:sz w:val="24"/>
          <w:lang w:bidi="ar"/>
        </w:rPr>
        <w:t>%</w:t>
      </w:r>
      <w:r>
        <w:rPr>
          <w:rFonts w:hint="eastAsia" w:ascii="Calibri" w:hAnsi="Calibri" w:eastAsia="宋体" w:cs="宋体"/>
          <w:sz w:val="24"/>
          <w:lang w:bidi="ar"/>
        </w:rPr>
        <w:t>。【说明回拨机制，如：发行人和主承销商将根据网上发行情况决定是否启动回拨机制，如网上发行数量获得全额认购，则不进行回拨；如网上发行数量认购不足，则将剩余部分全部回拨至网下发行；如网下最终认购不足，则由牵头主承销商以余额包销的方式购入。本期债券采取单向回拨，不进行网下向网上回拨。】</w:t>
      </w:r>
    </w:p>
    <w:p>
      <w:pPr>
        <w:adjustRightInd w:val="0"/>
        <w:snapToGrid w:val="0"/>
        <w:spacing w:line="360" w:lineRule="auto"/>
        <w:ind w:firstLine="480" w:firstLineChars="200"/>
        <w:rPr>
          <w:sz w:val="24"/>
        </w:rPr>
      </w:pPr>
      <w:r>
        <w:rPr>
          <w:rFonts w:ascii="Calibri" w:hAnsi="Calibri" w:eastAsia="宋体" w:cs="Times New Roman"/>
          <w:sz w:val="24"/>
          <w:lang w:bidi="ar"/>
        </w:rPr>
        <w:t>13</w:t>
      </w:r>
      <w:r>
        <w:rPr>
          <w:rFonts w:hint="eastAsia" w:ascii="Calibri" w:hAnsi="Calibri" w:eastAsia="宋体" w:cs="宋体"/>
          <w:sz w:val="24"/>
          <w:lang w:bidi="ar"/>
        </w:rPr>
        <w:t>、网上发行投资者可通过深圳证券交易所交易系统参加申购。本期债券网上发行代码为“【】”，简称为“【】”。参与本次网上发行的每个证券账户最小认购单位为</w:t>
      </w:r>
      <w:r>
        <w:rPr>
          <w:rFonts w:ascii="Calibri" w:hAnsi="Calibri" w:eastAsia="宋体" w:cs="Times New Roman"/>
          <w:sz w:val="24"/>
          <w:lang w:bidi="ar"/>
        </w:rPr>
        <w:t>1</w:t>
      </w:r>
      <w:r>
        <w:rPr>
          <w:rFonts w:hint="eastAsia" w:ascii="Calibri" w:hAnsi="Calibri" w:eastAsia="宋体" w:cs="宋体"/>
          <w:sz w:val="24"/>
          <w:lang w:bidi="ar"/>
        </w:rPr>
        <w:t>手（</w:t>
      </w:r>
      <w:r>
        <w:rPr>
          <w:rFonts w:ascii="Calibri" w:hAnsi="Calibri" w:eastAsia="宋体" w:cs="Times New Roman"/>
          <w:sz w:val="24"/>
          <w:lang w:bidi="ar"/>
        </w:rPr>
        <w:t>10</w:t>
      </w:r>
      <w:r>
        <w:rPr>
          <w:rFonts w:hint="eastAsia" w:ascii="Calibri" w:hAnsi="Calibri" w:eastAsia="宋体" w:cs="宋体"/>
          <w:sz w:val="24"/>
          <w:lang w:bidi="ar"/>
        </w:rPr>
        <w:t>张，</w:t>
      </w:r>
      <w:r>
        <w:rPr>
          <w:rFonts w:ascii="Calibri" w:hAnsi="Calibri" w:eastAsia="宋体" w:cs="Times New Roman"/>
          <w:sz w:val="24"/>
          <w:lang w:bidi="ar"/>
        </w:rPr>
        <w:t>1,000</w:t>
      </w:r>
      <w:r>
        <w:rPr>
          <w:rFonts w:hint="eastAsia" w:ascii="Calibri" w:hAnsi="Calibri" w:eastAsia="宋体" w:cs="宋体"/>
          <w:sz w:val="24"/>
          <w:lang w:bidi="ar"/>
        </w:rPr>
        <w:t>元），超过</w:t>
      </w:r>
      <w:r>
        <w:rPr>
          <w:rFonts w:ascii="Calibri" w:hAnsi="Calibri" w:eastAsia="宋体" w:cs="Times New Roman"/>
          <w:sz w:val="24"/>
          <w:lang w:bidi="ar"/>
        </w:rPr>
        <w:t>1</w:t>
      </w:r>
      <w:r>
        <w:rPr>
          <w:rFonts w:hint="eastAsia" w:ascii="Calibri" w:hAnsi="Calibri" w:eastAsia="宋体" w:cs="宋体"/>
          <w:sz w:val="24"/>
          <w:lang w:bidi="ar"/>
        </w:rPr>
        <w:t>手的必须是</w:t>
      </w:r>
      <w:r>
        <w:rPr>
          <w:rFonts w:ascii="Calibri" w:hAnsi="Calibri" w:eastAsia="宋体" w:cs="Times New Roman"/>
          <w:sz w:val="24"/>
          <w:lang w:bidi="ar"/>
        </w:rPr>
        <w:t>1</w:t>
      </w:r>
      <w:r>
        <w:rPr>
          <w:rFonts w:hint="eastAsia" w:ascii="Calibri" w:hAnsi="Calibri" w:eastAsia="宋体" w:cs="宋体"/>
          <w:sz w:val="24"/>
          <w:lang w:bidi="ar"/>
        </w:rPr>
        <w:t>手的整数倍。网上认购次数不受限制。本期债券发行结束后，网上发行代码“【】”将转换为上市代码“【】”。</w:t>
      </w:r>
    </w:p>
    <w:p>
      <w:pPr>
        <w:adjustRightInd w:val="0"/>
        <w:snapToGrid w:val="0"/>
        <w:spacing w:line="360" w:lineRule="auto"/>
        <w:ind w:firstLine="480" w:firstLineChars="200"/>
        <w:rPr>
          <w:sz w:val="24"/>
        </w:rPr>
      </w:pPr>
      <w:r>
        <w:rPr>
          <w:rFonts w:ascii="Calibri" w:hAnsi="Calibri" w:eastAsia="宋体" w:cs="Times New Roman"/>
          <w:sz w:val="24"/>
          <w:lang w:bidi="ar"/>
        </w:rPr>
        <w:t>14</w:t>
      </w:r>
      <w:r>
        <w:rPr>
          <w:rFonts w:hint="eastAsia" w:ascii="Calibri" w:hAnsi="Calibri" w:eastAsia="宋体" w:cs="宋体"/>
          <w:sz w:val="24"/>
          <w:lang w:bidi="ar"/>
        </w:rPr>
        <w:t>、网下发行对象为拥有中国证券登记结算有限责任公司深圳分公司开立的合格</w:t>
      </w:r>
      <w:r>
        <w:rPr>
          <w:rFonts w:ascii="Calibri" w:hAnsi="Calibri" w:eastAsia="宋体" w:cs="Times New Roman"/>
          <w:sz w:val="24"/>
          <w:lang w:bidi="ar"/>
        </w:rPr>
        <w:t>A</w:t>
      </w:r>
      <w:r>
        <w:rPr>
          <w:rFonts w:hint="eastAsia" w:ascii="Calibri" w:hAnsi="Calibri" w:eastAsia="宋体" w:cs="宋体"/>
          <w:sz w:val="24"/>
          <w:lang w:bidi="ar"/>
        </w:rPr>
        <w:t>股证券账户的专业机构投资者。</w:t>
      </w:r>
      <w:r>
        <w:rPr>
          <w:rFonts w:ascii="Calibri" w:hAnsi="Calibri" w:eastAsia="宋体" w:cs="宋体"/>
          <w:sz w:val="24"/>
          <w:lang w:bidi="ar"/>
        </w:rPr>
        <w:t>【网下发行通过簿记建档系统进行，投资者通过簿记系统</w:t>
      </w:r>
      <w:r>
        <w:rPr>
          <w:rFonts w:hint="eastAsia" w:ascii="Calibri" w:hAnsi="Calibri" w:eastAsia="宋体" w:cs="宋体"/>
          <w:sz w:val="24"/>
          <w:lang w:bidi="ar"/>
        </w:rPr>
        <w:t>提交认购订单</w:t>
      </w:r>
      <w:r>
        <w:rPr>
          <w:rFonts w:ascii="Calibri" w:hAnsi="Calibri" w:eastAsia="宋体" w:cs="宋体"/>
          <w:sz w:val="24"/>
          <w:lang w:bidi="ar"/>
        </w:rPr>
        <w:t>，</w:t>
      </w:r>
      <w:r>
        <w:rPr>
          <w:rFonts w:hint="eastAsia" w:ascii="Calibri" w:hAnsi="Calibri" w:eastAsia="宋体" w:cs="宋体"/>
          <w:sz w:val="24"/>
          <w:lang w:bidi="ar"/>
        </w:rPr>
        <w:t>未通过簿记系统参与利率询价的投资者将《网下利率询价及申购申请表》</w:t>
      </w:r>
      <w:r>
        <w:rPr>
          <w:rFonts w:ascii="Calibri" w:hAnsi="Calibri" w:eastAsia="宋体" w:cs="宋体"/>
          <w:sz w:val="24"/>
          <w:lang w:bidi="ar"/>
        </w:rPr>
        <w:t>等</w:t>
      </w:r>
      <w:r>
        <w:rPr>
          <w:rFonts w:hint="eastAsia" w:ascii="Calibri" w:hAnsi="Calibri" w:eastAsia="宋体" w:cs="宋体"/>
          <w:sz w:val="24"/>
          <w:lang w:bidi="ar"/>
        </w:rPr>
        <w:t>文件提交至簿记管理人</w:t>
      </w:r>
      <w:r>
        <w:rPr>
          <w:rFonts w:ascii="Calibri" w:hAnsi="Calibri" w:eastAsia="宋体" w:cs="宋体"/>
          <w:sz w:val="24"/>
          <w:lang w:bidi="ar"/>
        </w:rPr>
        <w:t>。】【</w:t>
      </w:r>
      <w:r>
        <w:rPr>
          <w:rFonts w:hint="eastAsia" w:ascii="Calibri" w:hAnsi="Calibri" w:eastAsia="宋体" w:cs="宋体"/>
          <w:sz w:val="24"/>
          <w:lang w:bidi="ar"/>
        </w:rPr>
        <w:t>投资者通过向簿记管理人提交《网下利率询价及申购申请表》的方式参与网下询价申购。</w:t>
      </w:r>
      <w:r>
        <w:rPr>
          <w:rFonts w:ascii="Calibri" w:hAnsi="Calibri" w:eastAsia="宋体" w:cs="宋体"/>
          <w:sz w:val="24"/>
          <w:lang w:bidi="ar"/>
        </w:rPr>
        <w:t>】</w:t>
      </w:r>
      <w:r>
        <w:rPr>
          <w:rFonts w:hint="eastAsia" w:ascii="Calibri" w:hAnsi="Calibri" w:eastAsia="宋体" w:cs="宋体"/>
          <w:sz w:val="24"/>
          <w:lang w:bidi="ar"/>
        </w:rPr>
        <w:t>投资者网下最低申购单位为【】，超过【】的必须是【】的整数倍，簿记管理人另有规定的除外。</w:t>
      </w:r>
    </w:p>
    <w:p>
      <w:pPr>
        <w:adjustRightInd w:val="0"/>
        <w:snapToGrid w:val="0"/>
        <w:spacing w:line="360" w:lineRule="auto"/>
        <w:ind w:firstLine="480" w:firstLineChars="200"/>
        <w:rPr>
          <w:sz w:val="24"/>
        </w:rPr>
      </w:pPr>
      <w:r>
        <w:rPr>
          <w:rFonts w:ascii="Calibri" w:hAnsi="Calibri" w:eastAsia="宋体" w:cs="Times New Roman"/>
          <w:sz w:val="24"/>
          <w:lang w:bidi="ar"/>
        </w:rPr>
        <w:t>15</w:t>
      </w:r>
      <w:r>
        <w:rPr>
          <w:rFonts w:hint="eastAsia" w:ascii="Calibri" w:hAnsi="Calibri" w:eastAsia="宋体" w:cs="宋体"/>
          <w:sz w:val="24"/>
          <w:lang w:bidi="ar"/>
        </w:rPr>
        <w:t>、投资者不得非法利用他人账户或资金账户进行认购，也不得违规融资或替代违规融资认购。投资者认购本期债券应遵守相关法律法规和中国证券监督管理委员会的有关规定，并自行承担相应的法律责任。</w:t>
      </w:r>
    </w:p>
    <w:p>
      <w:pPr>
        <w:adjustRightInd w:val="0"/>
        <w:snapToGrid w:val="0"/>
        <w:spacing w:line="360" w:lineRule="auto"/>
        <w:ind w:firstLine="480" w:firstLineChars="200"/>
        <w:rPr>
          <w:sz w:val="24"/>
        </w:rPr>
      </w:pPr>
      <w:r>
        <w:rPr>
          <w:rFonts w:ascii="Calibri" w:hAnsi="Calibri" w:eastAsia="宋体" w:cs="Times New Roman"/>
          <w:sz w:val="24"/>
          <w:lang w:bidi="ar"/>
        </w:rPr>
        <w:t>16</w:t>
      </w:r>
      <w:r>
        <w:rPr>
          <w:rFonts w:hint="eastAsia" w:ascii="Calibri" w:hAnsi="Calibri" w:eastAsia="宋体" w:cs="宋体"/>
          <w:sz w:val="24"/>
          <w:lang w:bidi="ar"/>
        </w:rPr>
        <w:t>、敬请投资者注意本期公司债券的发行方式、发行对象、发行数量、发行时间、认购办法、认购程序、认购价格和认购资金缴纳等具体规定。</w:t>
      </w:r>
    </w:p>
    <w:p>
      <w:pPr>
        <w:adjustRightInd w:val="0"/>
        <w:snapToGrid w:val="0"/>
        <w:spacing w:line="360" w:lineRule="auto"/>
        <w:ind w:firstLine="480" w:firstLineChars="200"/>
        <w:rPr>
          <w:rFonts w:ascii="Calibri" w:hAnsi="Calibri" w:eastAsia="宋体" w:cs="宋体"/>
          <w:sz w:val="24"/>
          <w:lang w:bidi="ar"/>
        </w:rPr>
      </w:pPr>
      <w:r>
        <w:rPr>
          <w:rFonts w:ascii="Calibri" w:hAnsi="Calibri" w:eastAsia="宋体" w:cs="Times New Roman"/>
          <w:sz w:val="24"/>
          <w:lang w:bidi="ar"/>
        </w:rPr>
        <w:t>17</w:t>
      </w:r>
      <w:r>
        <w:rPr>
          <w:rFonts w:hint="eastAsia" w:ascii="Calibri" w:hAnsi="Calibri" w:eastAsia="宋体" w:cs="宋体"/>
          <w:sz w:val="24"/>
          <w:lang w:bidi="ar"/>
        </w:rPr>
        <w:t>、【说明是否符合通用质押式回购交易的基本条件，如：本公司的主体信用等级和本期债券信用等级皆为</w:t>
      </w:r>
      <w:r>
        <w:rPr>
          <w:rFonts w:ascii="Calibri" w:hAnsi="Calibri" w:eastAsia="宋体" w:cs="Times New Roman"/>
          <w:sz w:val="24"/>
          <w:lang w:bidi="ar"/>
        </w:rPr>
        <w:t>AAA</w:t>
      </w:r>
      <w:r>
        <w:rPr>
          <w:rFonts w:hint="eastAsia" w:ascii="Calibri" w:hAnsi="Calibri" w:eastAsia="宋体" w:cs="宋体"/>
          <w:sz w:val="24"/>
          <w:lang w:bidi="ar"/>
        </w:rPr>
        <w:t>级，展望稳定，</w:t>
      </w:r>
      <w:r>
        <w:rPr>
          <w:rFonts w:hint="eastAsia" w:ascii="Calibri" w:hAnsi="Calibri" w:eastAsia="宋体" w:cs="宋体"/>
          <w:sz w:val="24"/>
          <w:lang w:eastAsia="zh-CN" w:bidi="ar"/>
        </w:rPr>
        <w:t>本公司认为本期债券</w:t>
      </w:r>
      <w:r>
        <w:rPr>
          <w:rFonts w:hint="eastAsia" w:ascii="Calibri" w:hAnsi="Calibri" w:eastAsia="宋体" w:cs="宋体"/>
          <w:sz w:val="24"/>
          <w:lang w:bidi="ar"/>
        </w:rPr>
        <w:t>符合进行通用质押式回购交易的基本条件，具体折算率等事宜将按登记机构的相关规定执行。】</w:t>
      </w:r>
    </w:p>
    <w:p>
      <w:pPr>
        <w:adjustRightInd w:val="0"/>
        <w:snapToGrid w:val="0"/>
        <w:spacing w:line="360" w:lineRule="auto"/>
        <w:ind w:firstLine="480" w:firstLineChars="200"/>
        <w:rPr>
          <w:rFonts w:ascii="Calibri" w:hAnsi="Calibri" w:eastAsia="宋体" w:cs="宋体"/>
          <w:sz w:val="24"/>
          <w:lang w:bidi="ar"/>
        </w:rPr>
      </w:pPr>
      <w:r>
        <w:rPr>
          <w:rFonts w:ascii="Calibri" w:hAnsi="Calibri" w:eastAsia="宋体" w:cs="宋体"/>
          <w:sz w:val="24"/>
          <w:lang w:bidi="ar"/>
        </w:rPr>
        <w:t>18、【取消发行情形（如有）】</w:t>
      </w:r>
    </w:p>
    <w:p>
      <w:pPr>
        <w:adjustRightInd w:val="0"/>
        <w:snapToGrid w:val="0"/>
        <w:spacing w:line="360" w:lineRule="auto"/>
        <w:ind w:firstLine="480" w:firstLineChars="200"/>
        <w:rPr>
          <w:rFonts w:hint="eastAsia" w:ascii="Calibri" w:hAnsi="Calibri" w:eastAsia="宋体" w:cs="宋体"/>
          <w:sz w:val="24"/>
          <w:lang w:bidi="ar"/>
        </w:rPr>
      </w:pPr>
      <w:r>
        <w:rPr>
          <w:rFonts w:ascii="Calibri" w:hAnsi="Calibri" w:eastAsia="宋体" w:cs="Times New Roman"/>
          <w:sz w:val="24"/>
          <w:lang w:bidi="ar"/>
        </w:rPr>
        <w:t>19</w:t>
      </w:r>
      <w:r>
        <w:rPr>
          <w:rFonts w:hint="eastAsia" w:ascii="Calibri" w:hAnsi="Calibri" w:eastAsia="宋体" w:cs="宋体"/>
          <w:sz w:val="24"/>
          <w:lang w:bidi="ar"/>
        </w:rPr>
        <w:t>、发行公告中关于本期债券的表述如有与募集说明书不一致的，以募集说明书为准。</w:t>
      </w:r>
    </w:p>
    <w:p>
      <w:pPr>
        <w:adjustRightInd w:val="0"/>
        <w:snapToGrid w:val="0"/>
        <w:spacing w:line="360" w:lineRule="auto"/>
        <w:ind w:firstLine="480" w:firstLineChars="200"/>
        <w:rPr>
          <w:rFonts w:hint="eastAsia" w:ascii="Calibri" w:hAnsi="Calibri" w:eastAsia="宋体" w:cs="宋体"/>
          <w:sz w:val="24"/>
          <w:lang w:val="en-US" w:eastAsia="zh-CN" w:bidi="ar"/>
        </w:rPr>
      </w:pPr>
      <w:r>
        <w:rPr>
          <w:rFonts w:hint="eastAsia" w:ascii="Calibri" w:hAnsi="Calibri" w:eastAsia="宋体" w:cs="宋体"/>
          <w:sz w:val="24"/>
          <w:lang w:val="en-US" w:eastAsia="zh-CN" w:bidi="ar"/>
        </w:rPr>
        <w:t>20</w:t>
      </w:r>
      <w:r>
        <w:rPr>
          <w:rFonts w:hint="eastAsia" w:ascii="Calibri" w:hAnsi="Calibri" w:eastAsia="宋体" w:cs="宋体"/>
          <w:sz w:val="24"/>
          <w:lang w:bidi="ar"/>
        </w:rPr>
        <w:t>、</w:t>
      </w:r>
      <w:r>
        <w:rPr>
          <w:rFonts w:hint="eastAsia" w:ascii="Calibri" w:hAnsi="Calibri" w:eastAsia="宋体" w:cs="宋体"/>
          <w:sz w:val="24"/>
          <w:szCs w:val="22"/>
          <w:lang w:val="zh-CN" w:bidi="ar"/>
        </w:rPr>
        <w:t>发行人承诺合规发行，不从事《关于进一步规范债券发行业务有关事项的通知》第三条第二款规定的行为；投资者向承销机构承诺审慎合理投资，不从事《关于进一步规范债券发行业务有关事项的通知》第八条第二款、第三款规定的行为。</w:t>
      </w:r>
    </w:p>
    <w:p>
      <w:pPr>
        <w:adjustRightInd w:val="0"/>
        <w:snapToGrid w:val="0"/>
        <w:spacing w:line="360" w:lineRule="auto"/>
        <w:ind w:firstLine="480" w:firstLineChars="200"/>
        <w:rPr>
          <w:sz w:val="24"/>
        </w:rPr>
      </w:pPr>
      <w:r>
        <w:rPr>
          <w:rFonts w:hint="eastAsia" w:ascii="Calibri" w:hAnsi="Calibri" w:eastAsia="宋体" w:cs="宋体"/>
          <w:sz w:val="24"/>
          <w:lang w:bidi="ar"/>
        </w:rPr>
        <w:t>本公告仅对本期债券发行的有关事项进行说明，不构成针对本期债券的任何投资建议。投资者欲详细了解本期债券情况，请仔细阅读《【债券全称】募集说明书》。与本次发行的相关资料，投资者亦可登陆深圳证券交易所网站（</w:t>
      </w:r>
      <w:r>
        <w:rPr>
          <w:rFonts w:ascii="Calibri" w:hAnsi="Calibri" w:eastAsia="宋体" w:cs="Times New Roman"/>
          <w:sz w:val="24"/>
          <w:lang w:bidi="ar"/>
        </w:rPr>
        <w:t>http://www.szse.cn</w:t>
      </w:r>
      <w:r>
        <w:rPr>
          <w:rFonts w:hint="eastAsia" w:ascii="Calibri" w:hAnsi="Calibri" w:eastAsia="宋体" w:cs="宋体"/>
          <w:sz w:val="24"/>
          <w:lang w:bidi="ar"/>
        </w:rPr>
        <w:t>）及巨潮资讯网（</w:t>
      </w:r>
      <w:r>
        <w:rPr>
          <w:rFonts w:ascii="Calibri" w:hAnsi="Calibri" w:eastAsia="宋体" w:cs="Times New Roman"/>
          <w:sz w:val="24"/>
          <w:lang w:bidi="ar"/>
        </w:rPr>
        <w:t>http://www.cninfo.com.cn</w:t>
      </w:r>
      <w:r>
        <w:rPr>
          <w:rFonts w:hint="eastAsia" w:ascii="Calibri" w:hAnsi="Calibri" w:eastAsia="宋体" w:cs="宋体"/>
          <w:sz w:val="24"/>
          <w:lang w:bidi="ar"/>
        </w:rPr>
        <w:t>）查询。</w:t>
      </w:r>
    </w:p>
    <w:p>
      <w:pPr>
        <w:adjustRightInd w:val="0"/>
        <w:snapToGrid w:val="0"/>
        <w:spacing w:line="360" w:lineRule="auto"/>
        <w:ind w:firstLine="480" w:firstLineChars="200"/>
        <w:rPr>
          <w:sz w:val="24"/>
        </w:rPr>
      </w:pPr>
      <w:r>
        <w:rPr>
          <w:rFonts w:hint="eastAsia" w:ascii="Calibri" w:hAnsi="Calibri" w:eastAsia="宋体" w:cs="宋体"/>
          <w:sz w:val="24"/>
          <w:lang w:bidi="ar"/>
        </w:rPr>
        <w:t>有关本期债券发行的其他事宜，发行人和主承销商将视需要在深圳证券交易所网站（</w:t>
      </w:r>
      <w:r>
        <w:rPr>
          <w:rFonts w:ascii="Calibri" w:hAnsi="Calibri" w:eastAsia="宋体" w:cs="Times New Roman"/>
          <w:sz w:val="24"/>
          <w:lang w:bidi="ar"/>
        </w:rPr>
        <w:t>http://www.szse.cn</w:t>
      </w:r>
      <w:r>
        <w:rPr>
          <w:rFonts w:hint="eastAsia" w:ascii="Calibri" w:hAnsi="Calibri" w:eastAsia="宋体" w:cs="宋体"/>
          <w:sz w:val="24"/>
          <w:lang w:bidi="ar"/>
        </w:rPr>
        <w:t>）及巨潮资讯网（</w:t>
      </w:r>
      <w:r>
        <w:rPr>
          <w:rFonts w:ascii="Calibri" w:hAnsi="Calibri" w:eastAsia="宋体" w:cs="Times New Roman"/>
          <w:sz w:val="24"/>
          <w:lang w:bidi="ar"/>
        </w:rPr>
        <w:t>http://www.cninfo.com.cn</w:t>
      </w:r>
      <w:r>
        <w:rPr>
          <w:rFonts w:hint="eastAsia" w:ascii="Calibri" w:hAnsi="Calibri" w:eastAsia="宋体" w:cs="宋体"/>
          <w:sz w:val="24"/>
          <w:lang w:bidi="ar"/>
        </w:rPr>
        <w:t>）上及时公告，敬请投资者关注。</w:t>
      </w:r>
    </w:p>
    <w:p>
      <w:pPr>
        <w:widowControl/>
        <w:adjustRightInd w:val="0"/>
        <w:snapToGrid w:val="0"/>
        <w:jc w:val="left"/>
      </w:pPr>
      <w:r>
        <w:rPr>
          <w:rFonts w:ascii="Calibri" w:hAnsi="Calibri" w:eastAsia="宋体" w:cs="Times New Roman"/>
          <w:lang w:bidi="ar"/>
        </w:rPr>
        <w:br w:type="page"/>
      </w:r>
    </w:p>
    <w:p>
      <w:pPr>
        <w:adjustRightInd w:val="0"/>
        <w:snapToGrid w:val="0"/>
        <w:spacing w:line="360" w:lineRule="auto"/>
        <w:ind w:firstLine="420" w:firstLineChars="200"/>
      </w:pPr>
    </w:p>
    <w:p>
      <w:pPr>
        <w:adjustRightInd w:val="0"/>
        <w:snapToGrid w:val="0"/>
        <w:jc w:val="center"/>
        <w:rPr>
          <w:b/>
          <w:sz w:val="28"/>
          <w:szCs w:val="28"/>
        </w:rPr>
      </w:pPr>
      <w:r>
        <w:rPr>
          <w:rFonts w:hint="eastAsia" w:ascii="Calibri" w:hAnsi="Calibri" w:eastAsia="宋体" w:cs="宋体"/>
          <w:b/>
          <w:sz w:val="28"/>
          <w:szCs w:val="28"/>
          <w:lang w:bidi="ar"/>
        </w:rPr>
        <w:t>释义</w:t>
      </w:r>
    </w:p>
    <w:p>
      <w:pPr>
        <w:adjustRightInd w:val="0"/>
        <w:snapToGrid w:val="0"/>
        <w:rPr>
          <w:sz w:val="24"/>
          <w:szCs w:val="24"/>
        </w:rPr>
      </w:pPr>
      <w:r>
        <w:rPr>
          <w:rFonts w:hint="eastAsia" w:ascii="Calibri" w:hAnsi="Calibri" w:eastAsia="宋体" w:cs="宋体"/>
          <w:sz w:val="24"/>
          <w:szCs w:val="24"/>
          <w:lang w:bidi="ar"/>
        </w:rPr>
        <w:t>除非特别提示，本公告的下列词语含义如下：</w:t>
      </w:r>
    </w:p>
    <w:tbl>
      <w:tblPr>
        <w:tblStyle w:val="30"/>
        <w:tblW w:w="83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456"/>
        <w:gridCol w:w="53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doub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doub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bl>
    <w:p>
      <w:pPr>
        <w:adjustRightInd w:val="0"/>
        <w:snapToGrid w:val="0"/>
      </w:pPr>
    </w:p>
    <w:p>
      <w:pPr>
        <w:adjustRightInd w:val="0"/>
        <w:snapToGrid w:val="0"/>
      </w:pPr>
      <w:r>
        <w:rPr>
          <w:rFonts w:ascii="Calibri" w:hAnsi="Calibri" w:eastAsia="宋体" w:cs="Times New Roman"/>
          <w:lang w:bidi="ar"/>
        </w:rPr>
        <w:br w:type="page"/>
      </w:r>
    </w:p>
    <w:p>
      <w:pPr>
        <w:adjustRightInd w:val="0"/>
        <w:snapToGrid w:val="0"/>
      </w:pPr>
    </w:p>
    <w:p>
      <w:pPr>
        <w:adjustRightInd w:val="0"/>
        <w:snapToGrid w:val="0"/>
        <w:spacing w:line="360" w:lineRule="auto"/>
        <w:rPr>
          <w:b/>
          <w:sz w:val="28"/>
          <w:szCs w:val="28"/>
        </w:rPr>
      </w:pPr>
      <w:r>
        <w:rPr>
          <w:rFonts w:hint="eastAsia" w:ascii="Calibri" w:hAnsi="Calibri" w:eastAsia="宋体" w:cs="宋体"/>
          <w:b/>
          <w:sz w:val="28"/>
          <w:szCs w:val="28"/>
          <w:lang w:bidi="ar"/>
        </w:rPr>
        <w:t>一、本期发行基本情况</w:t>
      </w:r>
    </w:p>
    <w:p>
      <w:pPr>
        <w:adjustRightInd w:val="0"/>
        <w:snapToGrid w:val="0"/>
        <w:spacing w:line="360" w:lineRule="auto"/>
        <w:ind w:firstLine="561"/>
        <w:jc w:val="left"/>
        <w:rPr>
          <w:b/>
          <w:sz w:val="28"/>
          <w:szCs w:val="28"/>
        </w:rPr>
      </w:pPr>
      <w:r>
        <w:rPr>
          <w:rFonts w:hint="eastAsia" w:ascii="Calibri" w:hAnsi="Calibri" w:eastAsia="宋体" w:cs="宋体"/>
          <w:b/>
          <w:sz w:val="28"/>
          <w:szCs w:val="28"/>
          <w:lang w:bidi="ar"/>
        </w:rPr>
        <w:t>【注：可参考深圳证券交易所公司债券发行上市审核业务指南第</w:t>
      </w:r>
      <w:r>
        <w:rPr>
          <w:rFonts w:ascii="Calibri" w:hAnsi="Calibri" w:eastAsia="宋体" w:cs="Times New Roman"/>
          <w:b/>
          <w:sz w:val="28"/>
          <w:szCs w:val="28"/>
          <w:lang w:bidi="ar"/>
        </w:rPr>
        <w:t>1</w:t>
      </w:r>
      <w:r>
        <w:rPr>
          <w:rFonts w:hint="eastAsia" w:ascii="Calibri" w:hAnsi="Calibri" w:eastAsia="宋体" w:cs="宋体"/>
          <w:b/>
          <w:sz w:val="28"/>
          <w:szCs w:val="28"/>
          <w:lang w:bidi="ar"/>
        </w:rPr>
        <w:t>号——募集说明书（参考文本）（</w:t>
      </w:r>
      <w:r>
        <w:rPr>
          <w:rFonts w:ascii="Calibri" w:hAnsi="Calibri" w:eastAsia="宋体" w:cs="Times New Roman"/>
          <w:b/>
          <w:sz w:val="28"/>
          <w:szCs w:val="28"/>
          <w:lang w:bidi="ar"/>
        </w:rPr>
        <w:t>202</w:t>
      </w:r>
      <w:r>
        <w:rPr>
          <w:rFonts w:hint="eastAsia" w:ascii="Calibri" w:hAnsi="Calibri" w:eastAsia="宋体" w:cs="Times New Roman"/>
          <w:b/>
          <w:sz w:val="28"/>
          <w:szCs w:val="28"/>
          <w:lang w:val="en-US" w:eastAsia="zh-CN" w:bidi="ar"/>
        </w:rPr>
        <w:t>4</w:t>
      </w:r>
      <w:r>
        <w:rPr>
          <w:rFonts w:hint="eastAsia" w:ascii="Calibri" w:hAnsi="Calibri" w:eastAsia="宋体" w:cs="宋体"/>
          <w:b/>
          <w:sz w:val="28"/>
          <w:szCs w:val="28"/>
          <w:lang w:bidi="ar"/>
        </w:rPr>
        <w:t>年修订）发行概况章节】</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w:t>
      </w:r>
      <w:r>
        <w:rPr>
          <w:rFonts w:hint="eastAsia" w:ascii="Calibri" w:hAnsi="Calibri" w:eastAsia="宋体" w:cs="宋体"/>
          <w:kern w:val="0"/>
          <w:sz w:val="24"/>
          <w:lang w:bidi="ar"/>
        </w:rPr>
        <w:t>、发行主体：【】</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w:t>
      </w:r>
      <w:r>
        <w:rPr>
          <w:rFonts w:hint="eastAsia" w:ascii="Calibri" w:hAnsi="Calibri" w:eastAsia="宋体" w:cs="宋体"/>
          <w:kern w:val="0"/>
          <w:sz w:val="24"/>
          <w:lang w:bidi="ar"/>
        </w:rPr>
        <w:t>、债券全称：【】，</w:t>
      </w:r>
      <w:r>
        <w:rPr>
          <w:rFonts w:hint="eastAsia" w:ascii="Calibri" w:hAnsi="Calibri" w:eastAsia="宋体" w:cs="宋体"/>
          <w:kern w:val="0"/>
          <w:sz w:val="24"/>
          <w:lang w:eastAsia="zh-CN" w:bidi="ar"/>
        </w:rPr>
        <w:t>证券简称</w:t>
      </w:r>
      <w:r>
        <w:rPr>
          <w:rFonts w:hint="eastAsia" w:ascii="Calibri" w:hAnsi="Calibri" w:eastAsia="宋体" w:cs="宋体"/>
          <w:kern w:val="0"/>
          <w:sz w:val="24"/>
          <w:lang w:bidi="ar"/>
        </w:rPr>
        <w:t>：“【】”</w:t>
      </w:r>
      <w:r>
        <w:rPr>
          <w:rFonts w:hint="eastAsia" w:ascii="Calibri" w:hAnsi="Calibri" w:eastAsia="宋体" w:cs="宋体"/>
          <w:kern w:val="0"/>
          <w:sz w:val="24"/>
          <w:lang w:eastAsia="zh-CN" w:bidi="ar"/>
        </w:rPr>
        <w:t>，证券简称（短）：“【】”，债券代码：【】</w:t>
      </w:r>
      <w:r>
        <w:rPr>
          <w:rFonts w:hint="eastAsia"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3</w:t>
      </w:r>
      <w:r>
        <w:rPr>
          <w:rFonts w:hint="eastAsia" w:ascii="Calibri" w:hAnsi="Calibri" w:eastAsia="宋体" w:cs="宋体"/>
          <w:kern w:val="0"/>
          <w:sz w:val="24"/>
          <w:lang w:bidi="ar"/>
        </w:rPr>
        <w:t>、发行规模：本期债券的发行规模不超过【】亿元。</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4</w:t>
      </w:r>
      <w:r>
        <w:rPr>
          <w:rFonts w:hint="eastAsia" w:ascii="Calibri" w:hAnsi="Calibri" w:eastAsia="宋体" w:cs="宋体"/>
          <w:kern w:val="0"/>
          <w:sz w:val="24"/>
          <w:lang w:bidi="ar"/>
        </w:rPr>
        <w:t>、票面金额及发行价格：本期债券票面金额为</w:t>
      </w:r>
      <w:r>
        <w:rPr>
          <w:rFonts w:ascii="Calibri" w:hAnsi="Calibri" w:eastAsia="宋体" w:cs="Times New Roman"/>
          <w:kern w:val="0"/>
          <w:sz w:val="24"/>
          <w:lang w:bidi="ar"/>
        </w:rPr>
        <w:t>100</w:t>
      </w:r>
      <w:r>
        <w:rPr>
          <w:rFonts w:hint="eastAsia" w:ascii="Calibri" w:hAnsi="Calibri" w:eastAsia="宋体" w:cs="宋体"/>
          <w:kern w:val="0"/>
          <w:sz w:val="24"/>
          <w:lang w:bidi="ar"/>
        </w:rPr>
        <w:t>元，按面值平价发行。</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5</w:t>
      </w:r>
      <w:r>
        <w:rPr>
          <w:rFonts w:hint="eastAsia" w:ascii="Calibri" w:hAnsi="Calibri" w:eastAsia="宋体" w:cs="宋体"/>
          <w:kern w:val="0"/>
          <w:sz w:val="24"/>
          <w:lang w:bidi="ar"/>
        </w:rPr>
        <w:t>、债券期限：</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6</w:t>
      </w:r>
      <w:r>
        <w:rPr>
          <w:rFonts w:hint="eastAsia" w:ascii="Calibri" w:hAnsi="Calibri" w:eastAsia="宋体" w:cs="宋体"/>
          <w:kern w:val="0"/>
          <w:sz w:val="24"/>
          <w:lang w:bidi="ar"/>
        </w:rPr>
        <w:t>、债券形式：实名制记账式公司债券。投资者认购的本期债券在证券登记机构开立的托管账户托管记载。本期债券发行结束后，债券持有人可按照有关主管机构的规定进行债券的转让、质押等操作。</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7</w:t>
      </w:r>
      <w:r>
        <w:rPr>
          <w:rFonts w:hint="eastAsia" w:ascii="Calibri" w:hAnsi="Calibri" w:eastAsia="宋体" w:cs="宋体"/>
          <w:kern w:val="0"/>
          <w:sz w:val="24"/>
          <w:lang w:bidi="ar"/>
        </w:rPr>
        <w:t>、债券利率及确定方式：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8</w:t>
      </w:r>
      <w:r>
        <w:rPr>
          <w:rFonts w:hint="eastAsia" w:ascii="Calibri" w:hAnsi="Calibri" w:eastAsia="宋体" w:cs="宋体"/>
          <w:kern w:val="0"/>
          <w:sz w:val="24"/>
          <w:lang w:bidi="ar"/>
        </w:rPr>
        <w:t>、还本付息的期限和方式：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9</w:t>
      </w:r>
      <w:r>
        <w:rPr>
          <w:rFonts w:hint="eastAsia" w:ascii="Calibri" w:hAnsi="Calibri" w:eastAsia="宋体" w:cs="宋体"/>
          <w:kern w:val="0"/>
          <w:sz w:val="24"/>
          <w:lang w:bidi="ar"/>
        </w:rPr>
        <w:t>、起息日：【】年【】月【】日。</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10</w:t>
      </w:r>
      <w:r>
        <w:rPr>
          <w:rFonts w:hint="eastAsia" w:ascii="Calibri" w:hAnsi="Calibri" w:eastAsia="宋体" w:cs="宋体"/>
          <w:kern w:val="0"/>
          <w:sz w:val="24"/>
          <w:lang w:bidi="ar"/>
        </w:rPr>
        <w:t>、付息、兑付方式：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11</w:t>
      </w:r>
      <w:r>
        <w:rPr>
          <w:rFonts w:hint="eastAsia" w:ascii="Calibri" w:hAnsi="Calibri" w:eastAsia="宋体" w:cs="宋体"/>
          <w:kern w:val="0"/>
          <w:sz w:val="24"/>
          <w:lang w:bidi="ar"/>
        </w:rPr>
        <w:t>、付息日：【】年至【】年每年的【】月【】日为上一个计息年度的付息日（如遇法定及政府指定节假日或休息日，则顺延至其后的第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个交易日；顺延期间付息款项不另计利息）。如投资者行使回售选择权，则其回售部分债券的付息日为【】年至【】年每年的【】月【】日（如遇法定及政府指定节假日或休息日，则顺延至其后的第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个交易日；顺延期间付息款项不另计利息）。【如为一次还本付息的短债不适用】</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12</w:t>
      </w:r>
      <w:r>
        <w:rPr>
          <w:rFonts w:hint="eastAsia" w:ascii="Calibri" w:hAnsi="Calibri" w:eastAsia="宋体" w:cs="宋体"/>
          <w:kern w:val="0"/>
          <w:sz w:val="24"/>
          <w:lang w:bidi="ar"/>
        </w:rPr>
        <w:t>、兑付日：本期债券的兑付日为【】年【】月【】日（如遇法定及政府指定节假日或休息日，则顺延至其后的第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个交易日；顺延期间兑付款项不另计利息）。如投资者行使回售选择权，则其回售部分债券的兑付日为【】年【】月【】日（如遇法定及政府指定节假日或休息日，则顺延至其后的第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个交易日；顺延期间兑付款项不另计利息）。（如债券期限不为整数年份且为到期一次还本付息的，本期债券于兑付日向投资者支付的利息为投资者截至利息登记日收市时所持有的债券面值</w:t>
      </w:r>
      <w:r>
        <w:rPr>
          <w:rFonts w:ascii="Calibri" w:hAnsi="Calibri" w:eastAsia="宋体" w:cs="Times New Roman"/>
          <w:kern w:val="0"/>
          <w:sz w:val="24"/>
          <w:lang w:bidi="ar"/>
        </w:rPr>
        <w:t>*</w:t>
      </w:r>
      <w:r>
        <w:rPr>
          <w:rFonts w:hint="eastAsia" w:ascii="Calibri" w:hAnsi="Calibri" w:eastAsia="宋体" w:cs="宋体"/>
          <w:kern w:val="0"/>
          <w:sz w:val="24"/>
          <w:lang w:bidi="ar"/>
        </w:rPr>
        <w:t>实际计息天数</w:t>
      </w:r>
      <w:r>
        <w:rPr>
          <w:rFonts w:ascii="Calibri" w:hAnsi="Calibri" w:eastAsia="宋体" w:cs="Times New Roman"/>
          <w:kern w:val="0"/>
          <w:sz w:val="24"/>
          <w:lang w:bidi="ar"/>
        </w:rPr>
        <w:t>*</w:t>
      </w:r>
      <w:r>
        <w:rPr>
          <w:rFonts w:hint="eastAsia" w:ascii="Calibri" w:hAnsi="Calibri" w:eastAsia="宋体" w:cs="宋体"/>
          <w:kern w:val="0"/>
          <w:sz w:val="24"/>
          <w:lang w:bidi="ar"/>
        </w:rPr>
        <w:t>票面利率</w:t>
      </w:r>
      <w:r>
        <w:rPr>
          <w:rFonts w:ascii="Calibri" w:hAnsi="Calibri" w:eastAsia="宋体" w:cs="Times New Roman"/>
          <w:kern w:val="0"/>
          <w:sz w:val="24"/>
          <w:lang w:bidi="ar"/>
        </w:rPr>
        <w:t>/365</w:t>
      </w:r>
      <w:r>
        <w:rPr>
          <w:rFonts w:hint="eastAsia" w:ascii="Calibri" w:hAnsi="Calibri" w:eastAsia="宋体" w:cs="宋体"/>
          <w:kern w:val="0"/>
          <w:sz w:val="24"/>
          <w:lang w:bidi="ar"/>
        </w:rPr>
        <w:t>天，闰年的</w:t>
      </w:r>
      <w:r>
        <w:rPr>
          <w:rFonts w:ascii="Calibri" w:hAnsi="Calibri" w:eastAsia="宋体" w:cs="Times New Roman"/>
          <w:kern w:val="0"/>
          <w:sz w:val="24"/>
          <w:lang w:bidi="ar"/>
        </w:rPr>
        <w:t>2</w:t>
      </w:r>
      <w:r>
        <w:rPr>
          <w:rFonts w:hint="eastAsia" w:ascii="Calibri" w:hAnsi="Calibri" w:eastAsia="宋体" w:cs="宋体"/>
          <w:kern w:val="0"/>
          <w:sz w:val="24"/>
          <w:lang w:bidi="ar"/>
        </w:rPr>
        <w:t>月</w:t>
      </w:r>
      <w:r>
        <w:rPr>
          <w:rFonts w:ascii="Calibri" w:hAnsi="Calibri" w:eastAsia="宋体" w:cs="Times New Roman"/>
          <w:kern w:val="0"/>
          <w:sz w:val="24"/>
          <w:lang w:bidi="ar"/>
        </w:rPr>
        <w:t>29</w:t>
      </w:r>
      <w:r>
        <w:rPr>
          <w:rFonts w:hint="eastAsia" w:ascii="Calibri" w:hAnsi="Calibri" w:eastAsia="宋体" w:cs="宋体"/>
          <w:kern w:val="0"/>
          <w:sz w:val="24"/>
          <w:lang w:bidi="ar"/>
        </w:rPr>
        <w:t>日不计入实际计息天数。）</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13</w:t>
      </w:r>
      <w:r>
        <w:rPr>
          <w:rFonts w:hint="eastAsia" w:ascii="Calibri" w:hAnsi="Calibri" w:eastAsia="宋体" w:cs="宋体"/>
          <w:kern w:val="0"/>
          <w:sz w:val="24"/>
          <w:lang w:bidi="ar"/>
        </w:rPr>
        <w:t>、【特殊权利条款】</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14</w:t>
      </w:r>
      <w:r>
        <w:rPr>
          <w:rFonts w:hint="eastAsia" w:ascii="Calibri" w:hAnsi="Calibri" w:eastAsia="宋体" w:cs="宋体"/>
          <w:kern w:val="0"/>
          <w:sz w:val="24"/>
          <w:lang w:bidi="ar"/>
        </w:rPr>
        <w:t>、增信措施：【】</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15</w:t>
      </w:r>
      <w:r>
        <w:rPr>
          <w:rFonts w:hint="eastAsia" w:ascii="Calibri" w:hAnsi="Calibri" w:eastAsia="宋体" w:cs="宋体"/>
          <w:kern w:val="0"/>
          <w:sz w:val="24"/>
          <w:lang w:bidi="ar"/>
        </w:rPr>
        <w:t>、信用级别及资信评级机构：根据【】出具的《【公司债券全称】信用评级报告》，发行人的主体信用等级为【】，评级展望为【】，本期债券信用等级为【】。在本期债券的存续期内，资信评级机构每年将对【公司主体信用等级】和</w:t>
      </w:r>
      <w:r>
        <w:rPr>
          <w:rFonts w:ascii="Calibri" w:hAnsi="Calibri" w:eastAsia="宋体" w:cs="Times New Roman"/>
          <w:kern w:val="0"/>
          <w:sz w:val="24"/>
          <w:lang w:bidi="ar"/>
        </w:rPr>
        <w:t>\</w:t>
      </w:r>
      <w:r>
        <w:rPr>
          <w:rFonts w:hint="eastAsia" w:ascii="Calibri" w:hAnsi="Calibri" w:eastAsia="宋体" w:cs="宋体"/>
          <w:kern w:val="0"/>
          <w:sz w:val="24"/>
          <w:lang w:bidi="ar"/>
        </w:rPr>
        <w:t>或【本期债券信用等级】进行一次跟踪评级</w:t>
      </w:r>
      <w:r>
        <w:rPr>
          <w:rFonts w:hint="eastAsia" w:ascii="Calibri" w:hAnsi="Calibri" w:eastAsia="宋体" w:cs="宋体"/>
          <w:kern w:val="0"/>
          <w:sz w:val="24"/>
          <w:lang w:eastAsia="zh-CN" w:bidi="ar"/>
        </w:rPr>
        <w:t>（适用于资信评级机构对本次债券存续期进行跟踪评级情形）</w:t>
      </w:r>
      <w:r>
        <w:rPr>
          <w:rFonts w:hint="eastAsia"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16</w:t>
      </w:r>
      <w:r>
        <w:rPr>
          <w:rFonts w:hint="eastAsia" w:ascii="Calibri" w:hAnsi="Calibri" w:eastAsia="宋体" w:cs="宋体"/>
          <w:kern w:val="0"/>
          <w:sz w:val="24"/>
          <w:lang w:bidi="ar"/>
        </w:rPr>
        <w:t>、主承销商：【】、【】。</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17</w:t>
      </w:r>
      <w:r>
        <w:rPr>
          <w:rFonts w:hint="eastAsia" w:ascii="Calibri" w:hAnsi="Calibri" w:eastAsia="宋体" w:cs="宋体"/>
          <w:kern w:val="0"/>
          <w:sz w:val="24"/>
          <w:lang w:bidi="ar"/>
        </w:rPr>
        <w:t>、债券受托管理人【/债权代理人】：【】。</w:t>
      </w:r>
    </w:p>
    <w:p>
      <w:pPr>
        <w:adjustRightInd w:val="0"/>
        <w:snapToGrid w:val="0"/>
        <w:spacing w:line="360" w:lineRule="auto"/>
        <w:ind w:firstLine="480" w:firstLineChars="200"/>
        <w:rPr>
          <w:rFonts w:ascii="Calibri" w:hAnsi="Calibri" w:eastAsia="宋体" w:cs="宋体"/>
          <w:kern w:val="0"/>
          <w:sz w:val="24"/>
          <w:lang w:bidi="ar"/>
        </w:rPr>
      </w:pPr>
      <w:r>
        <w:rPr>
          <w:rFonts w:ascii="Calibri" w:hAnsi="Calibri" w:eastAsia="宋体" w:cs="Times New Roman"/>
          <w:kern w:val="0"/>
          <w:sz w:val="24"/>
          <w:lang w:bidi="ar"/>
        </w:rPr>
        <w:t>18</w:t>
      </w:r>
      <w:r>
        <w:rPr>
          <w:rFonts w:hint="eastAsia" w:ascii="Calibri" w:hAnsi="Calibri" w:eastAsia="宋体" w:cs="宋体"/>
          <w:kern w:val="0"/>
          <w:sz w:val="24"/>
          <w:lang w:bidi="ar"/>
        </w:rPr>
        <w:t>、发行对象：</w:t>
      </w:r>
      <w:r>
        <w:rPr>
          <w:rFonts w:ascii="Calibri" w:hAnsi="Calibri" w:eastAsia="宋体" w:cs="宋体"/>
          <w:kern w:val="0"/>
          <w:sz w:val="24"/>
          <w:lang w:bidi="ar"/>
        </w:rPr>
        <w:t>在深圳证券交易所的发行对象为</w:t>
      </w:r>
      <w:r>
        <w:rPr>
          <w:rFonts w:hint="eastAsia" w:ascii="Calibri" w:hAnsi="Calibri" w:eastAsia="宋体" w:cs="宋体"/>
          <w:kern w:val="0"/>
          <w:sz w:val="24"/>
          <w:lang w:bidi="ar"/>
        </w:rPr>
        <w:t>持有中国证券登记结算有限责任公司深圳分公司</w:t>
      </w:r>
      <w:r>
        <w:rPr>
          <w:rFonts w:ascii="Calibri" w:hAnsi="Calibri" w:eastAsia="宋体" w:cs="Times New Roman"/>
          <w:kern w:val="0"/>
          <w:sz w:val="24"/>
          <w:lang w:bidi="ar"/>
        </w:rPr>
        <w:t>A</w:t>
      </w:r>
      <w:r>
        <w:rPr>
          <w:rFonts w:hint="eastAsia" w:ascii="Calibri" w:hAnsi="Calibri" w:eastAsia="宋体" w:cs="宋体"/>
          <w:kern w:val="0"/>
          <w:sz w:val="24"/>
          <w:lang w:bidi="ar"/>
        </w:rPr>
        <w:t>股证券账户的【投资者，应说明投资者类型】（法律、法规禁止购买者除外）</w:t>
      </w:r>
      <w:r>
        <w:rPr>
          <w:rFonts w:ascii="Calibri" w:hAnsi="Calibri" w:eastAsia="宋体" w:cs="宋体"/>
          <w:kern w:val="0"/>
          <w:sz w:val="24"/>
          <w:lang w:bidi="ar"/>
        </w:rPr>
        <w:t>（对于企业债，如在银行间市场交易，发行对象包括在中央国债登记结算有限责任公司开户的</w:t>
      </w:r>
      <w:r>
        <w:rPr>
          <w:rFonts w:hint="eastAsia" w:ascii="Calibri" w:hAnsi="Calibri" w:eastAsia="宋体" w:cs="宋体"/>
          <w:kern w:val="0"/>
          <w:sz w:val="24"/>
          <w:lang w:bidi="ar"/>
        </w:rPr>
        <w:t>【投资者，应说明投资者类型】</w:t>
      </w:r>
      <w:r>
        <w:rPr>
          <w:rFonts w:ascii="Calibri" w:hAnsi="Calibri" w:eastAsia="宋体" w:cs="宋体"/>
          <w:kern w:val="0"/>
          <w:sz w:val="24"/>
          <w:lang w:bidi="ar"/>
        </w:rPr>
        <w:t>（国家法律、法规另有规定除外））</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19</w:t>
      </w:r>
      <w:r>
        <w:rPr>
          <w:rFonts w:hint="eastAsia" w:ascii="Calibri" w:hAnsi="Calibri" w:eastAsia="宋体" w:cs="宋体"/>
          <w:kern w:val="0"/>
          <w:sz w:val="24"/>
          <w:lang w:bidi="ar"/>
        </w:rPr>
        <w:t>、发行方式：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20</w:t>
      </w:r>
      <w:r>
        <w:rPr>
          <w:rFonts w:hint="eastAsia" w:ascii="Calibri" w:hAnsi="Calibri" w:eastAsia="宋体" w:cs="宋体"/>
          <w:kern w:val="0"/>
          <w:sz w:val="24"/>
          <w:lang w:bidi="ar"/>
        </w:rPr>
        <w:t>、向公司股东配售安排：</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21</w:t>
      </w:r>
      <w:r>
        <w:rPr>
          <w:rFonts w:hint="eastAsia" w:ascii="Calibri" w:hAnsi="Calibri" w:eastAsia="宋体" w:cs="宋体"/>
          <w:kern w:val="0"/>
          <w:sz w:val="24"/>
          <w:lang w:bidi="ar"/>
        </w:rPr>
        <w:t>、承销方式：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22</w:t>
      </w:r>
      <w:r>
        <w:rPr>
          <w:rFonts w:hint="eastAsia" w:ascii="Calibri" w:hAnsi="Calibri" w:eastAsia="宋体" w:cs="宋体"/>
          <w:kern w:val="0"/>
          <w:sz w:val="24"/>
          <w:lang w:bidi="ar"/>
        </w:rPr>
        <w:t>、募集资金用途：</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23</w:t>
      </w:r>
      <w:r>
        <w:rPr>
          <w:rFonts w:hint="eastAsia" w:ascii="Calibri" w:hAnsi="Calibri" w:eastAsia="宋体" w:cs="宋体"/>
          <w:kern w:val="0"/>
          <w:sz w:val="24"/>
          <w:lang w:bidi="ar"/>
        </w:rPr>
        <w:t>、拟上市地：深圳证券交易所</w:t>
      </w:r>
      <w:r>
        <w:rPr>
          <w:rFonts w:ascii="Calibri" w:hAnsi="Calibri" w:eastAsia="宋体" w:cs="宋体"/>
          <w:kern w:val="0"/>
          <w:sz w:val="24"/>
          <w:lang w:bidi="ar"/>
        </w:rPr>
        <w:t>/银行间市场（企业债券适用）</w:t>
      </w:r>
      <w:r>
        <w:rPr>
          <w:rFonts w:hint="eastAsia"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24</w:t>
      </w:r>
      <w:r>
        <w:rPr>
          <w:rFonts w:hint="eastAsia" w:ascii="Calibri" w:hAnsi="Calibri" w:eastAsia="宋体" w:cs="宋体"/>
          <w:kern w:val="0"/>
          <w:sz w:val="24"/>
          <w:lang w:bidi="ar"/>
        </w:rPr>
        <w:t>、</w:t>
      </w:r>
      <w:r>
        <w:rPr>
          <w:rFonts w:ascii="Calibri" w:hAnsi="Calibri" w:eastAsia="宋体" w:cs="宋体"/>
          <w:kern w:val="0"/>
          <w:sz w:val="24"/>
          <w:lang w:bidi="ar"/>
        </w:rPr>
        <w:t>通用</w:t>
      </w:r>
      <w:r>
        <w:rPr>
          <w:rFonts w:hint="eastAsia" w:ascii="Calibri" w:hAnsi="Calibri" w:eastAsia="宋体" w:cs="宋体"/>
          <w:kern w:val="0"/>
          <w:sz w:val="24"/>
          <w:lang w:bidi="ar"/>
        </w:rPr>
        <w:t>质押式回购安排：说明是否符合通用质押式回购条件，如：发行人主体长期信用等级为</w:t>
      </w:r>
      <w:r>
        <w:rPr>
          <w:rFonts w:ascii="Calibri" w:hAnsi="Calibri" w:eastAsia="宋体" w:cs="Times New Roman"/>
          <w:kern w:val="0"/>
          <w:sz w:val="24"/>
          <w:lang w:bidi="ar"/>
        </w:rPr>
        <w:t>AA</w:t>
      </w:r>
      <w:r>
        <w:rPr>
          <w:rFonts w:hint="eastAsia" w:ascii="Calibri" w:hAnsi="Calibri" w:eastAsia="宋体" w:cs="宋体"/>
          <w:kern w:val="0"/>
          <w:sz w:val="24"/>
          <w:lang w:bidi="ar"/>
        </w:rPr>
        <w:t>级，展望稳定，本期债券的信用等级为</w:t>
      </w:r>
      <w:r>
        <w:rPr>
          <w:rFonts w:ascii="Calibri" w:hAnsi="Calibri" w:eastAsia="宋体" w:cs="Times New Roman"/>
          <w:kern w:val="0"/>
          <w:sz w:val="24"/>
          <w:lang w:bidi="ar"/>
        </w:rPr>
        <w:t>AAA</w:t>
      </w:r>
      <w:r>
        <w:rPr>
          <w:rFonts w:hint="eastAsia" w:ascii="Calibri" w:hAnsi="Calibri" w:eastAsia="宋体" w:cs="宋体"/>
          <w:kern w:val="0"/>
          <w:sz w:val="24"/>
          <w:lang w:bidi="ar"/>
        </w:rPr>
        <w:t>级，</w:t>
      </w:r>
      <w:r>
        <w:rPr>
          <w:rFonts w:hint="eastAsia" w:ascii="Calibri" w:hAnsi="Calibri" w:eastAsia="宋体" w:cs="宋体"/>
          <w:kern w:val="0"/>
          <w:sz w:val="24"/>
          <w:lang w:eastAsia="zh-CN" w:bidi="ar"/>
        </w:rPr>
        <w:t>本公司认为</w:t>
      </w:r>
      <w:r>
        <w:rPr>
          <w:rFonts w:hint="eastAsia" w:ascii="Calibri" w:hAnsi="Calibri" w:eastAsia="宋体" w:cs="宋体"/>
          <w:kern w:val="0"/>
          <w:sz w:val="24"/>
          <w:lang w:bidi="ar"/>
        </w:rPr>
        <w:t>本期债券符合进行通用质押式回购交易的基本条件，具体折算率等事宜按中国证券登记结算有限责任公司的相关规定执行。</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25</w:t>
      </w:r>
      <w:r>
        <w:rPr>
          <w:rFonts w:hint="eastAsia" w:ascii="Calibri" w:hAnsi="Calibri" w:eastAsia="宋体" w:cs="宋体"/>
          <w:kern w:val="0"/>
          <w:sz w:val="24"/>
          <w:lang w:bidi="ar"/>
        </w:rPr>
        <w:t>、上市安排：</w:t>
      </w:r>
      <w:r>
        <w:rPr>
          <w:rFonts w:hint="eastAsia" w:ascii="Calibri" w:hAnsi="Calibri" w:eastAsia="宋体" w:cs="宋体"/>
          <w:sz w:val="24"/>
          <w:lang w:bidi="ar"/>
        </w:rPr>
        <w:t>本次发行结束后，公司将尽快向深圳证券交易所</w:t>
      </w:r>
      <w:r>
        <w:rPr>
          <w:rFonts w:ascii="Calibri" w:hAnsi="Calibri" w:eastAsia="宋体" w:cs="宋体"/>
          <w:sz w:val="24"/>
          <w:lang w:bidi="ar"/>
        </w:rPr>
        <w:t>【和</w:t>
      </w:r>
      <w:r>
        <w:rPr>
          <w:rFonts w:hint="eastAsia" w:ascii="Calibri" w:hAnsi="Calibri" w:eastAsia="宋体" w:cs="宋体"/>
          <w:sz w:val="24"/>
          <w:lang w:bidi="ar"/>
        </w:rPr>
        <w:t>全国</w:t>
      </w:r>
      <w:r>
        <w:rPr>
          <w:rFonts w:ascii="Calibri" w:hAnsi="Calibri" w:eastAsia="宋体" w:cs="宋体"/>
          <w:sz w:val="24"/>
          <w:lang w:bidi="ar"/>
        </w:rPr>
        <w:t>银行间</w:t>
      </w:r>
      <w:r>
        <w:rPr>
          <w:rFonts w:hint="eastAsia" w:ascii="Calibri" w:hAnsi="Calibri" w:eastAsia="宋体" w:cs="宋体"/>
          <w:sz w:val="24"/>
          <w:lang w:bidi="ar"/>
        </w:rPr>
        <w:t>债券</w:t>
      </w:r>
      <w:r>
        <w:rPr>
          <w:rFonts w:ascii="Calibri" w:hAnsi="Calibri" w:eastAsia="宋体" w:cs="宋体"/>
          <w:sz w:val="24"/>
          <w:lang w:bidi="ar"/>
        </w:rPr>
        <w:t>市场（企业债</w:t>
      </w:r>
      <w:r>
        <w:rPr>
          <w:rFonts w:hint="eastAsia" w:ascii="Calibri" w:hAnsi="Calibri" w:eastAsia="宋体" w:cs="宋体"/>
          <w:sz w:val="24"/>
          <w:lang w:bidi="ar"/>
        </w:rPr>
        <w:t>适用</w:t>
      </w:r>
      <w:r>
        <w:rPr>
          <w:rFonts w:ascii="Calibri" w:hAnsi="Calibri" w:eastAsia="宋体" w:cs="宋体"/>
          <w:sz w:val="24"/>
          <w:lang w:bidi="ar"/>
        </w:rPr>
        <w:t>）】</w:t>
      </w:r>
      <w:r>
        <w:rPr>
          <w:rFonts w:hint="eastAsia" w:ascii="Calibri" w:hAnsi="Calibri" w:eastAsia="宋体" w:cs="宋体"/>
          <w:sz w:val="24"/>
          <w:lang w:bidi="ar"/>
        </w:rPr>
        <w:t>提出关于本期债券上市交易的申请。本期债券符合深圳证券交易所上市条件，将采取匹配成交、点击成交、询价成交、竞买成交及协商成交的交易方式。但本期债券上市前，公司财务状况、经营业绩、现金流和信用评级等情况可能出现重大变化，公司无法保证本期债券上市【或交易流通（企业债券适用）】申请能够获得深圳证券交易所</w:t>
      </w:r>
      <w:r>
        <w:rPr>
          <w:rFonts w:ascii="Calibri" w:hAnsi="Calibri" w:eastAsia="宋体" w:cs="宋体"/>
          <w:sz w:val="24"/>
          <w:lang w:bidi="ar"/>
        </w:rPr>
        <w:t>/银行间市场（企业债券适用）</w:t>
      </w:r>
      <w:r>
        <w:rPr>
          <w:rFonts w:hint="eastAsia" w:ascii="Calibri" w:hAnsi="Calibri" w:eastAsia="宋体" w:cs="宋体"/>
          <w:sz w:val="24"/>
          <w:lang w:bidi="ar"/>
        </w:rPr>
        <w:t>同意，若届时本期债券无法上市，投资者有权选择将本期债券回售予本公司。因公司经营与收益等情况变化引致的投资风险和流动性风险，由债券投资者自行承担，本期债券不能在除深圳证券交易所以外的其他交易场所上市</w:t>
      </w:r>
      <w:r>
        <w:rPr>
          <w:sz w:val="24"/>
          <w:szCs w:val="24"/>
        </w:rPr>
        <w:t>（公司债券适用）</w:t>
      </w:r>
      <w:r>
        <w:t>/</w:t>
      </w:r>
      <w:r>
        <w:rPr>
          <w:rFonts w:hint="eastAsia" w:ascii="Calibri" w:hAnsi="Calibri" w:eastAsia="宋体" w:cs="宋体"/>
          <w:sz w:val="24"/>
          <w:lang w:bidi="ar"/>
        </w:rPr>
        <w:t>本期债券不能在除深圳证券交易所</w:t>
      </w:r>
      <w:r>
        <w:rPr>
          <w:rFonts w:ascii="Calibri" w:hAnsi="Calibri" w:eastAsia="宋体" w:cs="宋体"/>
          <w:sz w:val="24"/>
          <w:lang w:bidi="ar"/>
        </w:rPr>
        <w:t>及</w:t>
      </w:r>
      <w:r>
        <w:rPr>
          <w:rFonts w:hint="eastAsia" w:ascii="Calibri" w:hAnsi="Calibri" w:eastAsia="宋体" w:cs="宋体"/>
          <w:sz w:val="24"/>
          <w:lang w:bidi="ar"/>
        </w:rPr>
        <w:t>全国</w:t>
      </w:r>
      <w:r>
        <w:rPr>
          <w:rFonts w:ascii="Calibri" w:hAnsi="Calibri" w:eastAsia="宋体" w:cs="宋体"/>
          <w:sz w:val="24"/>
          <w:lang w:bidi="ar"/>
        </w:rPr>
        <w:t>银行间</w:t>
      </w:r>
      <w:r>
        <w:rPr>
          <w:rFonts w:hint="eastAsia" w:ascii="Calibri" w:hAnsi="Calibri" w:eastAsia="宋体" w:cs="宋体"/>
          <w:sz w:val="24"/>
          <w:lang w:bidi="ar"/>
        </w:rPr>
        <w:t>债券</w:t>
      </w:r>
      <w:r>
        <w:rPr>
          <w:rFonts w:ascii="Calibri" w:hAnsi="Calibri" w:eastAsia="宋体" w:cs="宋体"/>
          <w:sz w:val="24"/>
          <w:lang w:bidi="ar"/>
        </w:rPr>
        <w:t>市场</w:t>
      </w:r>
      <w:r>
        <w:rPr>
          <w:rFonts w:hint="eastAsia" w:ascii="Calibri" w:hAnsi="Calibri" w:eastAsia="宋体" w:cs="宋体"/>
          <w:sz w:val="24"/>
          <w:lang w:bidi="ar"/>
        </w:rPr>
        <w:t>以外的其他交易场所上市</w:t>
      </w:r>
      <w:r>
        <w:rPr>
          <w:rFonts w:ascii="Calibri" w:hAnsi="Calibri" w:eastAsia="宋体" w:cs="宋体"/>
          <w:sz w:val="24"/>
          <w:lang w:bidi="ar"/>
        </w:rPr>
        <w:t>（企业债券适用）</w:t>
      </w:r>
      <w:r>
        <w:rPr>
          <w:rFonts w:hint="eastAsia"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26</w:t>
      </w:r>
      <w:r>
        <w:rPr>
          <w:rFonts w:hint="eastAsia" w:ascii="Calibri" w:hAnsi="Calibri" w:eastAsia="宋体" w:cs="宋体"/>
          <w:kern w:val="0"/>
          <w:sz w:val="24"/>
          <w:lang w:bidi="ar"/>
        </w:rPr>
        <w:t>、税务提示：根据国家有关税收法律、法规的规定，投资者投资本期债券所应缴纳的税款由投资者自行承担。</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27</w:t>
      </w:r>
      <w:r>
        <w:rPr>
          <w:rFonts w:hint="eastAsia" w:ascii="Calibri" w:hAnsi="Calibri" w:eastAsia="宋体" w:cs="宋体"/>
          <w:kern w:val="0"/>
          <w:sz w:val="24"/>
          <w:lang w:bidi="ar"/>
        </w:rPr>
        <w:t>、与本期债券发行有关的时间安排：</w:t>
      </w:r>
    </w:p>
    <w:p>
      <w:pPr>
        <w:adjustRightInd w:val="0"/>
        <w:snapToGrid w:val="0"/>
        <w:spacing w:line="360" w:lineRule="auto"/>
      </w:pPr>
    </w:p>
    <w:tbl>
      <w:tblPr>
        <w:tblStyle w:val="30"/>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6"/>
        <w:gridCol w:w="5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b/>
                <w:sz w:val="24"/>
              </w:rPr>
            </w:pPr>
            <w:r>
              <w:rPr>
                <w:rFonts w:hint="eastAsia" w:ascii="Calibri" w:hAnsi="Calibri" w:eastAsia="宋体" w:cs="宋体"/>
                <w:b/>
                <w:sz w:val="24"/>
                <w:lang w:bidi="ar"/>
              </w:rPr>
              <w:t>日期</w:t>
            </w:r>
          </w:p>
        </w:tc>
        <w:tc>
          <w:tcPr>
            <w:tcW w:w="5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center"/>
              <w:rPr>
                <w:rFonts w:hint="default"/>
                <w:b/>
                <w:sz w:val="24"/>
              </w:rPr>
            </w:pPr>
            <w:r>
              <w:rPr>
                <w:rFonts w:hint="eastAsia" w:ascii="Calibri" w:hAnsi="Calibri" w:eastAsia="宋体" w:cs="宋体"/>
                <w:b/>
                <w:sz w:val="24"/>
                <w:lang w:bidi="ar"/>
              </w:rPr>
              <w:t>发行安排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default" w:ascii="Calibri" w:hAnsi="Calibri" w:eastAsia="宋体" w:cs="Times New Roman"/>
                <w:sz w:val="24"/>
                <w:lang w:bidi="ar"/>
              </w:rPr>
              <w:t>T-2</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刊登募集说明书及其摘要（如有）、发行公告、评级报告（如有）、更名公告（如有）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default" w:ascii="Calibri" w:hAnsi="Calibri" w:eastAsia="宋体" w:cs="Times New Roman"/>
                <w:sz w:val="24"/>
                <w:lang w:bidi="ar"/>
              </w:rPr>
              <w:t>T-1</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网下询价（簿记</w:t>
            </w:r>
            <w:r>
              <w:rPr>
                <w:rFonts w:hint="eastAsia" w:ascii="Calibri" w:hAnsi="Calibri" w:eastAsia="宋体" w:cs="宋体"/>
                <w:sz w:val="24"/>
                <w:lang w:eastAsia="zh-CN" w:bidi="ar"/>
              </w:rPr>
              <w:t>发行</w:t>
            </w:r>
            <w:r>
              <w:rPr>
                <w:rFonts w:hint="eastAsia" w:ascii="Calibri" w:hAnsi="Calibri" w:eastAsia="宋体" w:cs="宋体"/>
                <w:sz w:val="24"/>
                <w:lang w:val="en-US" w:eastAsia="zh-CN" w:bidi="ar"/>
              </w:rPr>
              <w:t>/协议发行</w:t>
            </w:r>
            <w:r>
              <w:rPr>
                <w:rFonts w:hint="eastAsia" w:ascii="Calibri" w:hAnsi="Calibri" w:eastAsia="宋体" w:cs="宋体"/>
                <w:sz w:val="24"/>
                <w:lang w:bidi="ar"/>
              </w:rPr>
              <w:t>）</w:t>
            </w:r>
          </w:p>
          <w:p>
            <w:pPr>
              <w:keepNext w:val="0"/>
              <w:keepLines w:val="0"/>
              <w:suppressLineNumbers w:val="0"/>
              <w:adjustRightInd w:val="0"/>
              <w:snapToGrid w:val="0"/>
              <w:spacing w:before="0" w:beforeAutospacing="0" w:after="0" w:afterAutospacing="0" w:line="360" w:lineRule="auto"/>
              <w:ind w:left="0" w:right="0"/>
              <w:jc w:val="left"/>
              <w:rPr>
                <w:rFonts w:hint="eastAsia" w:eastAsia="宋体"/>
                <w:sz w:val="24"/>
                <w:lang w:val="en-US" w:eastAsia="zh-CN"/>
              </w:rPr>
            </w:pPr>
            <w:r>
              <w:rPr>
                <w:rFonts w:hint="eastAsia" w:ascii="Calibri" w:hAnsi="Calibri" w:eastAsia="宋体" w:cs="宋体"/>
                <w:sz w:val="24"/>
                <w:lang w:bidi="ar"/>
              </w:rPr>
              <w:t>确定票面利率</w:t>
            </w:r>
            <w:r>
              <w:rPr>
                <w:rFonts w:hint="eastAsia" w:ascii="Calibri" w:hAnsi="Calibri" w:eastAsia="宋体" w:cs="宋体"/>
                <w:sz w:val="24"/>
                <w:lang w:val="en-US" w:eastAsia="zh-CN" w:bidi="ar"/>
              </w:rPr>
              <w:t>/</w:t>
            </w:r>
            <w:r>
              <w:rPr>
                <w:rFonts w:hint="eastAsia" w:ascii="Calibri" w:hAnsi="Calibri" w:eastAsia="宋体" w:cs="宋体"/>
                <w:sz w:val="24"/>
                <w:lang w:eastAsia="zh-CN" w:bidi="ar"/>
              </w:rPr>
              <w:t>发行价格</w:t>
            </w:r>
          </w:p>
          <w:p>
            <w:pPr>
              <w:keepNext w:val="0"/>
              <w:keepLines w:val="0"/>
              <w:suppressLineNumbers w:val="0"/>
              <w:adjustRightInd w:val="0"/>
              <w:snapToGrid w:val="0"/>
              <w:spacing w:before="0" w:beforeAutospacing="0" w:after="0" w:afterAutospacing="0" w:line="360" w:lineRule="auto"/>
              <w:ind w:left="0" w:right="0"/>
              <w:jc w:val="left"/>
              <w:rPr>
                <w:rFonts w:hint="default" w:eastAsia="宋体"/>
                <w:sz w:val="24"/>
                <w:lang w:val="en-US" w:eastAsia="zh-CN"/>
              </w:rPr>
            </w:pPr>
            <w:r>
              <w:rPr>
                <w:rFonts w:hint="eastAsia" w:ascii="Calibri" w:hAnsi="Calibri" w:eastAsia="宋体" w:cs="宋体"/>
                <w:sz w:val="24"/>
                <w:lang w:bidi="ar"/>
              </w:rPr>
              <w:t>公告最终票面利率</w:t>
            </w:r>
            <w:r>
              <w:rPr>
                <w:rFonts w:hint="eastAsia" w:ascii="Calibri" w:hAnsi="Calibri" w:eastAsia="宋体" w:cs="宋体"/>
                <w:sz w:val="24"/>
                <w:lang w:val="en-US" w:eastAsia="zh-CN" w:bidi="ar"/>
              </w:rPr>
              <w:t>/发行价格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default" w:ascii="Calibri" w:hAnsi="Calibri" w:eastAsia="宋体" w:cs="Times New Roman"/>
                <w:sz w:val="24"/>
                <w:lang w:bidi="ar"/>
              </w:rPr>
              <w:t>T</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eastAsia" w:ascii="Calibri" w:hAnsi="Calibri" w:eastAsia="宋体" w:cs="宋体"/>
                <w:sz w:val="24"/>
                <w:lang w:bidi="ar"/>
              </w:rPr>
              <w:t>（【】年【】）</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网上认购日（如有）</w:t>
            </w:r>
          </w:p>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网下认购起始日</w:t>
            </w:r>
          </w:p>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网上认购的剩余部分回拨至网下发行（如有）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default" w:ascii="Calibri" w:hAnsi="Calibri" w:eastAsia="宋体" w:cs="Times New Roman"/>
                <w:sz w:val="24"/>
                <w:lang w:bidi="ar"/>
              </w:rPr>
              <w:t>T+</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line="360" w:lineRule="auto"/>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网下认购截止日</w:t>
            </w:r>
          </w:p>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投资者于当日【】之前将认购款划至主承销商专用收款账户</w:t>
            </w:r>
          </w:p>
          <w:p>
            <w:pPr>
              <w:keepNext w:val="0"/>
              <w:keepLines w:val="0"/>
              <w:suppressLineNumbers w:val="0"/>
              <w:adjustRightInd w:val="0"/>
              <w:snapToGrid w:val="0"/>
              <w:spacing w:before="0" w:beforeAutospacing="0" w:after="0" w:afterAutospacing="0" w:line="360" w:lineRule="auto"/>
              <w:ind w:left="0" w:right="0"/>
              <w:jc w:val="left"/>
              <w:rPr>
                <w:rFonts w:hint="default"/>
                <w:sz w:val="24"/>
              </w:rPr>
            </w:pPr>
            <w:r>
              <w:rPr>
                <w:rFonts w:hint="eastAsia" w:ascii="Calibri" w:hAnsi="Calibri" w:eastAsia="宋体" w:cs="宋体"/>
                <w:sz w:val="24"/>
                <w:lang w:bidi="ar"/>
              </w:rPr>
              <w:t>发行结果公告日</w:t>
            </w:r>
          </w:p>
        </w:tc>
      </w:tr>
    </w:tbl>
    <w:p>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lang w:bidi="ar"/>
        </w:rPr>
        <w:t>注：上述日期为交易日。如遇重大突发事件影响发行，发行人和主承销商将及时公告，修改发行日程。</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rPr>
        <w:t>二、网下向投资者利率询价</w:t>
      </w:r>
    </w:p>
    <w:p>
      <w:pPr>
        <w:adjustRightInd w:val="0"/>
        <w:snapToGrid w:val="0"/>
        <w:spacing w:line="360" w:lineRule="auto"/>
        <w:ind w:firstLine="482" w:firstLineChars="200"/>
        <w:rPr>
          <w:b/>
          <w:sz w:val="24"/>
        </w:rPr>
      </w:pPr>
      <w:r>
        <w:rPr>
          <w:rFonts w:hint="eastAsia" w:ascii="Calibri" w:hAnsi="Calibri" w:eastAsia="宋体" w:cs="宋体"/>
          <w:b/>
          <w:sz w:val="24"/>
          <w:lang w:bidi="ar"/>
        </w:rPr>
        <w:t>（一）网下投资者</w:t>
      </w:r>
    </w:p>
    <w:p>
      <w:pPr>
        <w:adjustRightInd w:val="0"/>
        <w:snapToGrid w:val="0"/>
        <w:spacing w:line="360" w:lineRule="auto"/>
        <w:ind w:firstLine="480" w:firstLineChars="200"/>
        <w:rPr>
          <w:sz w:val="24"/>
        </w:rPr>
      </w:pPr>
      <w:r>
        <w:rPr>
          <w:rFonts w:hint="eastAsia" w:ascii="Calibri" w:hAnsi="Calibri" w:eastAsia="宋体" w:cs="宋体"/>
          <w:sz w:val="24"/>
          <w:lang w:bidi="ar"/>
        </w:rPr>
        <w:t>本次网下利率询价的对象为持有中国证券登记结算有限责任公司深圳分公司</w:t>
      </w:r>
      <w:r>
        <w:rPr>
          <w:rFonts w:ascii="Calibri" w:hAnsi="Calibri" w:eastAsia="宋体" w:cs="Times New Roman"/>
          <w:sz w:val="24"/>
          <w:lang w:bidi="ar"/>
        </w:rPr>
        <w:t>A</w:t>
      </w:r>
      <w:r>
        <w:rPr>
          <w:rFonts w:hint="eastAsia" w:ascii="Calibri" w:hAnsi="Calibri" w:eastAsia="宋体" w:cs="宋体"/>
          <w:sz w:val="24"/>
          <w:lang w:bidi="ar"/>
        </w:rPr>
        <w:t>股证券账户的专业机构投资者【，以及</w:t>
      </w:r>
      <w:r>
        <w:rPr>
          <w:rFonts w:hint="eastAsia" w:ascii="Calibri" w:hAnsi="Calibri" w:eastAsia="宋体" w:cs="宋体"/>
          <w:kern w:val="0"/>
          <w:sz w:val="24"/>
          <w:lang w:bidi="ar"/>
        </w:rPr>
        <w:t>在中央国债登记结算有限责任公司开户的【投资者，应说明投资者类型】（企业债券适用）】</w:t>
      </w:r>
      <w:r>
        <w:rPr>
          <w:rFonts w:hint="eastAsia" w:ascii="Calibri" w:hAnsi="Calibri" w:eastAsia="宋体" w:cs="宋体"/>
          <w:sz w:val="24"/>
          <w:lang w:bidi="ar"/>
        </w:rPr>
        <w:t>。</w:t>
      </w:r>
    </w:p>
    <w:p>
      <w:pPr>
        <w:adjustRightInd w:val="0"/>
        <w:snapToGrid w:val="0"/>
        <w:spacing w:line="360" w:lineRule="auto"/>
        <w:ind w:firstLine="482" w:firstLineChars="200"/>
        <w:rPr>
          <w:b/>
          <w:sz w:val="24"/>
        </w:rPr>
      </w:pPr>
      <w:r>
        <w:rPr>
          <w:rFonts w:hint="eastAsia" w:ascii="Calibri" w:hAnsi="Calibri" w:eastAsia="宋体" w:cs="宋体"/>
          <w:b/>
          <w:sz w:val="24"/>
          <w:lang w:bidi="ar"/>
        </w:rPr>
        <w:t>（二）利率询价预设</w:t>
      </w:r>
      <w:r>
        <w:rPr>
          <w:rFonts w:hint="eastAsia" w:ascii="Calibri" w:hAnsi="Calibri" w:eastAsia="宋体" w:cs="宋体"/>
          <w:b/>
          <w:sz w:val="24"/>
          <w:lang w:eastAsia="zh-CN" w:bidi="ar"/>
        </w:rPr>
        <w:t>区</w:t>
      </w:r>
      <w:r>
        <w:rPr>
          <w:rFonts w:hint="eastAsia" w:ascii="Calibri" w:hAnsi="Calibri" w:eastAsia="宋体" w:cs="宋体"/>
          <w:b/>
          <w:sz w:val="24"/>
          <w:lang w:bidi="ar"/>
        </w:rPr>
        <w:t>间</w:t>
      </w:r>
      <w:r>
        <w:rPr>
          <w:rFonts w:hint="eastAsia" w:ascii="Calibri" w:hAnsi="Calibri" w:eastAsia="宋体" w:cs="宋体"/>
          <w:b/>
          <w:sz w:val="24"/>
          <w:lang w:val="en-US" w:eastAsia="zh-CN" w:bidi="ar"/>
        </w:rPr>
        <w:t>/发行价格簿记建档区间</w:t>
      </w:r>
      <w:r>
        <w:rPr>
          <w:rFonts w:hint="eastAsia" w:ascii="Calibri" w:hAnsi="Calibri" w:eastAsia="宋体" w:cs="宋体"/>
          <w:b/>
          <w:sz w:val="24"/>
          <w:lang w:bidi="ar"/>
        </w:rPr>
        <w:t>及票面利率确定方法</w:t>
      </w:r>
    </w:p>
    <w:p>
      <w:pPr>
        <w:adjustRightInd w:val="0"/>
        <w:snapToGrid w:val="0"/>
        <w:spacing w:line="360" w:lineRule="auto"/>
        <w:ind w:firstLine="480" w:firstLineChars="200"/>
        <w:rPr>
          <w:rFonts w:hint="eastAsia" w:ascii="Calibri" w:hAnsi="Calibri" w:eastAsia="宋体" w:cs="宋体"/>
          <w:sz w:val="24"/>
          <w:lang w:bidi="ar"/>
        </w:rPr>
      </w:pPr>
      <w:r>
        <w:rPr>
          <w:rFonts w:hint="eastAsia" w:ascii="Calibri" w:hAnsi="Calibri" w:eastAsia="宋体" w:cs="宋体"/>
          <w:sz w:val="24"/>
          <w:lang w:bidi="ar"/>
        </w:rPr>
        <w:t>本期债券票面利率预设区间为【】，最终的票面利率将【】确定。</w:t>
      </w:r>
    </w:p>
    <w:p>
      <w:pPr>
        <w:adjustRightInd w:val="0"/>
        <w:snapToGrid w:val="0"/>
        <w:spacing w:line="360" w:lineRule="auto"/>
        <w:ind w:firstLine="480" w:firstLineChars="200"/>
        <w:rPr>
          <w:rFonts w:hint="default" w:eastAsia="宋体"/>
          <w:sz w:val="24"/>
          <w:lang w:val="en-US" w:eastAsia="zh-CN"/>
        </w:rPr>
      </w:pPr>
      <w:r>
        <w:rPr>
          <w:rFonts w:hint="eastAsia" w:ascii="Calibri" w:hAnsi="Calibri" w:eastAsia="宋体" w:cs="宋体"/>
          <w:sz w:val="24"/>
          <w:lang w:eastAsia="zh-CN" w:bidi="ar"/>
        </w:rPr>
        <w:t>【如为续发行债券】本期续发行债券申购价格区间为【】，申购价格为债券全价，包括</w:t>
      </w:r>
      <w:r>
        <w:rPr>
          <w:rFonts w:hint="eastAsia" w:ascii="Calibri" w:hAnsi="Calibri" w:eastAsia="宋体" w:cs="宋体"/>
          <w:sz w:val="24"/>
          <w:lang w:bidi="ar"/>
        </w:rPr>
        <w:t>【】年【】月【】日</w:t>
      </w:r>
      <w:r>
        <w:rPr>
          <w:rFonts w:hint="eastAsia" w:ascii="Calibri" w:hAnsi="Calibri" w:eastAsia="宋体" w:cs="宋体"/>
          <w:sz w:val="24"/>
          <w:lang w:eastAsia="zh-CN" w:bidi="ar"/>
        </w:rPr>
        <w:t>至</w:t>
      </w:r>
      <w:r>
        <w:rPr>
          <w:rFonts w:hint="eastAsia" w:ascii="Calibri" w:hAnsi="Calibri" w:eastAsia="宋体" w:cs="宋体"/>
          <w:sz w:val="24"/>
          <w:lang w:bidi="ar"/>
        </w:rPr>
        <w:t>【】年【】月【】日</w:t>
      </w:r>
      <w:r>
        <w:rPr>
          <w:rFonts w:hint="eastAsia" w:ascii="Calibri" w:hAnsi="Calibri" w:eastAsia="宋体" w:cs="宋体"/>
          <w:sz w:val="24"/>
          <w:lang w:eastAsia="zh-CN" w:bidi="ar"/>
        </w:rPr>
        <w:t>期间产生的债券利息，投资者缴款金额为申购金额</w:t>
      </w:r>
      <w:r>
        <w:rPr>
          <w:rFonts w:hint="eastAsia" w:ascii="Calibri" w:hAnsi="Calibri" w:eastAsia="宋体" w:cs="宋体"/>
          <w:sz w:val="24"/>
          <w:lang w:val="en-US" w:eastAsia="zh-CN" w:bidi="ar"/>
        </w:rPr>
        <w:t>*发行价格/100元。</w:t>
      </w:r>
    </w:p>
    <w:p>
      <w:pPr>
        <w:adjustRightInd w:val="0"/>
        <w:snapToGrid w:val="0"/>
        <w:spacing w:line="360" w:lineRule="auto"/>
        <w:ind w:firstLine="482" w:firstLineChars="200"/>
        <w:rPr>
          <w:b/>
          <w:sz w:val="24"/>
        </w:rPr>
      </w:pPr>
      <w:r>
        <w:rPr>
          <w:rFonts w:hint="eastAsia" w:ascii="Calibri" w:hAnsi="Calibri" w:eastAsia="宋体" w:cs="宋体"/>
          <w:b/>
          <w:sz w:val="24"/>
          <w:lang w:bidi="ar"/>
        </w:rPr>
        <w:t>（三）询价时间</w:t>
      </w:r>
    </w:p>
    <w:p>
      <w:pPr>
        <w:adjustRightInd w:val="0"/>
        <w:snapToGrid w:val="0"/>
        <w:spacing w:line="360" w:lineRule="auto"/>
        <w:ind w:firstLine="480" w:firstLineChars="200"/>
        <w:rPr>
          <w:rFonts w:ascii="Calibri" w:hAnsi="Calibri" w:eastAsia="宋体" w:cs="Times New Roman"/>
          <w:sz w:val="24"/>
          <w:lang w:bidi="ar"/>
        </w:rPr>
      </w:pPr>
      <w:r>
        <w:rPr>
          <w:rFonts w:hint="eastAsia" w:ascii="Calibri" w:hAnsi="Calibri" w:eastAsia="宋体" w:cs="宋体"/>
          <w:sz w:val="24"/>
          <w:lang w:bidi="ar"/>
        </w:rPr>
        <w:t>本期债券网下利率询价的时间为【】年【】月【】日（</w:t>
      </w:r>
      <w:r>
        <w:rPr>
          <w:rFonts w:ascii="Calibri" w:hAnsi="Calibri" w:eastAsia="宋体" w:cs="Times New Roman"/>
          <w:sz w:val="24"/>
          <w:lang w:bidi="ar"/>
        </w:rPr>
        <w:t>T-1</w:t>
      </w:r>
      <w:r>
        <w:rPr>
          <w:rFonts w:hint="eastAsia" w:ascii="Calibri" w:hAnsi="Calibri" w:eastAsia="宋体" w:cs="宋体"/>
          <w:sz w:val="24"/>
          <w:lang w:bidi="ar"/>
        </w:rPr>
        <w:t>日）</w:t>
      </w:r>
      <w:r>
        <w:rPr>
          <w:rFonts w:ascii="Calibri" w:hAnsi="Calibri" w:eastAsia="宋体" w:cs="Times New Roman"/>
          <w:sz w:val="24"/>
          <w:lang w:bidi="ar"/>
        </w:rPr>
        <w:t>**</w:t>
      </w:r>
      <w:r>
        <w:rPr>
          <w:rFonts w:hint="eastAsia" w:ascii="Calibri" w:hAnsi="Calibri" w:eastAsia="宋体" w:cs="宋体"/>
          <w:sz w:val="24"/>
          <w:lang w:bidi="ar"/>
        </w:rPr>
        <w:t>：</w:t>
      </w:r>
      <w:r>
        <w:rPr>
          <w:rFonts w:ascii="Calibri" w:hAnsi="Calibri" w:eastAsia="宋体" w:cs="Times New Roman"/>
          <w:sz w:val="24"/>
          <w:lang w:bidi="ar"/>
        </w:rPr>
        <w:t>00</w:t>
      </w:r>
      <w:r>
        <w:rPr>
          <w:rFonts w:hint="eastAsia" w:ascii="Calibri" w:hAnsi="Calibri" w:eastAsia="宋体" w:cs="宋体"/>
          <w:sz w:val="24"/>
          <w:lang w:bidi="ar"/>
        </w:rPr>
        <w:t>至</w:t>
      </w:r>
      <w:r>
        <w:rPr>
          <w:rFonts w:ascii="Calibri" w:hAnsi="Calibri" w:eastAsia="宋体" w:cs="Times New Roman"/>
          <w:sz w:val="24"/>
          <w:lang w:bidi="ar"/>
        </w:rPr>
        <w:t>**</w:t>
      </w:r>
      <w:r>
        <w:rPr>
          <w:rFonts w:hint="eastAsia" w:ascii="Calibri" w:hAnsi="Calibri" w:eastAsia="宋体" w:cs="宋体"/>
          <w:sz w:val="24"/>
          <w:lang w:bidi="ar"/>
        </w:rPr>
        <w:t>：</w:t>
      </w:r>
      <w:r>
        <w:rPr>
          <w:rFonts w:ascii="Calibri" w:hAnsi="Calibri" w:eastAsia="宋体" w:cs="Times New Roman"/>
          <w:sz w:val="24"/>
          <w:lang w:bidi="ar"/>
        </w:rPr>
        <w:t>00</w:t>
      </w:r>
      <w:r>
        <w:rPr>
          <w:rFonts w:hint="eastAsia" w:ascii="Calibri" w:hAnsi="Calibri" w:eastAsia="宋体" w:cs="Times New Roman"/>
          <w:sz w:val="24"/>
          <w:lang w:bidi="ar"/>
        </w:rPr>
        <w:t>。</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Times New Roman"/>
          <w:sz w:val="24"/>
          <w:lang w:bidi="ar"/>
        </w:rPr>
        <w:t>【使用簿记系统】本期债券簿记建档工作通过债券簿记建档系统（【簿记系统地址】</w:t>
      </w:r>
      <w:r>
        <w:rPr>
          <w:rFonts w:hint="eastAsia" w:ascii="Calibri" w:hAnsi="Calibri" w:eastAsia="宋体" w:cs="宋体"/>
          <w:sz w:val="24"/>
          <w:lang w:bidi="ar"/>
        </w:rPr>
        <w:t>，以下简称簿记系统）开展，【补充簿记的具体情形，例如：在网下询价时间内，参与询价的债券交易参与人及承销机构认可的其他专业机构投资者原则上应当通过簿记系统提交认购订单，其他投资者、因不可抗力等特殊情况导致无法通过簿记系统进行申购的债券交易参与人及承销机构认可的其他专业机构投资者可通过【传真、邮件（根据实际情况进行明确）等】方式向簿记管理人或者承销机构发送《【债券全称】网下利率询价及认购申请表》</w:t>
      </w:r>
      <w:r>
        <w:rPr>
          <w:rFonts w:ascii="Calibri" w:hAnsi="Calibri" w:eastAsia="宋体" w:cs="宋体"/>
          <w:sz w:val="24"/>
          <w:lang w:bidi="ar"/>
        </w:rPr>
        <w:t>【文件具体名称可根据簿记管理人要求调整】</w:t>
      </w:r>
      <w:r>
        <w:rPr>
          <w:rFonts w:hint="eastAsia" w:ascii="Calibri" w:hAnsi="Calibri" w:eastAsia="宋体" w:cs="宋体"/>
          <w:sz w:val="24"/>
          <w:lang w:bidi="ar"/>
        </w:rPr>
        <w:t>（以下简称“《网下利率询价及认购申请表》”）（见附件），并由簿记管理人在簿记系统中录入认购订单。】</w:t>
      </w:r>
    </w:p>
    <w:p>
      <w:pPr>
        <w:adjustRightInd w:val="0"/>
        <w:snapToGrid w:val="0"/>
        <w:spacing w:line="360" w:lineRule="auto"/>
        <w:ind w:firstLine="480" w:firstLineChars="200"/>
        <w:rPr>
          <w:rFonts w:ascii="宋体" w:hAnsi="宋体" w:eastAsia="宋体" w:cs="宋体"/>
          <w:sz w:val="24"/>
          <w:szCs w:val="24"/>
        </w:rPr>
      </w:pPr>
      <w:r>
        <w:rPr>
          <w:rFonts w:hint="eastAsia" w:ascii="Calibri" w:hAnsi="Calibri" w:eastAsia="宋体" w:cs="宋体"/>
          <w:sz w:val="24"/>
          <w:lang w:bidi="ar"/>
        </w:rPr>
        <w:t>【不使用簿记系统】</w:t>
      </w:r>
      <w:r>
        <w:rPr>
          <w:rFonts w:hint="eastAsia" w:ascii="宋体" w:hAnsi="宋体" w:eastAsia="宋体" w:cs="宋体"/>
          <w:sz w:val="24"/>
          <w:szCs w:val="24"/>
          <w:lang w:bidi="ar"/>
        </w:rPr>
        <w:t>参与询价的投资者应</w:t>
      </w:r>
      <w:r>
        <w:rPr>
          <w:rFonts w:hint="eastAsia" w:ascii="Calibri" w:hAnsi="Calibri" w:eastAsia="宋体" w:cs="宋体"/>
          <w:sz w:val="24"/>
          <w:lang w:bidi="ar"/>
        </w:rPr>
        <w:t>在网下询价时间内</w:t>
      </w:r>
      <w:r>
        <w:rPr>
          <w:rFonts w:hint="eastAsia" w:ascii="宋体" w:hAnsi="宋体" w:eastAsia="宋体" w:cs="宋体"/>
          <w:sz w:val="24"/>
          <w:szCs w:val="24"/>
          <w:lang w:bidi="ar"/>
        </w:rPr>
        <w:t>将《网下利率询价及认购申请表》《专业投资者确认函及承诺书》（见附件【具体文件根据簿记管理人要求进行调整】）【传真、邮件</w:t>
      </w:r>
      <w:r>
        <w:rPr>
          <w:rFonts w:hint="eastAsia" w:ascii="Calibri" w:hAnsi="Calibri" w:eastAsia="宋体" w:cs="宋体"/>
          <w:sz w:val="24"/>
          <w:lang w:bidi="ar"/>
        </w:rPr>
        <w:t>（根据实际情况进行明确）</w:t>
      </w:r>
      <w:r>
        <w:rPr>
          <w:rFonts w:hint="eastAsia" w:ascii="宋体" w:hAnsi="宋体" w:eastAsia="宋体" w:cs="宋体"/>
          <w:sz w:val="24"/>
          <w:szCs w:val="24"/>
          <w:lang w:bidi="ar"/>
        </w:rPr>
        <w:t>等】至簿记管理人处。</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如遇特殊情况，经发行人与簿记管理人协商一致，本期债券簿记建档截止时间可经履行信息披露义务后延时一次，延长后簿记建档截止时间不得晚于当日</w:t>
      </w:r>
      <w:r>
        <w:rPr>
          <w:rFonts w:ascii="Calibri" w:hAnsi="Calibri" w:eastAsia="宋体" w:cs="宋体"/>
          <w:sz w:val="24"/>
          <w:lang w:bidi="ar"/>
        </w:rPr>
        <w:t>19:00</w:t>
      </w:r>
      <w:r>
        <w:rPr>
          <w:rFonts w:hint="eastAsia" w:ascii="Calibri" w:hAnsi="Calibri" w:eastAsia="宋体" w:cs="宋体"/>
          <w:sz w:val="24"/>
          <w:lang w:bidi="ar"/>
        </w:rPr>
        <w:t>。具体以相关信息披露公告为准。</w:t>
      </w:r>
    </w:p>
    <w:p>
      <w:pPr>
        <w:adjustRightInd w:val="0"/>
        <w:snapToGrid w:val="0"/>
        <w:spacing w:line="360" w:lineRule="auto"/>
        <w:ind w:firstLine="482" w:firstLineChars="200"/>
        <w:rPr>
          <w:rFonts w:ascii="Calibri" w:hAnsi="Calibri" w:eastAsia="宋体" w:cs="Times New Roman"/>
          <w:sz w:val="24"/>
          <w:lang w:bidi="ar"/>
        </w:rPr>
      </w:pPr>
      <w:r>
        <w:rPr>
          <w:rFonts w:hint="eastAsia" w:ascii="Calibri" w:hAnsi="Calibri" w:eastAsia="宋体" w:cs="宋体"/>
          <w:b/>
          <w:sz w:val="24"/>
          <w:lang w:bidi="ar"/>
        </w:rPr>
        <w:t>（四）询价办法【供参考】</w:t>
      </w:r>
    </w:p>
    <w:p>
      <w:pPr>
        <w:adjustRightInd w:val="0"/>
        <w:snapToGrid w:val="0"/>
        <w:spacing w:line="360" w:lineRule="auto"/>
        <w:ind w:firstLine="480" w:firstLineChars="200"/>
        <w:rPr>
          <w:sz w:val="24"/>
        </w:rPr>
      </w:pPr>
      <w:r>
        <w:rPr>
          <w:rFonts w:ascii="Calibri" w:hAnsi="Calibri" w:eastAsia="宋体" w:cs="Times New Roman"/>
          <w:sz w:val="24"/>
          <w:lang w:bidi="ar"/>
        </w:rPr>
        <w:t>1</w:t>
      </w:r>
      <w:r>
        <w:rPr>
          <w:rFonts w:hint="eastAsia" w:ascii="Calibri" w:hAnsi="Calibri" w:eastAsia="宋体" w:cs="宋体"/>
          <w:sz w:val="24"/>
          <w:lang w:bidi="ar"/>
        </w:rPr>
        <w:t>、填制簿记系统认购单</w:t>
      </w:r>
      <w:r>
        <w:rPr>
          <w:rFonts w:ascii="Calibri" w:hAnsi="Calibri" w:eastAsia="宋体" w:cs="宋体"/>
          <w:sz w:val="24"/>
          <w:lang w:bidi="ar"/>
        </w:rPr>
        <w:t>/</w:t>
      </w:r>
      <w:r>
        <w:rPr>
          <w:rFonts w:hint="eastAsia" w:ascii="Calibri" w:hAnsi="Calibri" w:eastAsia="宋体" w:cs="宋体"/>
          <w:sz w:val="24"/>
          <w:lang w:bidi="ar"/>
        </w:rPr>
        <w:t>《网下利率询价及认购申请表》</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拟参与网下询价的专业机构投资者应按要求正确填写簿记系统认购单</w:t>
      </w:r>
      <w:r>
        <w:rPr>
          <w:rFonts w:ascii="Calibri" w:hAnsi="Calibri" w:eastAsia="宋体" w:cs="宋体"/>
          <w:sz w:val="24"/>
          <w:lang w:bidi="ar"/>
        </w:rPr>
        <w:t>/</w:t>
      </w:r>
      <w:r>
        <w:rPr>
          <w:rFonts w:hint="eastAsia" w:ascii="Calibri" w:hAnsi="Calibri" w:eastAsia="宋体" w:cs="宋体"/>
          <w:sz w:val="24"/>
          <w:lang w:bidi="ar"/>
        </w:rPr>
        <w:t>《网下利率询价及认购申请表》。</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Times New Roman"/>
          <w:sz w:val="24"/>
          <w:lang w:bidi="ar"/>
        </w:rPr>
        <w:t>【使用簿记系统】</w:t>
      </w:r>
      <w:r>
        <w:rPr>
          <w:rFonts w:hint="eastAsia" w:ascii="Calibri" w:hAnsi="Calibri" w:eastAsia="宋体" w:cs="宋体"/>
          <w:sz w:val="24"/>
          <w:lang w:bidi="ar"/>
        </w:rPr>
        <w:t>债券交易参与人及承销机构认可的其他专业机构投资者可以通过簿记系统填写认购单，其他投资者、因不可抗力等特殊情况下的债券交易参与人及承销机构认可的其他专业机构投资者可以从发行公告所列示的网站下载《网下利率询价及认购申请表》。</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Times New Roman"/>
          <w:sz w:val="24"/>
          <w:lang w:bidi="ar"/>
        </w:rPr>
        <w:t>【不使用簿记系统】</w:t>
      </w:r>
      <w:r>
        <w:rPr>
          <w:rFonts w:hint="eastAsia" w:ascii="宋体" w:hAnsi="宋体" w:eastAsia="宋体" w:cs="宋体"/>
          <w:sz w:val="24"/>
          <w:szCs w:val="24"/>
          <w:lang w:bidi="ar"/>
        </w:rPr>
        <w:t>拟参与网下询价的机构投资者可以从发行公告所列示的网站下载《网下利率询价及认购申请表》，并按要求正确填写。</w:t>
      </w:r>
    </w:p>
    <w:p>
      <w:pPr>
        <w:adjustRightInd w:val="0"/>
        <w:snapToGrid w:val="0"/>
        <w:spacing w:line="360" w:lineRule="auto"/>
        <w:ind w:firstLine="480" w:firstLineChars="200"/>
        <w:rPr>
          <w:sz w:val="24"/>
        </w:rPr>
      </w:pPr>
      <w:r>
        <w:rPr>
          <w:rFonts w:hint="eastAsia" w:ascii="Calibri" w:hAnsi="Calibri" w:eastAsia="宋体" w:cs="宋体"/>
          <w:sz w:val="24"/>
          <w:lang w:bidi="ar"/>
        </w:rPr>
        <w:t>填写簿记系统认购单</w:t>
      </w:r>
      <w:r>
        <w:rPr>
          <w:rFonts w:ascii="Calibri" w:hAnsi="Calibri" w:eastAsia="宋体" w:cs="宋体"/>
          <w:sz w:val="24"/>
          <w:lang w:bidi="ar"/>
        </w:rPr>
        <w:t>/</w:t>
      </w:r>
      <w:r>
        <w:rPr>
          <w:rFonts w:hint="eastAsia" w:ascii="Calibri" w:hAnsi="Calibri" w:eastAsia="宋体" w:cs="宋体"/>
          <w:sz w:val="24"/>
          <w:lang w:bidi="ar"/>
        </w:rPr>
        <w:t>《网下利率询价及认购申请表》应注意【仅作参考，可根据实际情况调整】：</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1</w:t>
      </w:r>
      <w:r>
        <w:rPr>
          <w:rFonts w:hint="eastAsia" w:ascii="Calibri" w:hAnsi="Calibri" w:eastAsia="宋体" w:cs="宋体"/>
          <w:sz w:val="24"/>
          <w:lang w:bidi="ar"/>
        </w:rPr>
        <w:t>）应在发行公告所指定的利率询价区间内填写询价利率；</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2</w:t>
      </w:r>
      <w:r>
        <w:rPr>
          <w:rFonts w:hint="eastAsia" w:ascii="Calibri" w:hAnsi="Calibri" w:eastAsia="宋体" w:cs="宋体"/>
          <w:sz w:val="24"/>
          <w:lang w:bidi="ar"/>
        </w:rPr>
        <w:t>）每一份簿记系统认购单</w:t>
      </w:r>
      <w:r>
        <w:rPr>
          <w:rFonts w:ascii="Calibri" w:hAnsi="Calibri" w:eastAsia="宋体" w:cs="宋体"/>
          <w:sz w:val="24"/>
          <w:lang w:bidi="ar"/>
        </w:rPr>
        <w:t>/</w:t>
      </w:r>
      <w:r>
        <w:rPr>
          <w:rFonts w:hint="eastAsia" w:ascii="Calibri" w:hAnsi="Calibri" w:eastAsia="宋体" w:cs="宋体"/>
          <w:sz w:val="24"/>
          <w:lang w:bidi="ar"/>
        </w:rPr>
        <w:t>《网下利率询价及认购申请表》最多可填写</w:t>
      </w:r>
      <w:r>
        <w:rPr>
          <w:rFonts w:hint="eastAsia" w:ascii="Calibri" w:hAnsi="Calibri" w:eastAsia="宋体" w:cs="Times New Roman"/>
          <w:sz w:val="24"/>
          <w:lang w:bidi="ar"/>
        </w:rPr>
        <w:t>【】</w:t>
      </w:r>
      <w:r>
        <w:rPr>
          <w:rFonts w:hint="eastAsia" w:ascii="Calibri" w:hAnsi="Calibri" w:eastAsia="宋体" w:cs="宋体"/>
          <w:sz w:val="24"/>
          <w:lang w:bidi="ar"/>
        </w:rPr>
        <w:t>个询价利率，询价利率可不连续；</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3</w:t>
      </w:r>
      <w:r>
        <w:rPr>
          <w:rFonts w:hint="eastAsia" w:ascii="Calibri" w:hAnsi="Calibri" w:eastAsia="宋体" w:cs="宋体"/>
          <w:sz w:val="24"/>
          <w:lang w:bidi="ar"/>
        </w:rPr>
        <w:t>）填写询价利率时精确到</w:t>
      </w:r>
      <w:r>
        <w:rPr>
          <w:rFonts w:ascii="Calibri" w:hAnsi="Calibri" w:eastAsia="宋体" w:cs="Times New Roman"/>
          <w:sz w:val="24"/>
          <w:lang w:bidi="ar"/>
        </w:rPr>
        <w:t>0.01%</w:t>
      </w:r>
      <w:r>
        <w:rPr>
          <w:rFonts w:hint="eastAsia" w:ascii="Calibri" w:hAnsi="Calibri" w:eastAsia="宋体" w:cs="Times New Roman"/>
          <w:sz w:val="24"/>
          <w:lang w:bidi="ar"/>
        </w:rPr>
        <w:t>【请</w:t>
      </w:r>
      <w:r>
        <w:rPr>
          <w:rFonts w:hint="eastAsia" w:ascii="Calibri" w:hAnsi="Calibri" w:eastAsia="宋体" w:cs="宋体"/>
          <w:sz w:val="24"/>
          <w:lang w:bidi="ar"/>
        </w:rPr>
        <w:t>实际情况进行明确，如使用簿记系统，应不低于</w:t>
      </w:r>
      <w:r>
        <w:rPr>
          <w:rFonts w:ascii="Calibri" w:hAnsi="Calibri" w:eastAsia="宋体" w:cs="宋体"/>
          <w:sz w:val="24"/>
          <w:lang w:bidi="ar"/>
        </w:rPr>
        <w:t>0.01%</w:t>
      </w:r>
      <w:r>
        <w:rPr>
          <w:rFonts w:hint="eastAsia" w:ascii="Calibri" w:hAnsi="Calibri" w:eastAsia="宋体" w:cs="宋体"/>
          <w:sz w:val="24"/>
          <w:lang w:bidi="ar"/>
        </w:rPr>
        <w:t>】；</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4</w:t>
      </w:r>
      <w:r>
        <w:rPr>
          <w:rFonts w:hint="eastAsia" w:ascii="Calibri" w:hAnsi="Calibri" w:eastAsia="宋体" w:cs="宋体"/>
          <w:sz w:val="24"/>
          <w:lang w:bidi="ar"/>
        </w:rPr>
        <w:t>）询价利率应由低到高、按顺序填写；</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5</w:t>
      </w:r>
      <w:r>
        <w:rPr>
          <w:rFonts w:hint="eastAsia" w:ascii="Calibri" w:hAnsi="Calibri" w:eastAsia="宋体" w:cs="宋体"/>
          <w:sz w:val="24"/>
          <w:lang w:bidi="ar"/>
        </w:rPr>
        <w:t>）每个询价利率上的申购总金额不得少于【】（含【】），并为【】的整数倍；</w:t>
      </w:r>
    </w:p>
    <w:p>
      <w:pPr>
        <w:adjustRightInd w:val="0"/>
        <w:snapToGrid w:val="0"/>
        <w:spacing w:line="360" w:lineRule="auto"/>
        <w:ind w:firstLine="480" w:firstLineChars="200"/>
        <w:rPr>
          <w:rFonts w:ascii="宋体" w:hAnsi="宋体" w:eastAsia="宋体" w:cs="宋体"/>
          <w:sz w:val="24"/>
          <w:szCs w:val="24"/>
        </w:rPr>
      </w:pPr>
      <w:r>
        <w:rPr>
          <w:rFonts w:hint="eastAsia" w:ascii="Calibri" w:hAnsi="Calibri" w:eastAsia="宋体" w:cs="宋体"/>
          <w:sz w:val="24"/>
          <w:lang w:bidi="ar"/>
        </w:rPr>
        <w:t>（</w:t>
      </w:r>
      <w:r>
        <w:rPr>
          <w:rFonts w:ascii="Calibri" w:hAnsi="Calibri" w:eastAsia="宋体" w:cs="Times New Roman"/>
          <w:sz w:val="24"/>
          <w:lang w:bidi="ar"/>
        </w:rPr>
        <w:t>6</w:t>
      </w:r>
      <w:r>
        <w:rPr>
          <w:rFonts w:hint="eastAsia" w:ascii="Calibri" w:hAnsi="Calibri" w:eastAsia="宋体" w:cs="宋体"/>
          <w:sz w:val="24"/>
          <w:lang w:bidi="ar"/>
        </w:rPr>
        <w:t>）</w:t>
      </w:r>
      <w:r>
        <w:rPr>
          <w:rFonts w:hint="eastAsia" w:ascii="宋体" w:hAnsi="宋体" w:eastAsia="宋体" w:cs="宋体"/>
          <w:sz w:val="24"/>
          <w:szCs w:val="24"/>
          <w:lang w:bidi="ar"/>
        </w:rPr>
        <w:t>按照单一标位填写询价利率，即每一申购利率对应的申购金额为单一 申购金额，即在该利率标位上投资者的新增认购需求。投资者的有效申购量为低 于和等于最终确定的票面利率的所有标位的累计申购量；</w:t>
      </w:r>
    </w:p>
    <w:p>
      <w:pPr>
        <w:adjustRightInd w:val="0"/>
        <w:snapToGrid w:val="0"/>
        <w:spacing w:line="360" w:lineRule="auto"/>
        <w:ind w:firstLine="480" w:firstLineChars="200"/>
        <w:rPr>
          <w:rFonts w:eastAsia="宋体"/>
        </w:rPr>
      </w:pPr>
      <w:r>
        <w:rPr>
          <w:rFonts w:hint="eastAsia" w:ascii="宋体" w:hAnsi="宋体" w:eastAsia="宋体" w:cs="宋体"/>
          <w:sz w:val="24"/>
          <w:szCs w:val="24"/>
          <w:lang w:bidi="ar"/>
        </w:rPr>
        <w:t>（7）如对于获得配售总量占最终发行量的比例有限制性要求，应按照实际 情况填写比例。</w:t>
      </w:r>
    </w:p>
    <w:p>
      <w:pPr>
        <w:adjustRightInd w:val="0"/>
        <w:snapToGrid w:val="0"/>
        <w:spacing w:line="360" w:lineRule="auto"/>
        <w:ind w:firstLine="480" w:firstLineChars="200"/>
        <w:rPr>
          <w:sz w:val="24"/>
        </w:rPr>
      </w:pPr>
      <w:r>
        <w:rPr>
          <w:rFonts w:ascii="Calibri" w:hAnsi="Calibri" w:eastAsia="宋体" w:cs="Times New Roman"/>
          <w:sz w:val="24"/>
          <w:lang w:bidi="ar"/>
        </w:rPr>
        <w:t>2</w:t>
      </w:r>
      <w:r>
        <w:rPr>
          <w:rFonts w:hint="eastAsia" w:ascii="Calibri" w:hAnsi="Calibri" w:eastAsia="宋体" w:cs="宋体"/>
          <w:sz w:val="24"/>
          <w:lang w:bidi="ar"/>
        </w:rPr>
        <w:t>、提交</w:t>
      </w:r>
    </w:p>
    <w:p>
      <w:pPr>
        <w:adjustRightInd w:val="0"/>
        <w:snapToGrid w:val="0"/>
        <w:spacing w:line="360" w:lineRule="auto"/>
        <w:ind w:firstLine="480" w:firstLineChars="200"/>
        <w:rPr>
          <w:sz w:val="24"/>
        </w:rPr>
      </w:pPr>
      <w:r>
        <w:rPr>
          <w:rFonts w:hint="eastAsia" w:ascii="Calibri" w:hAnsi="Calibri" w:eastAsia="宋体" w:cs="Times New Roman"/>
          <w:sz w:val="24"/>
          <w:lang w:bidi="ar"/>
        </w:rPr>
        <w:t>【使用簿记系统】</w:t>
      </w:r>
      <w:r>
        <w:rPr>
          <w:rFonts w:hint="eastAsia" w:ascii="Calibri" w:hAnsi="Calibri" w:eastAsia="宋体" w:cs="宋体"/>
          <w:sz w:val="24"/>
          <w:lang w:bidi="ar"/>
        </w:rPr>
        <w:t>参与利率询价的投资者应在【】年【】月【】日</w:t>
      </w:r>
      <w:r>
        <w:rPr>
          <w:rFonts w:ascii="Calibri" w:hAnsi="Calibri" w:eastAsia="宋体" w:cs="Times New Roman"/>
          <w:sz w:val="24"/>
          <w:lang w:bidi="ar"/>
        </w:rPr>
        <w:t>**</w:t>
      </w:r>
      <w:r>
        <w:rPr>
          <w:rFonts w:hint="eastAsia" w:ascii="Calibri" w:hAnsi="Calibri" w:eastAsia="宋体" w:cs="宋体"/>
          <w:sz w:val="24"/>
          <w:lang w:bidi="ar"/>
        </w:rPr>
        <w:t>：</w:t>
      </w:r>
      <w:r>
        <w:rPr>
          <w:rFonts w:ascii="Calibri" w:hAnsi="Calibri" w:eastAsia="宋体" w:cs="Times New Roman"/>
          <w:sz w:val="24"/>
          <w:lang w:bidi="ar"/>
        </w:rPr>
        <w:t>00</w:t>
      </w:r>
      <w:r>
        <w:rPr>
          <w:rFonts w:hint="eastAsia" w:ascii="Calibri" w:hAnsi="Calibri" w:eastAsia="宋体" w:cs="Times New Roman"/>
          <w:sz w:val="24"/>
          <w:lang w:bidi="ar"/>
        </w:rPr>
        <w:t>前提交</w:t>
      </w:r>
      <w:r>
        <w:rPr>
          <w:rFonts w:hint="eastAsia" w:ascii="Calibri" w:hAnsi="Calibri" w:eastAsia="宋体" w:cs="宋体"/>
          <w:sz w:val="24"/>
          <w:lang w:bidi="ar"/>
        </w:rPr>
        <w:t>认购单</w:t>
      </w:r>
      <w:r>
        <w:rPr>
          <w:rFonts w:ascii="Calibri" w:hAnsi="Calibri" w:eastAsia="宋体" w:cs="宋体"/>
          <w:sz w:val="24"/>
          <w:lang w:bidi="ar"/>
        </w:rPr>
        <w:t>/</w:t>
      </w:r>
      <w:r>
        <w:rPr>
          <w:rFonts w:hint="eastAsia" w:ascii="Calibri" w:hAnsi="Calibri" w:eastAsia="宋体" w:cs="宋体"/>
          <w:sz w:val="24"/>
          <w:lang w:bidi="ar"/>
        </w:rPr>
        <w:t>《网下利率询价及认购申请表》，其中，通过簿记系统直接参与利率询价的投资者应在簿记系统提交认购单及相关申购文件，未通过簿记系统参与利率询价的投资者应将以下文件提交至簿记管理人或者承销机构处，并电话确认【以下材料可根据承销机构内部要求调整】：</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1</w:t>
      </w:r>
      <w:r>
        <w:rPr>
          <w:rFonts w:hint="eastAsia" w:ascii="Calibri" w:hAnsi="Calibri" w:eastAsia="宋体" w:cs="宋体"/>
          <w:sz w:val="24"/>
          <w:lang w:bidi="ar"/>
        </w:rPr>
        <w:t>）填妥签字并加盖【相关印章，请根据承销机构内部要求明确】后的《网下利率询价及认购申请表》；</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2</w:t>
      </w:r>
      <w:r>
        <w:rPr>
          <w:rFonts w:hint="eastAsia" w:ascii="Calibri" w:hAnsi="Calibri" w:eastAsia="宋体" w:cs="宋体"/>
          <w:sz w:val="24"/>
          <w:lang w:bidi="ar"/>
        </w:rPr>
        <w:t>）有效的企业法人营业执照（副本）复印件或其他有效的法人资格证明文件复印件（须加盖单位公章）；</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w:t>
      </w:r>
      <w:r>
        <w:rPr>
          <w:rFonts w:ascii="Calibri" w:hAnsi="Calibri" w:eastAsia="宋体" w:cs="Times New Roman"/>
          <w:sz w:val="24"/>
          <w:lang w:bidi="ar"/>
        </w:rPr>
        <w:t>3</w:t>
      </w:r>
      <w:r>
        <w:rPr>
          <w:rFonts w:hint="eastAsia" w:ascii="Calibri" w:hAnsi="Calibri" w:eastAsia="宋体" w:cs="宋体"/>
          <w:sz w:val="24"/>
          <w:lang w:bidi="ar"/>
        </w:rPr>
        <w:t>）法定代表人授权委托书（法定代表人本人签章的无须提供）和经办人身份证复印件</w:t>
      </w:r>
      <w:r>
        <w:rPr>
          <w:rFonts w:ascii="Calibri" w:hAnsi="Calibri" w:eastAsia="宋体" w:cs="宋体"/>
          <w:sz w:val="24"/>
          <w:lang w:bidi="ar"/>
        </w:rPr>
        <w:t>；</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宋体"/>
          <w:sz w:val="24"/>
          <w:lang w:bidi="ar"/>
        </w:rPr>
        <w:t>4</w:t>
      </w:r>
      <w:r>
        <w:rPr>
          <w:rFonts w:hint="eastAsia" w:ascii="Calibri" w:hAnsi="Calibri" w:eastAsia="宋体" w:cs="宋体"/>
          <w:sz w:val="24"/>
          <w:lang w:bidi="ar"/>
        </w:rPr>
        <w:t>）【承销机构要求提供的其他材料】</w:t>
      </w:r>
      <w:r>
        <w:rPr>
          <w:rFonts w:ascii="Calibri" w:hAnsi="Calibri" w:eastAsia="宋体" w:cs="宋体"/>
          <w:sz w:val="24"/>
          <w:lang w:bidi="ar"/>
        </w:rPr>
        <w:t>。</w:t>
      </w:r>
    </w:p>
    <w:p>
      <w:pPr>
        <w:adjustRightInd w:val="0"/>
        <w:snapToGrid w:val="0"/>
        <w:spacing w:line="360" w:lineRule="auto"/>
        <w:ind w:firstLine="480" w:firstLineChars="200"/>
        <w:rPr>
          <w:sz w:val="24"/>
        </w:rPr>
      </w:pPr>
      <w:r>
        <w:rPr>
          <w:rFonts w:hint="eastAsia" w:ascii="Calibri" w:hAnsi="Calibri" w:eastAsia="宋体" w:cs="宋体"/>
          <w:sz w:val="24"/>
          <w:lang w:bidi="ar"/>
        </w:rPr>
        <w:t>承销机构有权根据询价情况要求投资者提供其他资质证明文件。</w:t>
      </w:r>
    </w:p>
    <w:p>
      <w:pPr>
        <w:adjustRightInd w:val="0"/>
        <w:snapToGrid w:val="0"/>
        <w:spacing w:line="360" w:lineRule="auto"/>
        <w:ind w:firstLine="480" w:firstLineChars="200"/>
        <w:rPr>
          <w:sz w:val="24"/>
        </w:rPr>
      </w:pPr>
      <w:r>
        <w:rPr>
          <w:rFonts w:hint="eastAsia" w:ascii="Calibri" w:hAnsi="Calibri" w:eastAsia="宋体" w:cs="宋体"/>
          <w:sz w:val="24"/>
          <w:lang w:bidi="ar"/>
        </w:rPr>
        <w:t>投资者填写的簿记系统认购单及《网下利率询价及认购申请表》一旦提交至簿记管理人或承销机构处，即具有法律约束力，不得撤回。</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簿记建档场所：【】；</w:t>
      </w:r>
    </w:p>
    <w:p>
      <w:pPr>
        <w:adjustRightInd w:val="0"/>
        <w:snapToGrid w:val="0"/>
        <w:spacing w:line="360" w:lineRule="auto"/>
        <w:ind w:firstLine="480" w:firstLineChars="200"/>
        <w:rPr>
          <w:sz w:val="24"/>
        </w:rPr>
      </w:pPr>
      <w:r>
        <w:rPr>
          <w:rFonts w:hint="eastAsia" w:ascii="Calibri" w:hAnsi="Calibri" w:eastAsia="宋体" w:cs="宋体"/>
          <w:sz w:val="24"/>
          <w:lang w:bidi="ar"/>
        </w:rPr>
        <w:t>簿记传真</w:t>
      </w:r>
      <w:r>
        <w:rPr>
          <w:rFonts w:ascii="Calibri" w:hAnsi="Calibri" w:eastAsia="宋体" w:cs="宋体"/>
          <w:sz w:val="24"/>
          <w:lang w:bidi="ar"/>
        </w:rPr>
        <w:t>/</w:t>
      </w:r>
      <w:r>
        <w:rPr>
          <w:rFonts w:hint="eastAsia" w:ascii="Calibri" w:hAnsi="Calibri" w:eastAsia="宋体" w:cs="宋体"/>
          <w:sz w:val="24"/>
          <w:lang w:bidi="ar"/>
        </w:rPr>
        <w:t>邮箱：【】；</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联系电话：【】。</w:t>
      </w:r>
    </w:p>
    <w:p>
      <w:pPr>
        <w:adjustRightInd w:val="0"/>
        <w:snapToGrid w:val="0"/>
        <w:spacing w:line="360" w:lineRule="auto"/>
        <w:ind w:firstLine="480" w:firstLineChars="200"/>
        <w:rPr>
          <w:sz w:val="24"/>
        </w:rPr>
      </w:pPr>
      <w:r>
        <w:rPr>
          <w:rFonts w:hint="eastAsia" w:ascii="Calibri" w:hAnsi="Calibri" w:eastAsia="宋体" w:cs="Times New Roman"/>
          <w:sz w:val="24"/>
          <w:lang w:bidi="ar"/>
        </w:rPr>
        <w:t>【不使用簿记系统】</w:t>
      </w:r>
      <w:r>
        <w:rPr>
          <w:rFonts w:hint="eastAsia" w:ascii="Calibri" w:hAnsi="Calibri" w:eastAsia="宋体" w:cs="宋体"/>
          <w:sz w:val="24"/>
          <w:lang w:bidi="ar"/>
        </w:rPr>
        <w:t>参与利率询价的投资者应在【】年【】月【】日</w:t>
      </w:r>
      <w:r>
        <w:rPr>
          <w:rFonts w:ascii="Calibri" w:hAnsi="Calibri" w:eastAsia="宋体" w:cs="Times New Roman"/>
          <w:sz w:val="24"/>
          <w:lang w:bidi="ar"/>
        </w:rPr>
        <w:t>**</w:t>
      </w:r>
      <w:r>
        <w:rPr>
          <w:rFonts w:hint="eastAsia" w:ascii="Calibri" w:hAnsi="Calibri" w:eastAsia="宋体" w:cs="宋体"/>
          <w:sz w:val="24"/>
          <w:lang w:bidi="ar"/>
        </w:rPr>
        <w:t>：</w:t>
      </w:r>
      <w:r>
        <w:rPr>
          <w:rFonts w:ascii="Calibri" w:hAnsi="Calibri" w:eastAsia="宋体" w:cs="Times New Roman"/>
          <w:sz w:val="24"/>
          <w:lang w:bidi="ar"/>
        </w:rPr>
        <w:t>00</w:t>
      </w:r>
      <w:r>
        <w:rPr>
          <w:rFonts w:hint="eastAsia" w:ascii="Calibri" w:hAnsi="Calibri" w:eastAsia="宋体" w:cs="Times New Roman"/>
          <w:sz w:val="24"/>
          <w:lang w:bidi="ar"/>
        </w:rPr>
        <w:t>前提交</w:t>
      </w:r>
      <w:r>
        <w:rPr>
          <w:rFonts w:hint="eastAsia" w:ascii="Calibri" w:hAnsi="Calibri" w:eastAsia="宋体" w:cs="宋体"/>
          <w:sz w:val="24"/>
          <w:lang w:bidi="ar"/>
        </w:rPr>
        <w:t>《网下利率询价及认购申请表》并电话确认【以下材料可根据承销机构内部要求调整】：</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1</w:t>
      </w:r>
      <w:r>
        <w:rPr>
          <w:rFonts w:hint="eastAsia" w:ascii="Calibri" w:hAnsi="Calibri" w:eastAsia="宋体" w:cs="宋体"/>
          <w:sz w:val="24"/>
          <w:lang w:bidi="ar"/>
        </w:rPr>
        <w:t>）填妥签字并加盖【相关印章，请根据承销机构内部要求明确】后的《网下利率询价及认购申请表》；</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Times New Roman"/>
          <w:sz w:val="24"/>
          <w:lang w:bidi="ar"/>
        </w:rPr>
        <w:t>2</w:t>
      </w:r>
      <w:r>
        <w:rPr>
          <w:rFonts w:hint="eastAsia" w:ascii="Calibri" w:hAnsi="Calibri" w:eastAsia="宋体" w:cs="宋体"/>
          <w:sz w:val="24"/>
          <w:lang w:bidi="ar"/>
        </w:rPr>
        <w:t>）有效的企业法人营业执照（副本）复印件或其他有效的法人资格证明文件复印件（须加盖单位公章）；</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w:t>
      </w:r>
      <w:r>
        <w:rPr>
          <w:rFonts w:ascii="Calibri" w:hAnsi="Calibri" w:eastAsia="宋体" w:cs="Times New Roman"/>
          <w:sz w:val="24"/>
          <w:lang w:bidi="ar"/>
        </w:rPr>
        <w:t>3</w:t>
      </w:r>
      <w:r>
        <w:rPr>
          <w:rFonts w:hint="eastAsia" w:ascii="Calibri" w:hAnsi="Calibri" w:eastAsia="宋体" w:cs="宋体"/>
          <w:sz w:val="24"/>
          <w:lang w:bidi="ar"/>
        </w:rPr>
        <w:t>）法定代表人授权委托书（法定代表人本人签章的无须提供）和经办人身份证复印件；</w:t>
      </w:r>
    </w:p>
    <w:p>
      <w:pPr>
        <w:adjustRightInd w:val="0"/>
        <w:snapToGrid w:val="0"/>
        <w:spacing w:line="360" w:lineRule="auto"/>
        <w:ind w:firstLine="480" w:firstLineChars="200"/>
        <w:rPr>
          <w:sz w:val="24"/>
        </w:rPr>
      </w:pPr>
      <w:r>
        <w:rPr>
          <w:rFonts w:hint="eastAsia" w:ascii="Calibri" w:hAnsi="Calibri" w:eastAsia="宋体" w:cs="宋体"/>
          <w:sz w:val="24"/>
          <w:lang w:bidi="ar"/>
        </w:rPr>
        <w:t>（</w:t>
      </w:r>
      <w:r>
        <w:rPr>
          <w:rFonts w:ascii="Calibri" w:hAnsi="Calibri" w:eastAsia="宋体" w:cs="宋体"/>
          <w:sz w:val="24"/>
          <w:lang w:bidi="ar"/>
        </w:rPr>
        <w:t>4</w:t>
      </w:r>
      <w:r>
        <w:rPr>
          <w:rFonts w:hint="eastAsia" w:ascii="Calibri" w:hAnsi="Calibri" w:eastAsia="宋体" w:cs="宋体"/>
          <w:sz w:val="24"/>
          <w:lang w:bidi="ar"/>
        </w:rPr>
        <w:t>）【承销机构要求提供的其他材料】。</w:t>
      </w:r>
    </w:p>
    <w:p>
      <w:pPr>
        <w:adjustRightInd w:val="0"/>
        <w:snapToGrid w:val="0"/>
        <w:spacing w:line="360" w:lineRule="auto"/>
        <w:ind w:firstLine="480" w:firstLineChars="200"/>
        <w:rPr>
          <w:sz w:val="24"/>
        </w:rPr>
      </w:pPr>
      <w:r>
        <w:rPr>
          <w:rFonts w:hint="eastAsia" w:ascii="Calibri" w:hAnsi="Calibri" w:eastAsia="宋体" w:cs="宋体"/>
          <w:sz w:val="24"/>
          <w:lang w:bidi="ar"/>
        </w:rPr>
        <w:t>承销机构有权根据询价情况要求投资者提供其他资质证明文件。</w:t>
      </w:r>
    </w:p>
    <w:p>
      <w:pPr>
        <w:adjustRightInd w:val="0"/>
        <w:snapToGrid w:val="0"/>
        <w:spacing w:line="360" w:lineRule="auto"/>
        <w:ind w:firstLine="480" w:firstLineChars="200"/>
        <w:rPr>
          <w:sz w:val="24"/>
        </w:rPr>
      </w:pPr>
      <w:r>
        <w:rPr>
          <w:rFonts w:hint="eastAsia" w:ascii="Calibri" w:hAnsi="Calibri" w:eastAsia="宋体" w:cs="宋体"/>
          <w:sz w:val="24"/>
          <w:lang w:bidi="ar"/>
        </w:rPr>
        <w:t>投资者填写的《网下利率询价及认购申请表》一旦提交至簿记管理人或承销机构处，即具有法律约束力，不得撤回。</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簿记建档场所：【】；</w:t>
      </w:r>
    </w:p>
    <w:p>
      <w:pPr>
        <w:adjustRightInd w:val="0"/>
        <w:snapToGrid w:val="0"/>
        <w:spacing w:line="360" w:lineRule="auto"/>
        <w:ind w:firstLine="480" w:firstLineChars="200"/>
        <w:rPr>
          <w:sz w:val="24"/>
        </w:rPr>
      </w:pPr>
      <w:r>
        <w:rPr>
          <w:rFonts w:hint="eastAsia" w:ascii="Calibri" w:hAnsi="Calibri" w:eastAsia="宋体" w:cs="宋体"/>
          <w:sz w:val="24"/>
          <w:lang w:bidi="ar"/>
        </w:rPr>
        <w:t>簿记传真</w:t>
      </w:r>
      <w:r>
        <w:rPr>
          <w:rFonts w:ascii="Calibri" w:hAnsi="Calibri" w:eastAsia="宋体" w:cs="宋体"/>
          <w:sz w:val="24"/>
          <w:lang w:bidi="ar"/>
        </w:rPr>
        <w:t>/</w:t>
      </w:r>
      <w:r>
        <w:rPr>
          <w:rFonts w:hint="eastAsia" w:ascii="Calibri" w:hAnsi="Calibri" w:eastAsia="宋体" w:cs="宋体"/>
          <w:sz w:val="24"/>
          <w:lang w:bidi="ar"/>
        </w:rPr>
        <w:t>邮箱：【】；</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联系电话：【】。</w:t>
      </w:r>
    </w:p>
    <w:p>
      <w:pPr>
        <w:adjustRightInd w:val="0"/>
        <w:snapToGrid w:val="0"/>
        <w:spacing w:line="360" w:lineRule="auto"/>
        <w:ind w:firstLine="480" w:firstLineChars="200"/>
        <w:rPr>
          <w:sz w:val="24"/>
        </w:rPr>
      </w:pPr>
      <w:r>
        <w:rPr>
          <w:rFonts w:ascii="Calibri" w:hAnsi="Calibri" w:eastAsia="宋体" w:cs="Times New Roman"/>
          <w:sz w:val="24"/>
          <w:lang w:bidi="ar"/>
        </w:rPr>
        <w:t>3</w:t>
      </w:r>
      <w:r>
        <w:rPr>
          <w:rFonts w:hint="eastAsia" w:ascii="Calibri" w:hAnsi="Calibri" w:eastAsia="宋体" w:cs="宋体"/>
          <w:sz w:val="24"/>
          <w:lang w:bidi="ar"/>
        </w:rPr>
        <w:t>、利率确定</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发行人和簿记管理人将</w:t>
      </w:r>
      <w:r>
        <w:rPr>
          <w:rFonts w:hint="eastAsia" w:ascii="宋体" w:hAnsi="宋体" w:eastAsia="宋体" w:cs="宋体"/>
          <w:sz w:val="24"/>
          <w:szCs w:val="24"/>
          <w:lang w:bidi="ar"/>
        </w:rPr>
        <w:t>根据网下询价结果</w:t>
      </w:r>
      <w:r>
        <w:rPr>
          <w:rFonts w:hint="eastAsia" w:ascii="Calibri" w:hAnsi="Calibri" w:eastAsia="宋体" w:cs="宋体"/>
          <w:sz w:val="24"/>
          <w:lang w:bidi="ar"/>
        </w:rPr>
        <w:t>确定本期债券的最终票面利率，并将于【】年【】月【】日（</w:t>
      </w:r>
      <w:r>
        <w:rPr>
          <w:rFonts w:ascii="Calibri" w:hAnsi="Calibri" w:eastAsia="宋体" w:cs="Times New Roman"/>
          <w:sz w:val="24"/>
          <w:lang w:bidi="ar"/>
        </w:rPr>
        <w:t>T-1</w:t>
      </w:r>
      <w:r>
        <w:rPr>
          <w:rFonts w:hint="eastAsia" w:ascii="Calibri" w:hAnsi="Calibri" w:eastAsia="宋体" w:cs="宋体"/>
          <w:sz w:val="24"/>
          <w:lang w:bidi="ar"/>
        </w:rPr>
        <w:t>日）在深圳证券交易所网站（</w:t>
      </w:r>
      <w:r>
        <w:rPr>
          <w:rFonts w:ascii="Calibri" w:hAnsi="Calibri" w:eastAsia="宋体" w:cs="Times New Roman"/>
          <w:sz w:val="24"/>
          <w:lang w:bidi="ar"/>
        </w:rPr>
        <w:t>http://www.szse.cn</w:t>
      </w:r>
      <w:r>
        <w:rPr>
          <w:rFonts w:hint="eastAsia" w:ascii="Calibri" w:hAnsi="Calibri" w:eastAsia="宋体" w:cs="宋体"/>
          <w:sz w:val="24"/>
          <w:lang w:bidi="ar"/>
        </w:rPr>
        <w:t>）及巨潮资讯网（</w:t>
      </w:r>
      <w:r>
        <w:rPr>
          <w:rFonts w:ascii="Calibri" w:hAnsi="Calibri" w:eastAsia="宋体" w:cs="Times New Roman"/>
          <w:sz w:val="24"/>
          <w:lang w:bidi="ar"/>
        </w:rPr>
        <w:t>http://www.cninfo.com.cn</w:t>
      </w:r>
      <w:r>
        <w:rPr>
          <w:rFonts w:hint="eastAsia" w:ascii="Calibri" w:hAnsi="Calibri" w:eastAsia="宋体" w:cs="宋体"/>
          <w:sz w:val="24"/>
          <w:lang w:bidi="ar"/>
        </w:rPr>
        <w:t>）上公告本期债券最终的票面利率。发行人将按上述确定的票面利率向投资者公开发行本期债券。</w:t>
      </w:r>
    </w:p>
    <w:p>
      <w:pPr>
        <w:numPr>
          <w:ilvl w:val="0"/>
          <w:numId w:val="2"/>
        </w:numPr>
        <w:adjustRightInd w:val="0"/>
        <w:snapToGrid w:val="0"/>
        <w:spacing w:line="360" w:lineRule="auto"/>
        <w:ind w:firstLine="482" w:firstLineChars="200"/>
        <w:rPr>
          <w:rFonts w:ascii="宋体" w:hAnsi="宋体" w:eastAsia="宋体" w:cs="宋体"/>
          <w:b/>
          <w:bCs/>
          <w:sz w:val="24"/>
          <w:szCs w:val="24"/>
          <w:lang w:bidi="ar"/>
        </w:rPr>
      </w:pPr>
      <w:r>
        <w:rPr>
          <w:rFonts w:hint="eastAsia" w:ascii="宋体" w:hAnsi="宋体" w:eastAsia="宋体" w:cs="宋体"/>
          <w:b/>
          <w:bCs/>
          <w:sz w:val="24"/>
          <w:szCs w:val="24"/>
          <w:lang w:bidi="ar"/>
        </w:rPr>
        <w:t>应急处置方式</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簿记建档过程中，出现人为操作失误、系统故障等情形导致簿记建档无法继续的，发行人和簿记管理人应当按照应急预案采取变更簿记建档场所、变更簿记建档时间、应急认购、取消发行等应急处置措施。发行人和簿记管理人应当及时披露应急处置的相关情况。</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w:t>
      </w:r>
      <w:r>
        <w:rPr>
          <w:rFonts w:hint="eastAsia" w:ascii="Calibri" w:hAnsi="Calibri" w:eastAsia="宋体" w:cs="Times New Roman"/>
          <w:sz w:val="24"/>
          <w:lang w:bidi="ar"/>
        </w:rPr>
        <w:t>交易所簿记系统适用：</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宋体"/>
          <w:sz w:val="24"/>
          <w:lang w:bidi="ar"/>
        </w:rPr>
        <w:t>如投资者端出现接入故障，投资者应当通过线下传真、邮件等方式向主承销商发送申购单，由簿记管理人代为录入认购订单。</w:t>
      </w:r>
    </w:p>
    <w:p>
      <w:pPr>
        <w:adjustRightInd w:val="0"/>
        <w:snapToGrid w:val="0"/>
        <w:spacing w:line="360" w:lineRule="auto"/>
        <w:ind w:firstLine="480" w:firstLineChars="200"/>
        <w:rPr>
          <w:rFonts w:ascii="宋体" w:hAnsi="宋体" w:eastAsia="宋体" w:cs="宋体"/>
          <w:sz w:val="24"/>
          <w:szCs w:val="24"/>
          <w:lang w:bidi="ar"/>
        </w:rPr>
      </w:pPr>
      <w:r>
        <w:rPr>
          <w:rFonts w:hint="eastAsia" w:ascii="Calibri" w:hAnsi="Calibri" w:eastAsia="宋体" w:cs="宋体"/>
          <w:sz w:val="24"/>
          <w:lang w:bidi="ar"/>
        </w:rPr>
        <w:t>如簿记管理人出现接入故障或系统本身故障，根据系统恢复时间，簿记管理人将披露相应公告说明是否采用线下簿记。如采用线下簿记的，故障发生前已提交的线上认购有效，投资者无需线下再次申购。】</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lang w:bidi="ar"/>
        </w:rPr>
        <w:t>三、网上发行</w:t>
      </w:r>
    </w:p>
    <w:p>
      <w:pPr>
        <w:adjustRightInd w:val="0"/>
        <w:snapToGrid w:val="0"/>
        <w:spacing w:line="360" w:lineRule="auto"/>
        <w:ind w:firstLine="482" w:firstLineChars="200"/>
        <w:rPr>
          <w:b/>
          <w:sz w:val="24"/>
        </w:rPr>
      </w:pPr>
      <w:r>
        <w:rPr>
          <w:rFonts w:hint="eastAsia" w:ascii="Calibri" w:hAnsi="Calibri" w:eastAsia="宋体" w:cs="宋体"/>
          <w:b/>
          <w:sz w:val="24"/>
          <w:lang w:bidi="ar"/>
        </w:rPr>
        <w:t>（一）发行对象</w:t>
      </w:r>
    </w:p>
    <w:p>
      <w:pPr>
        <w:adjustRightInd w:val="0"/>
        <w:snapToGrid w:val="0"/>
        <w:spacing w:line="360" w:lineRule="auto"/>
        <w:ind w:firstLine="480" w:firstLineChars="200"/>
        <w:rPr>
          <w:sz w:val="24"/>
        </w:rPr>
      </w:pPr>
      <w:r>
        <w:rPr>
          <w:rFonts w:hint="eastAsia" w:ascii="Calibri" w:hAnsi="Calibri" w:eastAsia="宋体" w:cs="宋体"/>
          <w:sz w:val="24"/>
          <w:lang w:bidi="ar"/>
        </w:rPr>
        <w:t>网上发行对象为持有中国证券登记结算有限责任公司深圳分公司</w:t>
      </w:r>
      <w:r>
        <w:rPr>
          <w:rFonts w:ascii="Calibri" w:hAnsi="Calibri" w:eastAsia="宋体" w:cs="Times New Roman"/>
          <w:sz w:val="24"/>
          <w:lang w:bidi="ar"/>
        </w:rPr>
        <w:t>A</w:t>
      </w:r>
      <w:r>
        <w:rPr>
          <w:rFonts w:hint="eastAsia" w:ascii="Calibri" w:hAnsi="Calibri" w:eastAsia="宋体" w:cs="宋体"/>
          <w:sz w:val="24"/>
          <w:lang w:bidi="ar"/>
        </w:rPr>
        <w:t>股证券账户的</w:t>
      </w:r>
      <w:r>
        <w:rPr>
          <w:rFonts w:hint="eastAsia" w:ascii="Calibri" w:hAnsi="Calibri" w:eastAsia="宋体" w:cs="宋体"/>
          <w:kern w:val="0"/>
          <w:sz w:val="24"/>
          <w:lang w:bidi="ar"/>
        </w:rPr>
        <w:t>【投资者，应说明投资者类型】</w:t>
      </w:r>
      <w:r>
        <w:rPr>
          <w:rFonts w:hint="eastAsia" w:ascii="Calibri" w:hAnsi="Calibri" w:eastAsia="宋体" w:cs="宋体"/>
          <w:sz w:val="24"/>
          <w:lang w:bidi="ar"/>
        </w:rPr>
        <w:t>（法律、法规禁止购买者除外）</w:t>
      </w:r>
      <w:r>
        <w:rPr>
          <w:rFonts w:ascii="Calibri" w:hAnsi="Calibri" w:eastAsia="宋体" w:cs="宋体"/>
          <w:sz w:val="24"/>
          <w:lang w:bidi="ar"/>
        </w:rPr>
        <w:t>。</w:t>
      </w:r>
    </w:p>
    <w:p>
      <w:pPr>
        <w:adjustRightInd w:val="0"/>
        <w:snapToGrid w:val="0"/>
        <w:spacing w:line="360" w:lineRule="auto"/>
        <w:ind w:firstLine="482" w:firstLineChars="200"/>
        <w:rPr>
          <w:b/>
          <w:sz w:val="24"/>
        </w:rPr>
      </w:pPr>
      <w:r>
        <w:rPr>
          <w:rFonts w:hint="eastAsia" w:ascii="Calibri" w:hAnsi="Calibri" w:eastAsia="宋体" w:cs="宋体"/>
          <w:b/>
          <w:sz w:val="24"/>
          <w:lang w:bidi="ar"/>
        </w:rPr>
        <w:t>（二）发行规模</w:t>
      </w:r>
    </w:p>
    <w:p>
      <w:pPr>
        <w:adjustRightInd w:val="0"/>
        <w:snapToGrid w:val="0"/>
        <w:spacing w:line="360" w:lineRule="auto"/>
        <w:ind w:firstLine="480" w:firstLineChars="200"/>
        <w:rPr>
          <w:sz w:val="24"/>
        </w:rPr>
      </w:pPr>
      <w:r>
        <w:rPr>
          <w:rFonts w:hint="eastAsia" w:ascii="Calibri" w:hAnsi="Calibri" w:eastAsia="宋体" w:cs="宋体"/>
          <w:sz w:val="24"/>
          <w:lang w:bidi="ar"/>
        </w:rPr>
        <w:t>本期债券发行规模为【】亿元，网上发行规模预设为【】亿元。发行人和主承销商将根据网上发行情况决定是否启动回拨机制，【描述回拨机制】。</w:t>
      </w:r>
    </w:p>
    <w:p>
      <w:pPr>
        <w:adjustRightInd w:val="0"/>
        <w:snapToGrid w:val="0"/>
        <w:spacing w:line="360" w:lineRule="auto"/>
        <w:ind w:firstLine="482" w:firstLineChars="200"/>
        <w:rPr>
          <w:sz w:val="24"/>
        </w:rPr>
      </w:pPr>
      <w:r>
        <w:rPr>
          <w:rFonts w:hint="eastAsia" w:ascii="Calibri" w:hAnsi="Calibri" w:eastAsia="宋体" w:cs="宋体"/>
          <w:b/>
          <w:sz w:val="24"/>
          <w:lang w:bidi="ar"/>
        </w:rPr>
        <w:t>（三）发行时间</w:t>
      </w:r>
    </w:p>
    <w:p>
      <w:pPr>
        <w:adjustRightInd w:val="0"/>
        <w:snapToGrid w:val="0"/>
        <w:spacing w:line="360" w:lineRule="auto"/>
        <w:ind w:firstLine="480" w:firstLineChars="200"/>
        <w:rPr>
          <w:sz w:val="24"/>
        </w:rPr>
      </w:pPr>
      <w:r>
        <w:rPr>
          <w:rFonts w:hint="eastAsia" w:ascii="Calibri" w:hAnsi="Calibri" w:eastAsia="宋体" w:cs="宋体"/>
          <w:sz w:val="24"/>
          <w:lang w:bidi="ar"/>
        </w:rPr>
        <w:t>网上发行时间为【】个交易日，即发行首日【】年【】月【】日（</w:t>
      </w:r>
      <w:r>
        <w:rPr>
          <w:rFonts w:ascii="Calibri" w:hAnsi="Calibri" w:eastAsia="宋体" w:cs="Times New Roman"/>
          <w:sz w:val="24"/>
          <w:lang w:bidi="ar"/>
        </w:rPr>
        <w:t>T</w:t>
      </w:r>
      <w:r>
        <w:rPr>
          <w:rFonts w:hint="eastAsia" w:ascii="Calibri" w:hAnsi="Calibri" w:eastAsia="宋体" w:cs="宋体"/>
          <w:sz w:val="24"/>
          <w:lang w:bidi="ar"/>
        </w:rPr>
        <w:t>日）至【】年【】月【】日（</w:t>
      </w:r>
      <w:r>
        <w:rPr>
          <w:rFonts w:ascii="Calibri" w:hAnsi="Calibri" w:eastAsia="宋体" w:cs="Times New Roman"/>
          <w:sz w:val="24"/>
          <w:lang w:bidi="ar"/>
        </w:rPr>
        <w:t>T+【】</w:t>
      </w:r>
      <w:r>
        <w:rPr>
          <w:rFonts w:hint="eastAsia" w:ascii="Calibri" w:hAnsi="Calibri" w:eastAsia="宋体" w:cs="宋体"/>
          <w:sz w:val="24"/>
          <w:lang w:bidi="ar"/>
        </w:rPr>
        <w:t>日）深交所交易系统正常交易时间（上午</w:t>
      </w:r>
      <w:r>
        <w:rPr>
          <w:rFonts w:ascii="Calibri" w:hAnsi="Calibri" w:eastAsia="宋体" w:cs="Times New Roman"/>
          <w:sz w:val="24"/>
          <w:lang w:bidi="ar"/>
        </w:rPr>
        <w:t>9:15-11:30</w:t>
      </w:r>
      <w:r>
        <w:rPr>
          <w:rFonts w:hint="eastAsia" w:ascii="Calibri" w:hAnsi="Calibri" w:eastAsia="宋体" w:cs="宋体"/>
          <w:sz w:val="24"/>
          <w:lang w:bidi="ar"/>
        </w:rPr>
        <w:t>，下午</w:t>
      </w:r>
      <w:r>
        <w:rPr>
          <w:rFonts w:ascii="Calibri" w:hAnsi="Calibri" w:eastAsia="宋体" w:cs="Times New Roman"/>
          <w:sz w:val="24"/>
          <w:lang w:bidi="ar"/>
        </w:rPr>
        <w:t>13:00-15:00</w:t>
      </w:r>
      <w:r>
        <w:rPr>
          <w:rFonts w:hint="eastAsia" w:ascii="Calibri" w:hAnsi="Calibri" w:eastAsia="宋体" w:cs="宋体"/>
          <w:sz w:val="24"/>
          <w:lang w:bidi="ar"/>
        </w:rPr>
        <w:t>）。如遇重大突发事件影响本次发行，则顺延至下一个交易日继续进行。</w:t>
      </w:r>
    </w:p>
    <w:p>
      <w:pPr>
        <w:adjustRightInd w:val="0"/>
        <w:snapToGrid w:val="0"/>
        <w:spacing w:line="360" w:lineRule="auto"/>
        <w:ind w:firstLine="482" w:firstLineChars="200"/>
        <w:rPr>
          <w:rFonts w:hint="eastAsia" w:ascii="Calibri" w:hAnsi="Calibri" w:eastAsia="宋体" w:cs="宋体"/>
          <w:b/>
          <w:sz w:val="24"/>
          <w:szCs w:val="22"/>
          <w:lang w:bidi="ar"/>
        </w:rPr>
      </w:pPr>
      <w:r>
        <w:rPr>
          <w:rFonts w:hint="eastAsia" w:ascii="Calibri" w:hAnsi="Calibri" w:eastAsia="宋体" w:cs="宋体"/>
          <w:b/>
          <w:sz w:val="24"/>
          <w:szCs w:val="22"/>
          <w:lang w:bidi="ar"/>
        </w:rPr>
        <w:t>（四）认购办法</w:t>
      </w:r>
    </w:p>
    <w:p>
      <w:pPr>
        <w:adjustRightInd w:val="0"/>
        <w:snapToGrid w:val="0"/>
        <w:spacing w:line="360" w:lineRule="auto"/>
        <w:ind w:firstLine="480" w:firstLineChars="200"/>
        <w:rPr>
          <w:sz w:val="24"/>
        </w:rPr>
      </w:pPr>
      <w:r>
        <w:rPr>
          <w:rFonts w:ascii="Calibri" w:hAnsi="Calibri" w:eastAsia="宋体" w:cs="Times New Roman"/>
          <w:sz w:val="24"/>
          <w:lang w:bidi="ar"/>
        </w:rPr>
        <w:t>1</w:t>
      </w:r>
      <w:r>
        <w:rPr>
          <w:rFonts w:hint="eastAsia" w:ascii="Calibri" w:hAnsi="Calibri" w:eastAsia="宋体" w:cs="宋体"/>
          <w:sz w:val="24"/>
          <w:lang w:bidi="ar"/>
        </w:rPr>
        <w:t>、本期债券的发行代码为“【】”，简称为“【】”。</w:t>
      </w:r>
    </w:p>
    <w:p>
      <w:pPr>
        <w:adjustRightInd w:val="0"/>
        <w:snapToGrid w:val="0"/>
        <w:spacing w:line="360" w:lineRule="auto"/>
        <w:ind w:firstLine="480" w:firstLineChars="200"/>
        <w:rPr>
          <w:sz w:val="24"/>
        </w:rPr>
      </w:pPr>
      <w:r>
        <w:rPr>
          <w:rFonts w:ascii="Calibri" w:hAnsi="Calibri" w:eastAsia="宋体" w:cs="Times New Roman"/>
          <w:sz w:val="24"/>
          <w:lang w:bidi="ar"/>
        </w:rPr>
        <w:t>2</w:t>
      </w:r>
      <w:r>
        <w:rPr>
          <w:rFonts w:hint="eastAsia" w:ascii="Calibri" w:hAnsi="Calibri" w:eastAsia="宋体" w:cs="宋体"/>
          <w:sz w:val="24"/>
          <w:lang w:bidi="ar"/>
        </w:rPr>
        <w:t>、发行价格为</w:t>
      </w:r>
      <w:r>
        <w:rPr>
          <w:rFonts w:ascii="Calibri" w:hAnsi="Calibri" w:eastAsia="宋体" w:cs="Times New Roman"/>
          <w:sz w:val="24"/>
          <w:lang w:bidi="ar"/>
        </w:rPr>
        <w:t>100</w:t>
      </w:r>
      <w:r>
        <w:rPr>
          <w:rFonts w:hint="eastAsia" w:ascii="Calibri" w:hAnsi="Calibri" w:eastAsia="宋体" w:cs="宋体"/>
          <w:sz w:val="24"/>
          <w:lang w:bidi="ar"/>
        </w:rPr>
        <w:t>元一张。</w:t>
      </w:r>
    </w:p>
    <w:p>
      <w:pPr>
        <w:adjustRightInd w:val="0"/>
        <w:snapToGrid w:val="0"/>
        <w:spacing w:line="360" w:lineRule="auto"/>
        <w:ind w:firstLine="480" w:firstLineChars="200"/>
        <w:rPr>
          <w:sz w:val="24"/>
        </w:rPr>
      </w:pPr>
      <w:r>
        <w:rPr>
          <w:rFonts w:ascii="Calibri" w:hAnsi="Calibri" w:eastAsia="宋体" w:cs="Times New Roman"/>
          <w:sz w:val="24"/>
          <w:lang w:bidi="ar"/>
        </w:rPr>
        <w:t>3</w:t>
      </w:r>
      <w:r>
        <w:rPr>
          <w:rFonts w:hint="eastAsia" w:ascii="Calibri" w:hAnsi="Calibri" w:eastAsia="宋体" w:cs="宋体"/>
          <w:sz w:val="24"/>
          <w:lang w:bidi="ar"/>
        </w:rPr>
        <w:t>、在网上发行日的正常交易时间内，主承销商通过深交所交易系统进行“卖出申报”，参与网上发行的投资者通过深交所交易系统进行“买入申报”，通过深交所交易系统撮合成交，按照“时间优先”的原则实时成交。</w:t>
      </w:r>
    </w:p>
    <w:p>
      <w:pPr>
        <w:adjustRightInd w:val="0"/>
        <w:snapToGrid w:val="0"/>
        <w:spacing w:line="360" w:lineRule="auto"/>
        <w:ind w:firstLine="480" w:firstLineChars="200"/>
        <w:rPr>
          <w:sz w:val="24"/>
        </w:rPr>
      </w:pPr>
      <w:r>
        <w:rPr>
          <w:rFonts w:hint="eastAsia" w:ascii="Calibri" w:hAnsi="Calibri" w:eastAsia="宋体" w:cs="宋体"/>
          <w:sz w:val="24"/>
          <w:lang w:bidi="ar"/>
        </w:rPr>
        <w:t>网上认购按照“时间优先”的原则，先进行网上认购的投资者的认购数量将优先得到满足，深交所交易系统将实时确认成交。发行人和主承销商将根据网上发行情况决定是否启动回拨机制，【描述回拨机制】。</w:t>
      </w:r>
    </w:p>
    <w:p>
      <w:pPr>
        <w:adjustRightInd w:val="0"/>
        <w:snapToGrid w:val="0"/>
        <w:spacing w:line="360" w:lineRule="auto"/>
        <w:ind w:firstLine="480" w:firstLineChars="200"/>
        <w:rPr>
          <w:sz w:val="24"/>
        </w:rPr>
      </w:pPr>
      <w:r>
        <w:rPr>
          <w:rFonts w:ascii="Calibri" w:hAnsi="Calibri" w:eastAsia="宋体" w:cs="Times New Roman"/>
          <w:sz w:val="24"/>
          <w:lang w:bidi="ar"/>
        </w:rPr>
        <w:t>4</w:t>
      </w:r>
      <w:r>
        <w:rPr>
          <w:rFonts w:hint="eastAsia" w:ascii="Calibri" w:hAnsi="Calibri" w:eastAsia="宋体" w:cs="宋体"/>
          <w:sz w:val="24"/>
          <w:lang w:bidi="ar"/>
        </w:rPr>
        <w:t>、参与本次网上发行的每个证券账户最小认购单位是</w:t>
      </w:r>
      <w:r>
        <w:rPr>
          <w:rFonts w:ascii="Calibri" w:hAnsi="Calibri" w:eastAsia="宋体" w:cs="Times New Roman"/>
          <w:sz w:val="24"/>
          <w:lang w:bidi="ar"/>
        </w:rPr>
        <w:t>1</w:t>
      </w:r>
      <w:r>
        <w:rPr>
          <w:rFonts w:hint="eastAsia" w:ascii="Calibri" w:hAnsi="Calibri" w:eastAsia="宋体" w:cs="宋体"/>
          <w:sz w:val="24"/>
          <w:lang w:bidi="ar"/>
        </w:rPr>
        <w:t>手（</w:t>
      </w:r>
      <w:r>
        <w:rPr>
          <w:rFonts w:ascii="Calibri" w:hAnsi="Calibri" w:eastAsia="宋体" w:cs="Times New Roman"/>
          <w:sz w:val="24"/>
          <w:lang w:bidi="ar"/>
        </w:rPr>
        <w:t>10</w:t>
      </w:r>
      <w:r>
        <w:rPr>
          <w:rFonts w:hint="eastAsia" w:ascii="Calibri" w:hAnsi="Calibri" w:eastAsia="宋体" w:cs="宋体"/>
          <w:sz w:val="24"/>
          <w:lang w:bidi="ar"/>
        </w:rPr>
        <w:t>张，</w:t>
      </w:r>
      <w:r>
        <w:rPr>
          <w:rFonts w:ascii="Calibri" w:hAnsi="Calibri" w:eastAsia="宋体" w:cs="Times New Roman"/>
          <w:sz w:val="24"/>
          <w:lang w:bidi="ar"/>
        </w:rPr>
        <w:t>1,000</w:t>
      </w:r>
      <w:r>
        <w:rPr>
          <w:rFonts w:hint="eastAsia" w:ascii="Calibri" w:hAnsi="Calibri" w:eastAsia="宋体" w:cs="宋体"/>
          <w:sz w:val="24"/>
          <w:lang w:bidi="ar"/>
        </w:rPr>
        <w:t>元），超过</w:t>
      </w:r>
      <w:r>
        <w:rPr>
          <w:rFonts w:ascii="Calibri" w:hAnsi="Calibri" w:eastAsia="宋体" w:cs="Times New Roman"/>
          <w:sz w:val="24"/>
          <w:lang w:bidi="ar"/>
        </w:rPr>
        <w:t>1</w:t>
      </w:r>
      <w:r>
        <w:rPr>
          <w:rFonts w:hint="eastAsia" w:ascii="Calibri" w:hAnsi="Calibri" w:eastAsia="宋体" w:cs="宋体"/>
          <w:sz w:val="24"/>
          <w:lang w:bidi="ar"/>
        </w:rPr>
        <w:t>手的必须是</w:t>
      </w:r>
      <w:r>
        <w:rPr>
          <w:rFonts w:ascii="Calibri" w:hAnsi="Calibri" w:eastAsia="宋体" w:cs="Times New Roman"/>
          <w:sz w:val="24"/>
          <w:lang w:bidi="ar"/>
        </w:rPr>
        <w:t>1</w:t>
      </w:r>
      <w:r>
        <w:rPr>
          <w:rFonts w:hint="eastAsia" w:ascii="Calibri" w:hAnsi="Calibri" w:eastAsia="宋体" w:cs="宋体"/>
          <w:sz w:val="24"/>
          <w:lang w:bidi="ar"/>
        </w:rPr>
        <w:t>手的整数倍。投资者认购数量上限还应遵照相关法律法规及中国证监会的有关规定执行，并自行承担相应的法律责任。</w:t>
      </w:r>
    </w:p>
    <w:p>
      <w:pPr>
        <w:adjustRightInd w:val="0"/>
        <w:snapToGrid w:val="0"/>
        <w:spacing w:line="360" w:lineRule="auto"/>
        <w:ind w:firstLine="480" w:firstLineChars="200"/>
        <w:rPr>
          <w:sz w:val="24"/>
        </w:rPr>
      </w:pPr>
      <w:r>
        <w:rPr>
          <w:rFonts w:ascii="Calibri" w:hAnsi="Calibri" w:eastAsia="宋体" w:cs="Times New Roman"/>
          <w:sz w:val="24"/>
          <w:lang w:bidi="ar"/>
        </w:rPr>
        <w:t>5</w:t>
      </w:r>
      <w:r>
        <w:rPr>
          <w:rFonts w:hint="eastAsia" w:ascii="Calibri" w:hAnsi="Calibri" w:eastAsia="宋体" w:cs="宋体"/>
          <w:sz w:val="24"/>
          <w:lang w:bidi="ar"/>
        </w:rPr>
        <w:t>、凡参与网上认购的投资者，认购时必须持有中国证券登记结算有限责任公司深圳分公司</w:t>
      </w:r>
      <w:r>
        <w:rPr>
          <w:rFonts w:ascii="Calibri" w:hAnsi="Calibri" w:eastAsia="宋体" w:cs="Times New Roman"/>
          <w:sz w:val="24"/>
          <w:lang w:bidi="ar"/>
        </w:rPr>
        <w:t>A</w:t>
      </w:r>
      <w:r>
        <w:rPr>
          <w:rFonts w:hint="eastAsia" w:ascii="Calibri" w:hAnsi="Calibri" w:eastAsia="宋体" w:cs="宋体"/>
          <w:sz w:val="24"/>
          <w:lang w:bidi="ar"/>
        </w:rPr>
        <w:t>股证券账户，尚未办理开户登记手续的投资者，必须在网上认购日【】年【】月【】日（</w:t>
      </w:r>
      <w:r>
        <w:rPr>
          <w:rFonts w:ascii="Calibri" w:hAnsi="Calibri" w:eastAsia="宋体" w:cs="Times New Roman"/>
          <w:sz w:val="24"/>
          <w:lang w:bidi="ar"/>
        </w:rPr>
        <w:t>T</w:t>
      </w:r>
      <w:r>
        <w:rPr>
          <w:rFonts w:hint="eastAsia" w:ascii="Calibri" w:hAnsi="Calibri" w:eastAsia="宋体" w:cs="宋体"/>
          <w:sz w:val="24"/>
          <w:lang w:bidi="ar"/>
        </w:rPr>
        <w:t>日）之前开立深交所证券账户。</w:t>
      </w:r>
    </w:p>
    <w:p>
      <w:pPr>
        <w:adjustRightInd w:val="0"/>
        <w:snapToGrid w:val="0"/>
        <w:spacing w:line="360" w:lineRule="auto"/>
        <w:ind w:firstLine="480" w:firstLineChars="200"/>
        <w:rPr>
          <w:sz w:val="24"/>
        </w:rPr>
      </w:pPr>
      <w:r>
        <w:rPr>
          <w:rFonts w:hint="eastAsia" w:ascii="Calibri" w:hAnsi="Calibri" w:eastAsia="宋体" w:cs="宋体"/>
          <w:sz w:val="24"/>
          <w:lang w:bidi="ar"/>
        </w:rPr>
        <w:t>已开立资金账户但没有存入足额现金的投资者，需在网上认购日【】年【】月【】日（</w:t>
      </w:r>
      <w:r>
        <w:rPr>
          <w:rFonts w:ascii="Calibri" w:hAnsi="Calibri" w:eastAsia="宋体" w:cs="Times New Roman"/>
          <w:sz w:val="24"/>
          <w:lang w:bidi="ar"/>
        </w:rPr>
        <w:t>T</w:t>
      </w:r>
      <w:r>
        <w:rPr>
          <w:rFonts w:hint="eastAsia" w:ascii="Calibri" w:hAnsi="Calibri" w:eastAsia="宋体" w:cs="宋体"/>
          <w:sz w:val="24"/>
          <w:lang w:bidi="ar"/>
        </w:rPr>
        <w:t>日）之前（含当日）存入全款认购款，尚未开立资金账户的认购者，必须在网上认购日之前（含当日）在与深交所联网的证券交易网点开设资金账户，并存入全额认购款。资金认购不足的认购视为无效认购。</w:t>
      </w:r>
    </w:p>
    <w:p>
      <w:pPr>
        <w:adjustRightInd w:val="0"/>
        <w:snapToGrid w:val="0"/>
        <w:spacing w:line="360" w:lineRule="auto"/>
        <w:ind w:firstLine="480" w:firstLineChars="200"/>
        <w:rPr>
          <w:sz w:val="24"/>
        </w:rPr>
      </w:pPr>
      <w:r>
        <w:rPr>
          <w:rFonts w:ascii="Calibri" w:hAnsi="Calibri" w:eastAsia="宋体" w:cs="Times New Roman"/>
          <w:sz w:val="24"/>
          <w:lang w:bidi="ar"/>
        </w:rPr>
        <w:t>6</w:t>
      </w:r>
      <w:r>
        <w:rPr>
          <w:rFonts w:hint="eastAsia" w:ascii="Calibri" w:hAnsi="Calibri" w:eastAsia="宋体" w:cs="宋体"/>
          <w:sz w:val="24"/>
          <w:lang w:bidi="ar"/>
        </w:rPr>
        <w:t>、普通投资者网上认购次数不受限制，认购上限不得超过该品种的网上发行规模。</w:t>
      </w:r>
    </w:p>
    <w:p>
      <w:pPr>
        <w:adjustRightInd w:val="0"/>
        <w:snapToGrid w:val="0"/>
        <w:spacing w:line="360" w:lineRule="auto"/>
        <w:ind w:firstLine="482" w:firstLineChars="200"/>
        <w:rPr>
          <w:b/>
          <w:sz w:val="24"/>
        </w:rPr>
      </w:pPr>
      <w:r>
        <w:rPr>
          <w:rFonts w:hint="eastAsia" w:ascii="Calibri" w:hAnsi="Calibri" w:eastAsia="宋体" w:cs="宋体"/>
          <w:b/>
          <w:sz w:val="24"/>
          <w:lang w:bidi="ar"/>
        </w:rPr>
        <w:t>（五）结算与登记</w:t>
      </w:r>
    </w:p>
    <w:p>
      <w:pPr>
        <w:adjustRightInd w:val="0"/>
        <w:snapToGrid w:val="0"/>
        <w:spacing w:line="360" w:lineRule="auto"/>
        <w:ind w:firstLine="480" w:firstLineChars="200"/>
        <w:rPr>
          <w:sz w:val="24"/>
        </w:rPr>
      </w:pPr>
      <w:r>
        <w:rPr>
          <w:rFonts w:hint="eastAsia" w:ascii="Calibri" w:hAnsi="Calibri" w:eastAsia="宋体" w:cs="宋体"/>
          <w:sz w:val="24"/>
          <w:lang w:bidi="ar"/>
        </w:rPr>
        <w:t>网上发行的结算和登记按照中国证券登记结算有限责任公司深圳分公司相关业务规则办理。</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lang w:bidi="ar"/>
        </w:rPr>
        <w:t>四、网下发行</w:t>
      </w:r>
    </w:p>
    <w:p>
      <w:pPr>
        <w:adjustRightInd w:val="0"/>
        <w:snapToGrid w:val="0"/>
        <w:spacing w:line="360" w:lineRule="auto"/>
        <w:ind w:firstLine="482" w:firstLineChars="200"/>
        <w:rPr>
          <w:rFonts w:ascii="Calibri" w:hAnsi="Calibri" w:eastAsia="宋体" w:cs="宋体"/>
          <w:b/>
          <w:sz w:val="24"/>
          <w:szCs w:val="24"/>
          <w:lang w:bidi="ar"/>
        </w:rPr>
      </w:pPr>
      <w:r>
        <w:rPr>
          <w:rFonts w:hint="eastAsia" w:ascii="Calibri" w:hAnsi="Calibri" w:eastAsia="宋体" w:cs="宋体"/>
          <w:b/>
          <w:sz w:val="24"/>
          <w:szCs w:val="24"/>
          <w:lang w:bidi="ar"/>
        </w:rPr>
        <w:t>（一）发行对象</w:t>
      </w:r>
    </w:p>
    <w:p>
      <w:pPr>
        <w:adjustRightInd w:val="0"/>
        <w:snapToGrid w:val="0"/>
        <w:spacing w:line="360" w:lineRule="auto"/>
        <w:ind w:firstLine="480" w:firstLineChars="200"/>
        <w:rPr>
          <w:rFonts w:ascii="Calibri" w:hAnsi="Calibri" w:eastAsia="宋体" w:cs="宋体"/>
          <w:sz w:val="24"/>
        </w:rPr>
      </w:pPr>
      <w:r>
        <w:rPr>
          <w:rFonts w:ascii="Calibri" w:hAnsi="Calibri" w:eastAsia="宋体" w:cs="宋体"/>
          <w:sz w:val="24"/>
        </w:rPr>
        <w:t>本期债券网下发行对象为符合《证券法》《公司债券发行与交易管理办法（2023年修订）》《深圳证券交易所债券市场投资者适当性管理办法（2023年修订）》及《证券期货投资者适当性管理办法》相关规定且在中国证券登记结算有限责任公司深圳分公司开立合格A股证券账户的专业机构投资者、</w:t>
      </w:r>
      <w:r>
        <w:rPr>
          <w:rFonts w:ascii="Calibri" w:hAnsi="Calibri" w:eastAsia="宋体" w:cs="宋体"/>
          <w:kern w:val="0"/>
          <w:sz w:val="24"/>
          <w:lang w:bidi="ar"/>
        </w:rPr>
        <w:t>在中央国债登记结算有限责任公司开户的</w:t>
      </w:r>
      <w:r>
        <w:rPr>
          <w:rFonts w:hint="eastAsia" w:ascii="Calibri" w:hAnsi="Calibri" w:eastAsia="宋体" w:cs="宋体"/>
          <w:kern w:val="0"/>
          <w:sz w:val="24"/>
          <w:lang w:bidi="ar"/>
        </w:rPr>
        <w:t>【投资者，应说明投资者类型】</w:t>
      </w:r>
      <w:r>
        <w:rPr>
          <w:rFonts w:ascii="Calibri" w:hAnsi="Calibri" w:eastAsia="宋体" w:cs="宋体"/>
          <w:kern w:val="0"/>
          <w:sz w:val="24"/>
          <w:lang w:bidi="ar"/>
        </w:rPr>
        <w:t>（企业债券适用）</w:t>
      </w:r>
      <w:r>
        <w:rPr>
          <w:rFonts w:ascii="Calibri" w:hAnsi="Calibri" w:eastAsia="宋体" w:cs="宋体"/>
          <w:sz w:val="24"/>
        </w:rPr>
        <w:t>（法律、法规禁止购买者除外）。</w:t>
      </w:r>
    </w:p>
    <w:p>
      <w:pPr>
        <w:adjustRightInd w:val="0"/>
        <w:snapToGrid w:val="0"/>
        <w:spacing w:line="360" w:lineRule="auto"/>
        <w:ind w:firstLine="482" w:firstLineChars="200"/>
        <w:rPr>
          <w:rFonts w:ascii="Calibri" w:hAnsi="Calibri" w:eastAsia="宋体" w:cs="宋体"/>
          <w:b/>
          <w:sz w:val="24"/>
          <w:szCs w:val="24"/>
          <w:lang w:bidi="ar"/>
        </w:rPr>
      </w:pPr>
      <w:r>
        <w:rPr>
          <w:rFonts w:hint="eastAsia" w:ascii="Calibri" w:hAnsi="Calibri" w:eastAsia="宋体" w:cs="宋体"/>
          <w:b/>
          <w:sz w:val="24"/>
          <w:szCs w:val="24"/>
          <w:lang w:bidi="ar"/>
        </w:rPr>
        <w:t>（二）发行数量</w:t>
      </w:r>
    </w:p>
    <w:p>
      <w:pPr>
        <w:adjustRightInd w:val="0"/>
        <w:snapToGrid w:val="0"/>
        <w:spacing w:line="360" w:lineRule="auto"/>
        <w:ind w:firstLine="480" w:firstLineChars="200"/>
        <w:rPr>
          <w:rFonts w:ascii="Calibri" w:hAnsi="Calibri" w:eastAsia="宋体" w:cs="宋体"/>
          <w:color w:val="000000"/>
          <w:sz w:val="24"/>
        </w:rPr>
      </w:pPr>
      <w:r>
        <w:rPr>
          <w:rFonts w:ascii="Calibri" w:hAnsi="Calibri" w:eastAsia="宋体" w:cs="宋体"/>
          <w:color w:val="000000"/>
          <w:sz w:val="24"/>
        </w:rPr>
        <w:t>本期债券网下发行规模为不超过【】亿元（含【】亿元）。参与本期债券网下发行的每个专业机构投资者的最低认购单位为【】手（【】张，【】万元），超过【】手的必须是【】手（【】万元）的整数倍。</w:t>
      </w:r>
    </w:p>
    <w:p>
      <w:pPr>
        <w:numPr>
          <w:ilvl w:val="0"/>
          <w:numId w:val="3"/>
        </w:numPr>
        <w:adjustRightInd w:val="0"/>
        <w:snapToGrid w:val="0"/>
        <w:spacing w:line="360" w:lineRule="auto"/>
        <w:ind w:firstLine="482" w:firstLineChars="200"/>
        <w:rPr>
          <w:rFonts w:ascii="宋体" w:hAnsi="宋体" w:eastAsia="宋体" w:cs="宋体"/>
          <w:b/>
          <w:color w:val="000000"/>
          <w:sz w:val="24"/>
          <w:szCs w:val="24"/>
          <w:lang w:bidi="ar"/>
        </w:rPr>
      </w:pPr>
      <w:r>
        <w:rPr>
          <w:rFonts w:hint="eastAsia" w:ascii="宋体" w:hAnsi="宋体" w:eastAsia="宋体" w:cs="宋体"/>
          <w:b/>
          <w:color w:val="000000"/>
          <w:sz w:val="24"/>
          <w:szCs w:val="24"/>
          <w:lang w:bidi="ar"/>
        </w:rPr>
        <w:t>发行价格</w:t>
      </w:r>
    </w:p>
    <w:p>
      <w:pPr>
        <w:adjustRightInd w:val="0"/>
        <w:snapToGrid w:val="0"/>
        <w:spacing w:line="360" w:lineRule="auto"/>
        <w:ind w:firstLine="480" w:firstLineChars="200"/>
        <w:rPr>
          <w:rFonts w:ascii="宋体" w:hAnsi="宋体" w:eastAsia="宋体" w:cs="宋体"/>
          <w:color w:val="000000"/>
          <w:sz w:val="24"/>
          <w:szCs w:val="24"/>
          <w:lang w:bidi="ar"/>
        </w:rPr>
      </w:pPr>
      <w:r>
        <w:rPr>
          <w:rFonts w:hint="eastAsia" w:ascii="宋体" w:hAnsi="宋体" w:eastAsia="宋体" w:cs="宋体"/>
          <w:color w:val="000000"/>
          <w:sz w:val="24"/>
          <w:szCs w:val="24"/>
          <w:lang w:bidi="ar"/>
        </w:rPr>
        <w:t>本期债券的发行价格为100元/张。</w:t>
      </w:r>
    </w:p>
    <w:p>
      <w:pPr>
        <w:numPr>
          <w:ilvl w:val="0"/>
          <w:numId w:val="3"/>
        </w:numPr>
        <w:adjustRightInd w:val="0"/>
        <w:snapToGrid w:val="0"/>
        <w:spacing w:line="360" w:lineRule="auto"/>
        <w:ind w:firstLine="482" w:firstLineChars="200"/>
        <w:rPr>
          <w:rFonts w:ascii="宋体" w:hAnsi="宋体" w:eastAsia="宋体" w:cs="宋体"/>
          <w:b/>
          <w:color w:val="000000"/>
          <w:sz w:val="24"/>
          <w:szCs w:val="24"/>
          <w:lang w:bidi="ar"/>
        </w:rPr>
      </w:pPr>
      <w:r>
        <w:rPr>
          <w:rFonts w:ascii="宋体" w:hAnsi="宋体" w:eastAsia="宋体" w:cs="宋体"/>
          <w:b/>
          <w:color w:val="000000"/>
          <w:sz w:val="24"/>
          <w:szCs w:val="24"/>
          <w:lang w:bidi="ar"/>
        </w:rPr>
        <w:t>发行时间</w:t>
      </w:r>
    </w:p>
    <w:p>
      <w:pPr>
        <w:adjustRightInd w:val="0"/>
        <w:snapToGrid w:val="0"/>
        <w:spacing w:line="360" w:lineRule="auto"/>
        <w:ind w:firstLine="480" w:firstLineChars="200"/>
        <w:rPr>
          <w:rFonts w:ascii="宋体" w:hAnsi="宋体" w:eastAsia="宋体" w:cs="宋体"/>
          <w:color w:val="000000"/>
          <w:sz w:val="24"/>
          <w:szCs w:val="24"/>
          <w:lang w:bidi="ar"/>
        </w:rPr>
      </w:pPr>
      <w:r>
        <w:rPr>
          <w:rFonts w:ascii="宋体" w:hAnsi="宋体" w:eastAsia="宋体" w:cs="宋体"/>
          <w:color w:val="000000"/>
          <w:sz w:val="24"/>
          <w:szCs w:val="24"/>
          <w:lang w:bidi="ar"/>
        </w:rPr>
        <w:t>本</w:t>
      </w:r>
      <w:r>
        <w:rPr>
          <w:rFonts w:hint="eastAsia" w:ascii="宋体" w:hAnsi="宋体" w:eastAsia="宋体" w:cs="宋体"/>
          <w:color w:val="000000"/>
          <w:sz w:val="24"/>
          <w:szCs w:val="24"/>
          <w:lang w:bidi="ar"/>
        </w:rPr>
        <w:t>期债券网下发行的期限为</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个交易日，即</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年</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月</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日（T日）</w:t>
      </w:r>
      <w:r>
        <w:rPr>
          <w:rFonts w:ascii="宋体" w:hAnsi="宋体" w:eastAsia="宋体" w:cs="宋体"/>
          <w:color w:val="000000"/>
          <w:sz w:val="24"/>
          <w:szCs w:val="24"/>
          <w:lang w:bidi="ar"/>
        </w:rPr>
        <w:t>和【】</w:t>
      </w:r>
      <w:r>
        <w:rPr>
          <w:rFonts w:hint="eastAsia" w:ascii="宋体" w:hAnsi="宋体" w:eastAsia="宋体" w:cs="宋体"/>
          <w:color w:val="000000"/>
          <w:sz w:val="24"/>
          <w:szCs w:val="24"/>
          <w:lang w:bidi="ar"/>
        </w:rPr>
        <w:t>年</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月</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日（T+</w:t>
      </w:r>
      <w:r>
        <w:rPr>
          <w:rFonts w:ascii="宋体" w:hAnsi="宋体" w:eastAsia="宋体" w:cs="宋体"/>
          <w:color w:val="000000"/>
          <w:sz w:val="24"/>
          <w:szCs w:val="24"/>
          <w:lang w:bidi="ar"/>
        </w:rPr>
        <w:t>【】</w:t>
      </w:r>
      <w:r>
        <w:rPr>
          <w:rFonts w:hint="eastAsia" w:ascii="宋体" w:hAnsi="宋体" w:eastAsia="宋体" w:cs="宋体"/>
          <w:color w:val="000000"/>
          <w:sz w:val="24"/>
          <w:szCs w:val="24"/>
          <w:lang w:bidi="ar"/>
        </w:rPr>
        <w:t>日）</w:t>
      </w:r>
      <w:r>
        <w:rPr>
          <w:rFonts w:ascii="宋体" w:hAnsi="宋体" w:eastAsia="宋体" w:cs="宋体"/>
          <w:color w:val="000000"/>
          <w:sz w:val="24"/>
          <w:szCs w:val="24"/>
          <w:lang w:bidi="ar"/>
        </w:rPr>
        <w:t>。</w:t>
      </w:r>
    </w:p>
    <w:p>
      <w:pPr>
        <w:numPr>
          <w:ilvl w:val="0"/>
          <w:numId w:val="3"/>
        </w:numPr>
        <w:adjustRightInd w:val="0"/>
        <w:snapToGrid w:val="0"/>
        <w:spacing w:line="360" w:lineRule="auto"/>
        <w:ind w:firstLine="482" w:firstLineChars="200"/>
        <w:rPr>
          <w:rFonts w:ascii="宋体" w:hAnsi="宋体" w:eastAsia="宋体" w:cs="宋体"/>
          <w:b/>
          <w:bCs/>
          <w:sz w:val="24"/>
          <w:szCs w:val="24"/>
          <w:lang w:bidi="ar"/>
        </w:rPr>
      </w:pPr>
      <w:r>
        <w:rPr>
          <w:rFonts w:ascii="宋体" w:hAnsi="宋体" w:eastAsia="宋体" w:cs="宋体"/>
          <w:b/>
          <w:bCs/>
          <w:sz w:val="24"/>
          <w:szCs w:val="24"/>
          <w:lang w:bidi="ar"/>
        </w:rPr>
        <w:t>认购办法</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    1、凡参与网下认购的专业机构投资者，认购时必须持有中国证券登记结算有限责任公司深圳分公司A股证券账户，或在</w:t>
      </w:r>
      <w:r>
        <w:rPr>
          <w:rFonts w:ascii="Calibri" w:hAnsi="Calibri" w:eastAsia="宋体" w:cs="宋体"/>
          <w:kern w:val="0"/>
          <w:sz w:val="24"/>
          <w:lang w:bidi="ar"/>
        </w:rPr>
        <w:t>中央国债登记结算有限责任公司开户（企业债券适用）</w:t>
      </w:r>
      <w:r>
        <w:rPr>
          <w:rFonts w:ascii="宋体" w:hAnsi="宋体" w:eastAsia="宋体" w:cs="宋体"/>
          <w:sz w:val="24"/>
          <w:szCs w:val="24"/>
          <w:lang w:bidi="ar"/>
        </w:rPr>
        <w:t>。尚未开户的专业机构投资者，必须在【】年【】月【】日（T-1日）前开立证券账户。</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    2、拟参与网下认购的专业机构投资者应按照本公告要求，在规定时间内向</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簿记管理人提交询价、申购文件及相关专业机构投资者资质文件。</w:t>
      </w:r>
    </w:p>
    <w:p>
      <w:pPr>
        <w:numPr>
          <w:ilvl w:val="0"/>
          <w:numId w:val="3"/>
        </w:numPr>
        <w:adjustRightInd w:val="0"/>
        <w:snapToGrid w:val="0"/>
        <w:spacing w:line="360" w:lineRule="auto"/>
        <w:ind w:firstLine="482" w:firstLineChars="200"/>
        <w:rPr>
          <w:rFonts w:ascii="宋体" w:hAnsi="宋体" w:eastAsia="宋体" w:cs="宋体"/>
          <w:b/>
          <w:sz w:val="24"/>
          <w:szCs w:val="24"/>
          <w:lang w:bidi="ar"/>
        </w:rPr>
      </w:pPr>
      <w:r>
        <w:rPr>
          <w:rFonts w:ascii="宋体" w:hAnsi="宋体" w:eastAsia="宋体" w:cs="宋体"/>
          <w:b/>
          <w:sz w:val="24"/>
          <w:szCs w:val="24"/>
          <w:lang w:bidi="ar"/>
        </w:rPr>
        <w:t>配售</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簿记管理人根据网下询价结果对所有有效申购</w:t>
      </w:r>
      <w:r>
        <w:rPr>
          <w:rFonts w:ascii="宋体" w:hAnsi="宋体" w:eastAsia="宋体" w:cs="宋体"/>
          <w:sz w:val="24"/>
          <w:szCs w:val="24"/>
          <w:lang w:bidi="ar"/>
        </w:rPr>
        <w:t>进</w:t>
      </w:r>
      <w:r>
        <w:rPr>
          <w:rFonts w:hint="eastAsia" w:ascii="宋体" w:hAnsi="宋体" w:eastAsia="宋体" w:cs="宋体"/>
          <w:sz w:val="24"/>
          <w:szCs w:val="24"/>
          <w:lang w:bidi="ar"/>
        </w:rPr>
        <w:t>行配售。专业机构投资者的获配金额不会超过其有效申购中相应的最大申购金额。配售依照以下利率或者价格优先原则：按照投资者的申购利率从低到高进行簿记建档，按照申购利率从低到高对认购金额进行累计，当累计金额超过或等于本期债券发行总额时所对应的最高申购利率确认为发行利率。申购利率低于发行利率的投资者申购数量全部获得配售；申购利率等于发行利率的投资者申购数量原则上按</w:t>
      </w:r>
      <w:r>
        <w:rPr>
          <w:rFonts w:ascii="宋体" w:hAnsi="宋体" w:eastAsia="宋体" w:cs="宋体"/>
          <w:sz w:val="24"/>
          <w:szCs w:val="24"/>
          <w:lang w:bidi="ar"/>
        </w:rPr>
        <w:t>照</w:t>
      </w:r>
      <w:r>
        <w:rPr>
          <w:rFonts w:hint="eastAsia" w:ascii="宋体" w:hAnsi="宋体" w:eastAsia="宋体" w:cs="宋体"/>
          <w:sz w:val="24"/>
          <w:szCs w:val="24"/>
          <w:lang w:bidi="ar"/>
        </w:rPr>
        <w:t>比例配售（</w:t>
      </w:r>
      <w:r>
        <w:rPr>
          <w:rFonts w:ascii="宋体" w:hAnsi="宋体" w:eastAsia="宋体" w:cs="宋体"/>
          <w:sz w:val="24"/>
          <w:szCs w:val="24"/>
          <w:lang w:bidi="ar"/>
        </w:rPr>
        <w:t>簿记管理人</w:t>
      </w:r>
      <w:r>
        <w:rPr>
          <w:rFonts w:hint="eastAsia" w:ascii="宋体" w:hAnsi="宋体" w:eastAsia="宋体" w:cs="宋体"/>
          <w:sz w:val="24"/>
          <w:szCs w:val="24"/>
          <w:lang w:bidi="ar"/>
        </w:rPr>
        <w:t>可根据投资者申购数量取整要求或其他特殊情况，对边际配售结果进行适当调整）；申购利率高于发行利率的投资者申购数量不予配售。</w:t>
      </w:r>
    </w:p>
    <w:p>
      <w:pPr>
        <w:numPr>
          <w:ilvl w:val="0"/>
          <w:numId w:val="3"/>
        </w:numPr>
        <w:adjustRightInd w:val="0"/>
        <w:snapToGrid w:val="0"/>
        <w:spacing w:line="360" w:lineRule="auto"/>
        <w:ind w:firstLine="482" w:firstLineChars="200"/>
        <w:rPr>
          <w:rFonts w:ascii="宋体" w:hAnsi="宋体" w:eastAsia="宋体" w:cs="宋体"/>
          <w:b/>
          <w:sz w:val="24"/>
          <w:szCs w:val="24"/>
          <w:lang w:bidi="ar"/>
        </w:rPr>
      </w:pPr>
      <w:r>
        <w:rPr>
          <w:rFonts w:ascii="宋体" w:hAnsi="宋体" w:eastAsia="宋体" w:cs="宋体"/>
          <w:b/>
          <w:sz w:val="24"/>
          <w:szCs w:val="24"/>
          <w:lang w:bidi="ar"/>
        </w:rPr>
        <w:t>缴款</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【可根据承销机构实际情况调整】</w:t>
      </w:r>
      <w:r>
        <w:rPr>
          <w:rFonts w:hint="eastAsia" w:ascii="宋体" w:hAnsi="宋体" w:eastAsia="宋体" w:cs="宋体"/>
          <w:sz w:val="24"/>
          <w:szCs w:val="24"/>
          <w:lang w:bidi="ar"/>
        </w:rPr>
        <w:t>获得配售的专业机构投资者应按规定及时缴纳认购款，认购款须在</w:t>
      </w:r>
      <w:r>
        <w:rPr>
          <w:rFonts w:ascii="宋体" w:hAnsi="宋体" w:eastAsia="宋体" w:cs="宋体"/>
          <w:sz w:val="24"/>
          <w:szCs w:val="24"/>
          <w:lang w:bidi="ar"/>
        </w:rPr>
        <w:t>【】</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日（T+1日）</w:t>
      </w:r>
      <w:r>
        <w:rPr>
          <w:rFonts w:ascii="宋体" w:hAnsi="宋体" w:eastAsia="宋体" w:cs="宋体"/>
          <w:sz w:val="24"/>
          <w:szCs w:val="24"/>
          <w:lang w:bidi="ar"/>
        </w:rPr>
        <w:t>**：</w:t>
      </w:r>
      <w:r>
        <w:rPr>
          <w:rFonts w:hint="eastAsia" w:ascii="宋体" w:hAnsi="宋体" w:eastAsia="宋体" w:cs="宋体"/>
          <w:sz w:val="24"/>
          <w:szCs w:val="24"/>
          <w:lang w:bidi="ar"/>
        </w:rPr>
        <w:t>00前足额划至簿记管理人指定的收款银行账户。划款时请注明“</w:t>
      </w:r>
      <w:r>
        <w:rPr>
          <w:rFonts w:ascii="宋体" w:hAnsi="宋体" w:eastAsia="宋体" w:cs="宋体"/>
          <w:sz w:val="24"/>
          <w:szCs w:val="24"/>
          <w:lang w:bidi="ar"/>
        </w:rPr>
        <w:t>【】</w:t>
      </w:r>
      <w:r>
        <w:rPr>
          <w:rFonts w:hint="eastAsia" w:ascii="宋体" w:hAnsi="宋体" w:eastAsia="宋体" w:cs="宋体"/>
          <w:sz w:val="24"/>
          <w:szCs w:val="24"/>
          <w:lang w:bidi="ar"/>
        </w:rPr>
        <w:t>认购资金”“</w:t>
      </w:r>
      <w:r>
        <w:rPr>
          <w:rFonts w:ascii="宋体" w:hAnsi="宋体" w:eastAsia="宋体" w:cs="宋体"/>
          <w:sz w:val="24"/>
          <w:szCs w:val="24"/>
          <w:lang w:bidi="ar"/>
        </w:rPr>
        <w:t>【</w:t>
      </w:r>
      <w:r>
        <w:rPr>
          <w:rFonts w:hint="eastAsia" w:ascii="宋体" w:hAnsi="宋体" w:eastAsia="宋体" w:cs="宋体"/>
          <w:sz w:val="24"/>
          <w:szCs w:val="24"/>
          <w:lang w:bidi="ar"/>
        </w:rPr>
        <w:t>专业机构投资者认购账户简称</w:t>
      </w:r>
      <w:r>
        <w:rPr>
          <w:rFonts w:ascii="宋体" w:hAnsi="宋体" w:eastAsia="宋体" w:cs="宋体"/>
          <w:sz w:val="24"/>
          <w:szCs w:val="24"/>
          <w:lang w:bidi="ar"/>
        </w:rPr>
        <w:t>】</w:t>
      </w:r>
      <w:r>
        <w:rPr>
          <w:rFonts w:hint="eastAsia" w:ascii="宋体" w:hAnsi="宋体" w:eastAsia="宋体" w:cs="宋体"/>
          <w:sz w:val="24"/>
          <w:szCs w:val="24"/>
          <w:lang w:bidi="ar"/>
        </w:rPr>
        <w:t>”字样，同时向簿记管理人传真划款凭证。</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账户名称：</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账号：</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开户银行：</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中国人民银行支付系统号：</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联系人：</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联系电话：</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传真：</w:t>
      </w:r>
      <w:r>
        <w:rPr>
          <w:rFonts w:ascii="宋体" w:hAnsi="宋体" w:eastAsia="宋体" w:cs="宋体"/>
          <w:sz w:val="24"/>
          <w:szCs w:val="24"/>
          <w:lang w:bidi="ar"/>
        </w:rPr>
        <w:t>【】</w:t>
      </w:r>
    </w:p>
    <w:p>
      <w:pPr>
        <w:numPr>
          <w:ilvl w:val="0"/>
          <w:numId w:val="3"/>
        </w:numPr>
        <w:adjustRightInd w:val="0"/>
        <w:snapToGrid w:val="0"/>
        <w:spacing w:line="360" w:lineRule="auto"/>
        <w:ind w:firstLine="482" w:firstLineChars="200"/>
        <w:rPr>
          <w:rFonts w:ascii="宋体" w:hAnsi="宋体" w:eastAsia="宋体" w:cs="宋体"/>
          <w:b/>
          <w:sz w:val="24"/>
          <w:szCs w:val="24"/>
          <w:lang w:bidi="ar"/>
        </w:rPr>
      </w:pPr>
      <w:r>
        <w:rPr>
          <w:rFonts w:ascii="宋体" w:hAnsi="宋体" w:eastAsia="宋体" w:cs="宋体"/>
          <w:b/>
          <w:sz w:val="24"/>
          <w:szCs w:val="24"/>
          <w:lang w:bidi="ar"/>
        </w:rPr>
        <w:t>违约认购的处理</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【可根据承销机构实际情况调整】</w:t>
      </w:r>
      <w:r>
        <w:rPr>
          <w:rFonts w:hint="eastAsia" w:ascii="宋体" w:hAnsi="宋体" w:eastAsia="宋体" w:cs="宋体"/>
          <w:sz w:val="24"/>
          <w:szCs w:val="24"/>
          <w:lang w:bidi="ar"/>
        </w:rPr>
        <w:t>对未能在</w:t>
      </w:r>
      <w:r>
        <w:rPr>
          <w:rFonts w:ascii="宋体" w:hAnsi="宋体" w:eastAsia="宋体" w:cs="宋体"/>
          <w:sz w:val="24"/>
          <w:szCs w:val="24"/>
          <w:lang w:bidi="ar"/>
        </w:rPr>
        <w:t>【】</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日（T+1日）</w:t>
      </w:r>
      <w:r>
        <w:rPr>
          <w:rFonts w:ascii="宋体" w:hAnsi="宋体" w:eastAsia="宋体" w:cs="宋体"/>
          <w:sz w:val="24"/>
          <w:szCs w:val="24"/>
          <w:lang w:bidi="ar"/>
        </w:rPr>
        <w:t>**</w:t>
      </w:r>
      <w:r>
        <w:rPr>
          <w:rFonts w:hint="eastAsia" w:ascii="宋体" w:hAnsi="宋体" w:eastAsia="宋体" w:cs="宋体"/>
          <w:sz w:val="24"/>
          <w:szCs w:val="24"/>
          <w:lang w:bidi="ar"/>
        </w:rPr>
        <w:t>:00前缴足认购款的专业机构投资者将被视为违约申购，簿记管理人有权</w:t>
      </w:r>
      <w:r>
        <w:rPr>
          <w:rFonts w:ascii="宋体" w:hAnsi="宋体" w:eastAsia="宋体" w:cs="宋体"/>
          <w:sz w:val="24"/>
          <w:szCs w:val="24"/>
          <w:lang w:bidi="ar"/>
        </w:rPr>
        <w:t>处置</w:t>
      </w:r>
      <w:r>
        <w:rPr>
          <w:rFonts w:hint="eastAsia" w:ascii="宋体" w:hAnsi="宋体" w:eastAsia="宋体" w:cs="宋体"/>
          <w:sz w:val="24"/>
          <w:szCs w:val="24"/>
          <w:lang w:bidi="ar"/>
        </w:rPr>
        <w:t>该违约投资者认购要约项下的全部债券，并有权进一步依法追究违约投资者的法律责任。</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lang w:bidi="ar"/>
        </w:rPr>
        <w:t>五、风险提示</w:t>
      </w:r>
    </w:p>
    <w:p>
      <w:pPr>
        <w:adjustRightInd w:val="0"/>
        <w:snapToGrid w:val="0"/>
        <w:spacing w:line="360" w:lineRule="auto"/>
        <w:ind w:firstLine="480" w:firstLineChars="200"/>
        <w:rPr>
          <w:sz w:val="24"/>
        </w:rPr>
      </w:pPr>
      <w:r>
        <w:rPr>
          <w:rFonts w:hint="eastAsia" w:ascii="Calibri" w:hAnsi="Calibri" w:eastAsia="宋体" w:cs="宋体"/>
          <w:sz w:val="24"/>
          <w:lang w:bidi="ar"/>
        </w:rPr>
        <w:t>主承销商就已知范围已充分揭示本次发行可能涉及的风险事项，详细风险揭示条款参见《【债券全称】募集说明书》。</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lang w:bidi="ar"/>
        </w:rPr>
        <w:t>六、认购费用</w:t>
      </w:r>
    </w:p>
    <w:p>
      <w:pPr>
        <w:adjustRightInd w:val="0"/>
        <w:snapToGrid w:val="0"/>
        <w:spacing w:line="360" w:lineRule="auto"/>
        <w:ind w:firstLine="480" w:firstLineChars="200"/>
        <w:rPr>
          <w:sz w:val="24"/>
        </w:rPr>
      </w:pPr>
      <w:r>
        <w:rPr>
          <w:rFonts w:hint="eastAsia" w:ascii="Calibri" w:hAnsi="Calibri" w:eastAsia="宋体" w:cs="宋体"/>
          <w:sz w:val="24"/>
          <w:lang w:bidi="ar"/>
        </w:rPr>
        <w:t>本次发行不向投资者收取佣金、过户费、印花税等费用。</w:t>
      </w:r>
    </w:p>
    <w:p>
      <w:pPr>
        <w:adjustRightInd w:val="0"/>
        <w:snapToGrid w:val="0"/>
        <w:spacing w:line="360" w:lineRule="auto"/>
        <w:ind w:firstLine="562" w:firstLineChars="200"/>
        <w:rPr>
          <w:b/>
          <w:sz w:val="28"/>
          <w:szCs w:val="28"/>
        </w:rPr>
      </w:pPr>
      <w:r>
        <w:rPr>
          <w:rFonts w:hint="eastAsia" w:ascii="Calibri" w:hAnsi="Calibri" w:eastAsia="宋体" w:cs="宋体"/>
          <w:b/>
          <w:sz w:val="28"/>
          <w:szCs w:val="28"/>
          <w:lang w:bidi="ar"/>
        </w:rPr>
        <w:t>七、发行人和主承销商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发行人：【】</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董事会秘书：【】</w:t>
      </w:r>
    </w:p>
    <w:p>
      <w:pPr>
        <w:adjustRightInd w:val="0"/>
        <w:snapToGrid w:val="0"/>
        <w:spacing w:line="360" w:lineRule="auto"/>
        <w:ind w:firstLine="480" w:firstLineChars="200"/>
        <w:rPr>
          <w:sz w:val="24"/>
        </w:rPr>
      </w:pPr>
      <w:r>
        <w:rPr>
          <w:rFonts w:hint="eastAsia" w:ascii="Calibri" w:hAnsi="Calibri" w:eastAsia="宋体" w:cs="宋体"/>
          <w:sz w:val="24"/>
          <w:lang w:bidi="ar"/>
        </w:rPr>
        <w:t>联系人：【】</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sz w:val="24"/>
        </w:rPr>
      </w:pPr>
      <w:r>
        <w:rPr>
          <w:rFonts w:hint="eastAsia" w:ascii="Calibri" w:hAnsi="Calibri" w:eastAsia="宋体" w:cs="宋体"/>
          <w:sz w:val="24"/>
          <w:lang w:bidi="ar"/>
        </w:rPr>
        <w:t>邮政编码：【】</w:t>
      </w:r>
    </w:p>
    <w:p>
      <w:pPr>
        <w:adjustRightInd w:val="0"/>
        <w:snapToGrid w:val="0"/>
        <w:spacing w:line="360" w:lineRule="auto"/>
        <w:ind w:firstLine="480" w:firstLineChars="200"/>
        <w:rPr>
          <w:sz w:val="24"/>
        </w:rPr>
      </w:pPr>
      <w:r>
        <w:rPr>
          <w:rFonts w:hint="eastAsia" w:ascii="Calibri" w:hAnsi="Calibri" w:eastAsia="宋体" w:cs="宋体"/>
          <w:sz w:val="24"/>
          <w:lang w:bidi="ar"/>
        </w:rPr>
        <w:t>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项目主办人：【】</w:t>
      </w:r>
    </w:p>
    <w:p>
      <w:pPr>
        <w:adjustRightInd w:val="0"/>
        <w:snapToGrid w:val="0"/>
        <w:spacing w:line="360" w:lineRule="auto"/>
        <w:ind w:firstLine="480" w:firstLineChars="200"/>
        <w:rPr>
          <w:sz w:val="24"/>
        </w:rPr>
      </w:pPr>
      <w:r>
        <w:rPr>
          <w:rFonts w:hint="eastAsia" w:ascii="Calibri" w:hAnsi="Calibri" w:eastAsia="宋体" w:cs="宋体"/>
          <w:sz w:val="24"/>
          <w:lang w:bidi="ar"/>
        </w:rPr>
        <w:t>项目组其他人员：【】</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sz w:val="24"/>
        </w:rPr>
      </w:pPr>
      <w:r>
        <w:rPr>
          <w:rFonts w:hint="eastAsia" w:ascii="Calibri" w:hAnsi="Calibri" w:eastAsia="宋体" w:cs="宋体"/>
          <w:sz w:val="24"/>
          <w:lang w:bidi="ar"/>
        </w:rPr>
        <w:t>邮政编码：【】</w:t>
      </w:r>
    </w:p>
    <w:p>
      <w:pPr>
        <w:adjustRightInd w:val="0"/>
        <w:snapToGrid w:val="0"/>
        <w:spacing w:line="360" w:lineRule="auto"/>
        <w:ind w:firstLine="480" w:firstLineChars="200"/>
        <w:rPr>
          <w:sz w:val="24"/>
        </w:rPr>
      </w:pPr>
      <w:r>
        <w:rPr>
          <w:rFonts w:hint="eastAsia" w:ascii="Calibri" w:hAnsi="Calibri" w:eastAsia="宋体" w:cs="宋体"/>
          <w:sz w:val="24"/>
          <w:lang w:bidi="ar"/>
        </w:rPr>
        <w:t>联席主承销商：【】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项目主办人：【】</w:t>
      </w:r>
    </w:p>
    <w:p>
      <w:pPr>
        <w:adjustRightInd w:val="0"/>
        <w:snapToGrid w:val="0"/>
        <w:spacing w:line="360" w:lineRule="auto"/>
        <w:ind w:firstLine="480" w:firstLineChars="200"/>
        <w:rPr>
          <w:sz w:val="24"/>
        </w:rPr>
      </w:pPr>
      <w:r>
        <w:rPr>
          <w:rFonts w:hint="eastAsia" w:ascii="Calibri" w:hAnsi="Calibri" w:eastAsia="宋体" w:cs="宋体"/>
          <w:sz w:val="24"/>
          <w:lang w:bidi="ar"/>
        </w:rPr>
        <w:t>项目组其他人员：【】</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sz w:val="24"/>
        </w:rPr>
      </w:pPr>
      <w:r>
        <w:rPr>
          <w:rFonts w:hint="eastAsia" w:ascii="Calibri" w:hAnsi="Calibri" w:eastAsia="宋体" w:cs="宋体"/>
          <w:sz w:val="24"/>
          <w:lang w:bidi="ar"/>
        </w:rPr>
        <w:t>邮政编码：【】</w:t>
      </w:r>
    </w:p>
    <w:p>
      <w:pPr>
        <w:adjustRightInd w:val="0"/>
        <w:snapToGrid w:val="0"/>
        <w:spacing w:line="360" w:lineRule="auto"/>
        <w:ind w:firstLine="480" w:firstLineChars="200"/>
        <w:rPr>
          <w:sz w:val="24"/>
        </w:rPr>
      </w:pPr>
      <w:r>
        <w:rPr>
          <w:rFonts w:hint="eastAsia" w:ascii="Calibri" w:hAnsi="Calibri" w:eastAsia="宋体" w:cs="宋体"/>
          <w:sz w:val="24"/>
          <w:lang w:bidi="ar"/>
        </w:rPr>
        <w:t>（本页以下无正文）</w:t>
      </w:r>
    </w:p>
    <w:p>
      <w:pPr>
        <w:adjustRightInd w:val="0"/>
        <w:snapToGrid w:val="0"/>
        <w:spacing w:line="360" w:lineRule="auto"/>
        <w:ind w:firstLine="420" w:firstLineChars="200"/>
      </w:pPr>
      <w:r>
        <w:rPr>
          <w:rFonts w:ascii="Calibri" w:hAnsi="Calibri" w:eastAsia="宋体" w:cs="Times New Roman"/>
          <w:lang w:bidi="ar"/>
        </w:rPr>
        <w:br w:type="page"/>
      </w:r>
    </w:p>
    <w:p>
      <w:pPr>
        <w:adjustRightInd w:val="0"/>
        <w:snapToGrid w:val="0"/>
        <w:spacing w:line="360" w:lineRule="auto"/>
        <w:jc w:val="center"/>
        <w:rPr>
          <w:sz w:val="24"/>
        </w:rPr>
      </w:pPr>
      <w:r>
        <w:rPr>
          <w:rFonts w:hint="eastAsia" w:ascii="Calibri" w:hAnsi="Calibri" w:eastAsia="宋体" w:cs="宋体"/>
          <w:sz w:val="24"/>
          <w:lang w:bidi="ar"/>
        </w:rPr>
        <w:t>（本页无正文，为《【债券全称】发行公告》之签章页）</w:t>
      </w:r>
    </w:p>
    <w:p>
      <w:pPr>
        <w:adjustRightInd w:val="0"/>
        <w:snapToGrid w:val="0"/>
        <w:spacing w:line="360" w:lineRule="auto"/>
        <w:jc w:val="right"/>
        <w:rPr>
          <w:sz w:val="24"/>
        </w:rPr>
      </w:pPr>
      <w:r>
        <w:rPr>
          <w:rFonts w:hint="eastAsia" w:ascii="Calibri" w:hAnsi="Calibri" w:eastAsia="宋体" w:cs="宋体"/>
          <w:sz w:val="24"/>
          <w:lang w:bidi="ar"/>
        </w:rPr>
        <w:t>发行人：【】</w:t>
      </w:r>
    </w:p>
    <w:p>
      <w:pPr>
        <w:adjustRightInd w:val="0"/>
        <w:snapToGrid w:val="0"/>
        <w:spacing w:line="360" w:lineRule="auto"/>
        <w:jc w:val="right"/>
        <w:rPr>
          <w:sz w:val="24"/>
        </w:rPr>
      </w:pPr>
      <w:r>
        <w:rPr>
          <w:rFonts w:hint="eastAsia" w:ascii="Calibri" w:hAnsi="Calibri" w:eastAsia="宋体" w:cs="宋体"/>
          <w:sz w:val="24"/>
          <w:lang w:bidi="ar"/>
        </w:rPr>
        <w:t>年月日</w:t>
      </w:r>
    </w:p>
    <w:p>
      <w:pPr>
        <w:adjustRightInd w:val="0"/>
        <w:snapToGrid w:val="0"/>
        <w:rPr>
          <w:sz w:val="24"/>
        </w:rPr>
      </w:pPr>
      <w:r>
        <w:rPr>
          <w:rFonts w:ascii="Calibri" w:hAnsi="Calibri" w:eastAsia="宋体" w:cs="Times New Roman"/>
          <w:sz w:val="24"/>
          <w:lang w:bidi="ar"/>
        </w:rPr>
        <w:br w:type="page"/>
      </w:r>
    </w:p>
    <w:p>
      <w:pPr>
        <w:adjustRightInd w:val="0"/>
        <w:snapToGrid w:val="0"/>
        <w:spacing w:line="360" w:lineRule="auto"/>
        <w:jc w:val="center"/>
        <w:rPr>
          <w:sz w:val="24"/>
        </w:rPr>
      </w:pPr>
      <w:r>
        <w:rPr>
          <w:rFonts w:hint="eastAsia" w:ascii="Calibri" w:hAnsi="Calibri" w:eastAsia="宋体" w:cs="宋体"/>
          <w:sz w:val="24"/>
          <w:lang w:bidi="ar"/>
        </w:rPr>
        <w:t>（本页无正文，为《【债券全称】发行公告》之签章页）</w:t>
      </w:r>
    </w:p>
    <w:p>
      <w:pPr>
        <w:adjustRightInd w:val="0"/>
        <w:snapToGrid w:val="0"/>
        <w:spacing w:line="360" w:lineRule="auto"/>
        <w:rPr>
          <w:sz w:val="24"/>
        </w:rPr>
      </w:pPr>
    </w:p>
    <w:p>
      <w:pPr>
        <w:adjustRightInd w:val="0"/>
        <w:snapToGrid w:val="0"/>
        <w:spacing w:line="360" w:lineRule="auto"/>
        <w:jc w:val="right"/>
        <w:rPr>
          <w:sz w:val="24"/>
        </w:rPr>
      </w:pPr>
      <w:r>
        <w:rPr>
          <w:rFonts w:hint="eastAsia" w:ascii="Calibri" w:hAnsi="Calibri" w:eastAsia="宋体" w:cs="宋体"/>
          <w:sz w:val="24"/>
          <w:lang w:bidi="ar"/>
        </w:rPr>
        <w:t>主承销商：【】</w:t>
      </w:r>
    </w:p>
    <w:p>
      <w:pPr>
        <w:adjustRightInd w:val="0"/>
        <w:snapToGrid w:val="0"/>
        <w:spacing w:line="360" w:lineRule="auto"/>
        <w:jc w:val="right"/>
        <w:rPr>
          <w:rFonts w:cs="Calibri"/>
          <w:sz w:val="24"/>
        </w:rPr>
      </w:pPr>
      <w:r>
        <w:rPr>
          <w:rFonts w:hint="eastAsia" w:ascii="Calibri" w:hAnsi="Calibri" w:eastAsia="宋体" w:cs="宋体"/>
          <w:sz w:val="24"/>
          <w:lang w:bidi="ar"/>
        </w:rPr>
        <w:t>年月日</w:t>
      </w:r>
    </w:p>
    <w:p>
      <w:pPr>
        <w:adjustRightInd w:val="0"/>
        <w:snapToGrid w:val="0"/>
        <w:rPr>
          <w:sz w:val="24"/>
        </w:rPr>
      </w:pPr>
    </w:p>
    <w:p>
      <w:pPr>
        <w:adjustRightInd w:val="0"/>
        <w:snapToGrid w:val="0"/>
        <w:rPr>
          <w:rFonts w:ascii="Calibri" w:hAnsi="Calibri" w:eastAsia="宋体" w:cs="Calibri"/>
          <w:sz w:val="24"/>
          <w:lang w:bidi="ar"/>
        </w:rPr>
      </w:pPr>
      <w:r>
        <w:rPr>
          <w:rFonts w:ascii="Calibri" w:hAnsi="Calibri" w:eastAsia="宋体" w:cs="Calibri"/>
          <w:sz w:val="24"/>
          <w:lang w:bidi="ar"/>
        </w:rPr>
        <w:br w:type="page"/>
      </w:r>
      <w:r>
        <w:rPr>
          <w:rFonts w:hint="eastAsia" w:ascii="Calibri" w:hAnsi="Calibri" w:eastAsia="宋体" w:cs="Calibri"/>
          <w:sz w:val="24"/>
          <w:lang w:bidi="ar"/>
        </w:rPr>
        <w:t>【可后附申购函、合格投资者确认函、风险揭示书等相关附件】</w:t>
      </w:r>
    </w:p>
    <w:p>
      <w:pPr>
        <w:widowControl/>
        <w:adjustRightInd w:val="0"/>
        <w:snapToGrid w:val="0"/>
        <w:jc w:val="left"/>
        <w:rPr>
          <w:rFonts w:ascii="Calibri" w:hAnsi="Calibri" w:eastAsia="宋体" w:cs="Calibri"/>
          <w:sz w:val="24"/>
          <w:lang w:bidi="ar"/>
        </w:rPr>
      </w:pPr>
      <w:r>
        <w:rPr>
          <w:rFonts w:ascii="Calibri" w:hAnsi="Calibri" w:eastAsia="宋体" w:cs="Calibri"/>
          <w:sz w:val="24"/>
          <w:lang w:bidi="ar"/>
        </w:rPr>
        <w:br w:type="page"/>
      </w:r>
    </w:p>
    <w:p>
      <w:pPr>
        <w:pStyle w:val="3"/>
        <w:widowControl/>
        <w:adjustRightInd/>
        <w:snapToGrid/>
        <w:outlineLvl w:val="1"/>
        <w:rPr>
          <w:rFonts w:hint="eastAsia" w:ascii="仿宋" w:hAnsi="仿宋" w:eastAsia="仿宋" w:cs="仿宋"/>
          <w:b w:val="0"/>
          <w:bCs w:val="0"/>
          <w:sz w:val="32"/>
          <w:szCs w:val="32"/>
        </w:rPr>
      </w:pPr>
      <w:bookmarkStart w:id="441" w:name="_Toc148696266"/>
      <w:bookmarkStart w:id="442" w:name="_Toc5708"/>
      <w:bookmarkStart w:id="443" w:name="_Toc9150"/>
      <w:bookmarkStart w:id="444" w:name="_Toc2260"/>
      <w:bookmarkStart w:id="445" w:name="_Toc7089"/>
      <w:bookmarkStart w:id="446" w:name="_Toc26534"/>
      <w:bookmarkStart w:id="447" w:name="_Toc24633"/>
      <w:bookmarkStart w:id="448" w:name="_Toc4532"/>
      <w:bookmarkStart w:id="449" w:name="_Toc14449"/>
      <w:bookmarkStart w:id="450" w:name="_Toc21471"/>
      <w:r>
        <w:rPr>
          <w:rFonts w:hint="eastAsia" w:ascii="仿宋" w:hAnsi="仿宋" w:eastAsia="仿宋" w:cs="仿宋"/>
          <w:b w:val="0"/>
          <w:bCs w:val="0"/>
          <w:sz w:val="32"/>
          <w:szCs w:val="32"/>
        </w:rPr>
        <w:t>附件2 私募债发行公告</w:t>
      </w:r>
      <w:bookmarkEnd w:id="441"/>
      <w:bookmarkEnd w:id="442"/>
      <w:bookmarkEnd w:id="443"/>
      <w:bookmarkEnd w:id="444"/>
      <w:bookmarkEnd w:id="445"/>
      <w:bookmarkEnd w:id="446"/>
      <w:bookmarkEnd w:id="447"/>
      <w:bookmarkEnd w:id="448"/>
      <w:bookmarkEnd w:id="449"/>
      <w:bookmarkEnd w:id="450"/>
    </w:p>
    <w:p>
      <w:pPr>
        <w:adjustRightInd w:val="0"/>
        <w:snapToGrid w:val="0"/>
        <w:jc w:val="center"/>
        <w:rPr>
          <w:rFonts w:hint="eastAsia" w:ascii="Calibri" w:hAnsi="Calibri" w:eastAsia="黑体" w:cs="黑体"/>
          <w:bCs/>
          <w:sz w:val="44"/>
          <w:szCs w:val="44"/>
          <w:lang w:bidi="ar"/>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【债券全称】</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发行公告</w:t>
      </w:r>
    </w:p>
    <w:p>
      <w:pPr>
        <w:adjustRightInd w:val="0"/>
        <w:snapToGrid w:val="0"/>
        <w:jc w:val="center"/>
        <w:rPr>
          <w:sz w:val="30"/>
        </w:rPr>
      </w:pPr>
      <w:r>
        <w:rPr>
          <w:rFonts w:hint="eastAsia" w:ascii="Calibri" w:hAnsi="Calibri" w:eastAsia="宋体" w:cs="宋体"/>
          <w:sz w:val="30"/>
          <w:lang w:bidi="ar"/>
        </w:rPr>
        <w:t>（内容可根据实际情况调整）</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【发行人】</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【主承销商】</w:t>
      </w:r>
    </w:p>
    <w:p>
      <w:pPr>
        <w:adjustRightInd w:val="0"/>
        <w:snapToGrid w:val="0"/>
        <w:jc w:val="center"/>
        <w:rPr>
          <w:rFonts w:eastAsia="黑体"/>
          <w:bCs/>
          <w:sz w:val="44"/>
          <w:szCs w:val="44"/>
        </w:rPr>
      </w:pPr>
    </w:p>
    <w:p>
      <w:pPr>
        <w:adjustRightInd w:val="0"/>
        <w:snapToGrid w:val="0"/>
        <w:jc w:val="center"/>
        <w:outlineLvl w:val="9"/>
        <w:rPr>
          <w:rFonts w:eastAsia="黑体"/>
          <w:bCs/>
          <w:sz w:val="44"/>
          <w:szCs w:val="44"/>
        </w:rPr>
      </w:pPr>
      <w:r>
        <w:rPr>
          <w:rFonts w:hint="eastAsia" w:ascii="Calibri" w:hAnsi="Calibri" w:eastAsia="黑体" w:cs="黑体"/>
          <w:bCs/>
          <w:sz w:val="44"/>
          <w:szCs w:val="44"/>
          <w:lang w:bidi="ar"/>
        </w:rPr>
        <w:t>【签署日期】</w:t>
      </w:r>
    </w:p>
    <w:p>
      <w:pPr>
        <w:adjustRightInd w:val="0"/>
        <w:snapToGrid w:val="0"/>
        <w:jc w:val="center"/>
      </w:pPr>
      <w:r>
        <w:rPr>
          <w:rFonts w:ascii="Calibri" w:hAnsi="Calibri" w:eastAsia="宋体" w:cs="Times New Roman"/>
          <w:lang w:bidi="ar"/>
        </w:rPr>
        <w:br w:type="page"/>
      </w:r>
    </w:p>
    <w:p>
      <w:pPr>
        <w:adjustRightInd w:val="0"/>
        <w:snapToGrid w:val="0"/>
        <w:spacing w:line="360" w:lineRule="auto"/>
        <w:ind w:firstLine="482" w:firstLineChars="200"/>
      </w:pPr>
      <w:r>
        <w:rPr>
          <w:rFonts w:hint="eastAsia" w:ascii="Calibri" w:hAnsi="Calibri" w:eastAsia="宋体" w:cs="宋体"/>
          <w:b/>
          <w:sz w:val="24"/>
          <w:lang w:bidi="ar"/>
        </w:rPr>
        <w:t>本公司及其董事、监事、高级管理人员保证公告内容真实、准确和完整，并对公告中的虚假记载、误导性陈述或者重大遗漏承担责任。</w:t>
      </w:r>
    </w:p>
    <w:p>
      <w:pPr>
        <w:adjustRightInd w:val="0"/>
        <w:snapToGrid w:val="0"/>
        <w:spacing w:line="360" w:lineRule="auto"/>
        <w:ind w:firstLine="562" w:firstLineChars="200"/>
        <w:jc w:val="center"/>
        <w:outlineLvl w:val="9"/>
        <w:rPr>
          <w:rFonts w:hAnsi="宋体" w:eastAsia="黑体"/>
          <w:b/>
          <w:sz w:val="28"/>
          <w:szCs w:val="28"/>
        </w:rPr>
      </w:pPr>
      <w:r>
        <w:rPr>
          <w:rFonts w:hint="eastAsia" w:ascii="Calibri" w:hAnsi="宋体" w:eastAsia="黑体" w:cs="黑体"/>
          <w:b/>
          <w:sz w:val="28"/>
          <w:szCs w:val="28"/>
          <w:lang w:bidi="ar"/>
        </w:rPr>
        <w:t>重要事项提示</w:t>
      </w:r>
    </w:p>
    <w:p>
      <w:pPr>
        <w:adjustRightInd w:val="0"/>
        <w:snapToGrid w:val="0"/>
        <w:spacing w:line="360" w:lineRule="auto"/>
        <w:ind w:firstLine="480" w:firstLineChars="200"/>
        <w:rPr>
          <w:sz w:val="24"/>
        </w:rPr>
      </w:pPr>
      <w:r>
        <w:rPr>
          <w:rFonts w:ascii="Calibri" w:hAnsi="Calibri" w:eastAsia="宋体" w:cs="Times New Roman"/>
          <w:sz w:val="24"/>
          <w:lang w:bidi="ar"/>
        </w:rPr>
        <w:t>1</w:t>
      </w:r>
      <w:r>
        <w:rPr>
          <w:rFonts w:hint="eastAsia" w:ascii="Calibri" w:hAnsi="Calibri" w:eastAsia="宋体" w:cs="宋体"/>
          <w:sz w:val="24"/>
          <w:lang w:bidi="ar"/>
        </w:rPr>
        <w:t>、【】（以下简称“发行人”或“公司”）已于【】年【】月【】日获得深圳证券交易所关于本次债券符合转让条件的函（深证函【</w:t>
      </w:r>
      <w:r>
        <w:rPr>
          <w:rFonts w:ascii="Calibri" w:hAnsi="Calibri" w:eastAsia="宋体" w:cs="Times New Roman"/>
          <w:sz w:val="24"/>
          <w:lang w:bidi="ar"/>
        </w:rPr>
        <w:t>20XX</w:t>
      </w:r>
      <w:r>
        <w:rPr>
          <w:rFonts w:hint="eastAsia" w:ascii="Calibri" w:hAnsi="Calibri" w:eastAsia="宋体" w:cs="宋体"/>
          <w:sz w:val="24"/>
          <w:lang w:bidi="ar"/>
        </w:rPr>
        <w:t>】</w:t>
      </w:r>
      <w:r>
        <w:rPr>
          <w:rFonts w:ascii="Calibri" w:hAnsi="Calibri" w:eastAsia="宋体" w:cs="Times New Roman"/>
          <w:sz w:val="24"/>
          <w:lang w:bidi="ar"/>
        </w:rPr>
        <w:t>X</w:t>
      </w:r>
      <w:r>
        <w:rPr>
          <w:rFonts w:hint="eastAsia" w:ascii="Calibri" w:hAnsi="Calibri" w:eastAsia="宋体" w:cs="宋体"/>
          <w:sz w:val="24"/>
          <w:lang w:bidi="ar"/>
        </w:rPr>
        <w:t>号）。【债券全称】（以下简称“本期债券”）发行规模不超过【】亿元</w:t>
      </w:r>
      <w:r>
        <w:rPr>
          <w:rFonts w:ascii="Calibri" w:hAnsi="Calibri" w:eastAsia="宋体" w:cs="宋体"/>
          <w:sz w:val="24"/>
          <w:lang w:bidi="ar"/>
        </w:rPr>
        <w:t>。</w:t>
      </w:r>
    </w:p>
    <w:p>
      <w:pPr>
        <w:adjustRightInd w:val="0"/>
        <w:snapToGrid w:val="0"/>
        <w:spacing w:line="360" w:lineRule="auto"/>
        <w:ind w:firstLine="480" w:firstLineChars="200"/>
        <w:rPr>
          <w:sz w:val="24"/>
        </w:rPr>
      </w:pPr>
      <w:r>
        <w:rPr>
          <w:rFonts w:ascii="Calibri" w:hAnsi="Calibri" w:eastAsia="宋体" w:cs="Times New Roman"/>
          <w:sz w:val="24"/>
          <w:lang w:bidi="ar"/>
        </w:rPr>
        <w:t>2</w:t>
      </w:r>
      <w:r>
        <w:rPr>
          <w:rFonts w:hint="eastAsia" w:ascii="Calibri" w:hAnsi="Calibri" w:eastAsia="宋体" w:cs="宋体"/>
          <w:sz w:val="24"/>
          <w:lang w:bidi="ar"/>
        </w:rPr>
        <w:t>、本期债券每张面值为</w:t>
      </w:r>
      <w:r>
        <w:rPr>
          <w:rFonts w:ascii="Calibri" w:hAnsi="Calibri" w:eastAsia="宋体" w:cs="Times New Roman"/>
          <w:sz w:val="24"/>
          <w:lang w:bidi="ar"/>
        </w:rPr>
        <w:t>100</w:t>
      </w:r>
      <w:r>
        <w:rPr>
          <w:rFonts w:hint="eastAsia" w:ascii="Calibri" w:hAnsi="Calibri" w:eastAsia="宋体" w:cs="宋体"/>
          <w:sz w:val="24"/>
          <w:lang w:bidi="ar"/>
        </w:rPr>
        <w:t>元，发行价格为人民币</w:t>
      </w:r>
      <w:r>
        <w:rPr>
          <w:rFonts w:ascii="Calibri" w:hAnsi="Calibri" w:eastAsia="宋体" w:cs="Times New Roman"/>
          <w:sz w:val="24"/>
          <w:lang w:bidi="ar"/>
        </w:rPr>
        <w:t>100</w:t>
      </w:r>
      <w:r>
        <w:rPr>
          <w:rFonts w:hint="eastAsia" w:ascii="Calibri" w:hAnsi="Calibri" w:eastAsia="宋体" w:cs="宋体"/>
          <w:sz w:val="24"/>
          <w:lang w:bidi="ar"/>
        </w:rPr>
        <w:t>元</w:t>
      </w:r>
      <w:r>
        <w:rPr>
          <w:rFonts w:ascii="Calibri" w:hAnsi="Calibri" w:eastAsia="宋体" w:cs="Times New Roman"/>
          <w:sz w:val="24"/>
          <w:lang w:bidi="ar"/>
        </w:rPr>
        <w:t>/</w:t>
      </w:r>
      <w:r>
        <w:rPr>
          <w:rFonts w:hint="eastAsia" w:ascii="Calibri" w:hAnsi="Calibri" w:eastAsia="宋体" w:cs="宋体"/>
          <w:sz w:val="24"/>
          <w:lang w:bidi="ar"/>
        </w:rPr>
        <w:t>张。</w:t>
      </w:r>
    </w:p>
    <w:p>
      <w:pPr>
        <w:adjustRightInd w:val="0"/>
        <w:snapToGrid w:val="0"/>
        <w:spacing w:line="360" w:lineRule="auto"/>
        <w:ind w:firstLine="480" w:firstLineChars="200"/>
        <w:rPr>
          <w:sz w:val="24"/>
        </w:rPr>
      </w:pPr>
      <w:r>
        <w:rPr>
          <w:rFonts w:ascii="Calibri" w:hAnsi="Calibri" w:eastAsia="宋体" w:cs="Times New Roman"/>
          <w:sz w:val="24"/>
          <w:lang w:bidi="ar"/>
        </w:rPr>
        <w:t>3</w:t>
      </w:r>
      <w:r>
        <w:rPr>
          <w:rFonts w:hint="eastAsia" w:ascii="Calibri" w:hAnsi="Calibri" w:eastAsia="宋体" w:cs="宋体"/>
          <w:sz w:val="24"/>
          <w:lang w:bidi="ar"/>
        </w:rPr>
        <w:t>、经发行人自查和主承销商核查，本期债券发行符合《公司债券发行与交易管理办法》、《深圳证券交易所非公开发行公司债券挂牌规则（</w:t>
      </w:r>
      <w:r>
        <w:rPr>
          <w:rFonts w:ascii="Calibri" w:hAnsi="Calibri" w:eastAsia="宋体" w:cs="Times New Roman"/>
          <w:sz w:val="24"/>
          <w:lang w:bidi="ar"/>
        </w:rPr>
        <w:t>2023</w:t>
      </w:r>
      <w:r>
        <w:rPr>
          <w:rFonts w:hint="eastAsia" w:ascii="Calibri" w:hAnsi="Calibri" w:eastAsia="宋体" w:cs="宋体"/>
          <w:sz w:val="24"/>
          <w:lang w:bidi="ar"/>
        </w:rPr>
        <w:t>年修订）》等相关规定。自本次债券取得前述《无异议函》至本说明出具日，发行人不存在中国证券业协会《非公开发行公司债券项目承接负面清单指引（</w:t>
      </w:r>
      <w:r>
        <w:rPr>
          <w:rFonts w:ascii="Calibri" w:hAnsi="Calibri" w:eastAsia="宋体" w:cs="Times New Roman"/>
          <w:sz w:val="24"/>
          <w:lang w:bidi="ar"/>
        </w:rPr>
        <w:t>202</w:t>
      </w:r>
      <w:r>
        <w:rPr>
          <w:rFonts w:hint="eastAsia" w:ascii="Calibri" w:hAnsi="Calibri" w:eastAsia="宋体" w:cs="Times New Roman"/>
          <w:sz w:val="24"/>
          <w:lang w:val="en-US" w:eastAsia="zh-CN" w:bidi="ar"/>
        </w:rPr>
        <w:t>4</w:t>
      </w:r>
      <w:r>
        <w:rPr>
          <w:rFonts w:hint="eastAsia" w:ascii="Calibri" w:hAnsi="Calibri" w:eastAsia="宋体" w:cs="宋体"/>
          <w:sz w:val="24"/>
          <w:lang w:bidi="ar"/>
        </w:rPr>
        <w:t>年修订）》附件规定的各情形或其他限制发行情形，其中对于最近一年经审计的总资产、净资产或营业收入任一项指标占合并报表相关指标比例超过</w:t>
      </w:r>
      <w:r>
        <w:rPr>
          <w:rFonts w:ascii="Calibri" w:hAnsi="Calibri" w:eastAsia="宋体" w:cs="Times New Roman"/>
          <w:sz w:val="24"/>
          <w:lang w:bidi="ar"/>
        </w:rPr>
        <w:t>30%</w:t>
      </w:r>
      <w:r>
        <w:rPr>
          <w:rFonts w:hint="eastAsia" w:ascii="Calibri" w:hAnsi="Calibri" w:eastAsia="宋体" w:cs="宋体"/>
          <w:sz w:val="24"/>
          <w:lang w:bidi="ar"/>
        </w:rPr>
        <w:t>的</w:t>
      </w:r>
      <w:r>
        <w:rPr>
          <w:rFonts w:hint="eastAsia" w:ascii="Calibri" w:hAnsi="Calibri" w:eastAsia="宋体" w:cs="宋体"/>
          <w:sz w:val="24"/>
          <w:lang w:eastAsia="zh-CN" w:bidi="ar"/>
        </w:rPr>
        <w:t>单一</w:t>
      </w:r>
      <w:r>
        <w:rPr>
          <w:rFonts w:hint="eastAsia" w:ascii="Calibri" w:hAnsi="Calibri" w:eastAsia="宋体" w:cs="宋体"/>
          <w:sz w:val="24"/>
          <w:lang w:bidi="ar"/>
        </w:rPr>
        <w:t>子公司存在负面清单第（一）条至第（</w:t>
      </w:r>
      <w:r>
        <w:rPr>
          <w:rFonts w:hint="eastAsia" w:ascii="Calibri" w:hAnsi="Calibri" w:eastAsia="宋体" w:cs="宋体"/>
          <w:sz w:val="24"/>
          <w:lang w:eastAsia="zh-CN" w:bidi="ar"/>
        </w:rPr>
        <w:t>六</w:t>
      </w:r>
      <w:r>
        <w:rPr>
          <w:rFonts w:hint="eastAsia" w:ascii="Calibri" w:hAnsi="Calibri" w:eastAsia="宋体" w:cs="宋体"/>
          <w:sz w:val="24"/>
          <w:lang w:bidi="ar"/>
        </w:rPr>
        <w:t>）条及第（十</w:t>
      </w:r>
      <w:r>
        <w:rPr>
          <w:rFonts w:hint="eastAsia" w:ascii="Calibri" w:hAnsi="Calibri" w:eastAsia="宋体" w:cs="宋体"/>
          <w:sz w:val="24"/>
          <w:lang w:eastAsia="zh-CN" w:bidi="ar"/>
        </w:rPr>
        <w:t>一</w:t>
      </w:r>
      <w:r>
        <w:rPr>
          <w:rFonts w:hint="eastAsia" w:ascii="Calibri" w:hAnsi="Calibri" w:eastAsia="宋体" w:cs="宋体"/>
          <w:sz w:val="24"/>
          <w:lang w:bidi="ar"/>
        </w:rPr>
        <w:t>）条规定情形的，视同发行人属于负面清单范畴。为防范处置重大风险的需要，发行人对风险企业进行并购重组使其成为子公司，且相关子公司负面情形发生在并购重组实施完毕以前的除外。</w:t>
      </w:r>
    </w:p>
    <w:p>
      <w:pPr>
        <w:adjustRightInd w:val="0"/>
        <w:snapToGrid w:val="0"/>
        <w:spacing w:line="360" w:lineRule="auto"/>
        <w:ind w:firstLine="480" w:firstLineChars="200"/>
        <w:rPr>
          <w:sz w:val="24"/>
        </w:rPr>
      </w:pPr>
      <w:r>
        <w:rPr>
          <w:rFonts w:ascii="Calibri" w:hAnsi="Calibri" w:eastAsia="宋体" w:cs="Times New Roman"/>
          <w:sz w:val="24"/>
          <w:lang w:bidi="ar"/>
        </w:rPr>
        <w:t>4</w:t>
      </w:r>
      <w:r>
        <w:rPr>
          <w:rFonts w:hint="eastAsia" w:ascii="Calibri" w:hAnsi="Calibri" w:eastAsia="宋体" w:cs="宋体"/>
          <w:sz w:val="24"/>
          <w:lang w:bidi="ar"/>
        </w:rPr>
        <w:t>、本次发行结束后，公司将尽快向深圳证券交易所提出关于本期债券挂牌转让的申请，具体挂牌时间将另行公告。本期债券符合在深圳证券交易所进行挂牌转让的条件。但本期债券挂牌前，公司财务状况、经营业绩、现金流和信用评级等情况可能出现重大变化，公司无法保证本期债券转让的申请能够获得深圳证券交易所同意，若届时本期债券无法进行转让，投资者有权选择将本期债券回售予本公司。因公司经营与收益等情况变化导致的投资风险和流动性风险，由债券投资者自行承担，本期债券不能在除深圳证券交易所以外的其他交易场所挂牌转让。</w:t>
      </w:r>
    </w:p>
    <w:p>
      <w:pPr>
        <w:adjustRightInd w:val="0"/>
        <w:snapToGrid w:val="0"/>
        <w:spacing w:line="360" w:lineRule="auto"/>
        <w:ind w:firstLine="480" w:firstLineChars="200"/>
        <w:rPr>
          <w:sz w:val="24"/>
        </w:rPr>
      </w:pPr>
      <w:r>
        <w:rPr>
          <w:rFonts w:ascii="Calibri" w:hAnsi="Calibri" w:eastAsia="宋体" w:cs="Times New Roman"/>
          <w:sz w:val="24"/>
          <w:lang w:bidi="ar"/>
        </w:rPr>
        <w:t>5</w:t>
      </w:r>
      <w:r>
        <w:rPr>
          <w:rFonts w:hint="eastAsia" w:ascii="Calibri" w:hAnsi="Calibri" w:eastAsia="宋体" w:cs="宋体"/>
          <w:sz w:val="24"/>
          <w:lang w:bidi="ar"/>
        </w:rPr>
        <w:t>、根据《深圳证券交易所债券交易规则》的规定，采用点击成交方式的，申报数量应当为</w:t>
      </w:r>
      <w:r>
        <w:rPr>
          <w:rFonts w:ascii="Calibri" w:hAnsi="Calibri" w:eastAsia="宋体" w:cs="Times New Roman"/>
          <w:sz w:val="24"/>
          <w:lang w:bidi="ar"/>
        </w:rPr>
        <w:t>10</w:t>
      </w:r>
      <w:r>
        <w:rPr>
          <w:rFonts w:hint="eastAsia" w:ascii="Calibri" w:hAnsi="Calibri" w:eastAsia="宋体" w:cs="宋体"/>
          <w:sz w:val="24"/>
          <w:lang w:bidi="ar"/>
        </w:rPr>
        <w:t>万元面额或者其整数倍；采用询价成交、竞买成交方式的，申报数量应当不低于</w:t>
      </w:r>
      <w:r>
        <w:rPr>
          <w:rFonts w:ascii="Calibri" w:hAnsi="Calibri" w:eastAsia="宋体" w:cs="Times New Roman"/>
          <w:sz w:val="24"/>
          <w:lang w:bidi="ar"/>
        </w:rPr>
        <w:t>10</w:t>
      </w:r>
      <w:r>
        <w:rPr>
          <w:rFonts w:hint="eastAsia" w:ascii="Calibri" w:hAnsi="Calibri" w:eastAsia="宋体" w:cs="宋体"/>
          <w:sz w:val="24"/>
          <w:lang w:bidi="ar"/>
        </w:rPr>
        <w:t>万元面额，且为</w:t>
      </w:r>
      <w:r>
        <w:rPr>
          <w:rFonts w:ascii="Calibri" w:hAnsi="Calibri" w:eastAsia="宋体" w:cs="Times New Roman"/>
          <w:sz w:val="24"/>
          <w:lang w:bidi="ar"/>
        </w:rPr>
        <w:t>1000</w:t>
      </w:r>
      <w:r>
        <w:rPr>
          <w:rFonts w:hint="eastAsia" w:ascii="Calibri" w:hAnsi="Calibri" w:eastAsia="宋体" w:cs="宋体"/>
          <w:sz w:val="24"/>
          <w:lang w:bidi="ar"/>
        </w:rPr>
        <w:t>元面额整数倍；采用协商成交方式的，申报数量应当不低于</w:t>
      </w:r>
      <w:r>
        <w:rPr>
          <w:rFonts w:ascii="Calibri" w:hAnsi="Calibri" w:eastAsia="宋体" w:cs="Times New Roman"/>
          <w:sz w:val="24"/>
          <w:lang w:bidi="ar"/>
        </w:rPr>
        <w:t>1000</w:t>
      </w:r>
      <w:r>
        <w:rPr>
          <w:rFonts w:hint="eastAsia" w:ascii="Calibri" w:hAnsi="Calibri" w:eastAsia="宋体" w:cs="宋体"/>
          <w:sz w:val="24"/>
          <w:lang w:bidi="ar"/>
        </w:rPr>
        <w:t>元面额，且为</w:t>
      </w:r>
      <w:r>
        <w:rPr>
          <w:rFonts w:ascii="Calibri" w:hAnsi="Calibri" w:eastAsia="宋体" w:cs="Times New Roman"/>
          <w:sz w:val="24"/>
          <w:lang w:bidi="ar"/>
        </w:rPr>
        <w:t>100</w:t>
      </w:r>
      <w:r>
        <w:rPr>
          <w:rFonts w:hint="eastAsia" w:ascii="Calibri" w:hAnsi="Calibri" w:eastAsia="宋体" w:cs="宋体"/>
          <w:sz w:val="24"/>
          <w:lang w:bidi="ar"/>
        </w:rPr>
        <w:t>元面额整数倍。请投资者关注相关交易申报数量要求。</w:t>
      </w:r>
    </w:p>
    <w:p>
      <w:pPr>
        <w:adjustRightInd w:val="0"/>
        <w:snapToGrid w:val="0"/>
        <w:spacing w:line="360" w:lineRule="auto"/>
        <w:ind w:firstLine="480" w:firstLineChars="200"/>
        <w:rPr>
          <w:sz w:val="24"/>
        </w:rPr>
      </w:pPr>
      <w:r>
        <w:rPr>
          <w:rFonts w:ascii="Calibri" w:hAnsi="Calibri" w:eastAsia="宋体" w:cs="Times New Roman"/>
          <w:sz w:val="24"/>
          <w:lang w:bidi="ar"/>
        </w:rPr>
        <w:t>6</w:t>
      </w:r>
      <w:r>
        <w:rPr>
          <w:rFonts w:hint="eastAsia" w:ascii="Calibri" w:hAnsi="Calibri" w:eastAsia="宋体" w:cs="宋体"/>
          <w:sz w:val="24"/>
          <w:lang w:bidi="ar"/>
        </w:rPr>
        <w:t>、期限：【】</w:t>
      </w:r>
    </w:p>
    <w:p>
      <w:pPr>
        <w:adjustRightInd w:val="0"/>
        <w:snapToGrid w:val="0"/>
        <w:spacing w:line="360" w:lineRule="auto"/>
        <w:ind w:firstLine="480" w:firstLineChars="200"/>
        <w:rPr>
          <w:sz w:val="24"/>
        </w:rPr>
      </w:pPr>
      <w:r>
        <w:rPr>
          <w:rFonts w:ascii="Calibri" w:hAnsi="Calibri" w:eastAsia="宋体" w:cs="Times New Roman"/>
          <w:sz w:val="24"/>
          <w:lang w:bidi="ar"/>
        </w:rPr>
        <w:t>7</w:t>
      </w:r>
      <w:r>
        <w:rPr>
          <w:rFonts w:hint="eastAsia" w:ascii="Calibri" w:hAnsi="Calibri" w:eastAsia="宋体" w:cs="宋体"/>
          <w:sz w:val="24"/>
          <w:lang w:bidi="ar"/>
        </w:rPr>
        <w:t>、【增信措施（如有）】</w:t>
      </w:r>
    </w:p>
    <w:p>
      <w:pPr>
        <w:adjustRightInd w:val="0"/>
        <w:snapToGrid w:val="0"/>
        <w:spacing w:line="360" w:lineRule="auto"/>
        <w:ind w:firstLine="480" w:firstLineChars="200"/>
        <w:rPr>
          <w:sz w:val="24"/>
        </w:rPr>
      </w:pPr>
      <w:r>
        <w:rPr>
          <w:rFonts w:ascii="Calibri" w:hAnsi="Calibri" w:eastAsia="宋体" w:cs="Times New Roman"/>
          <w:sz w:val="24"/>
          <w:lang w:bidi="ar"/>
        </w:rPr>
        <w:t>8</w:t>
      </w:r>
      <w:r>
        <w:rPr>
          <w:rFonts w:hint="eastAsia" w:ascii="Calibri" w:hAnsi="Calibri" w:eastAsia="宋体" w:cs="宋体"/>
          <w:sz w:val="24"/>
          <w:lang w:bidi="ar"/>
        </w:rPr>
        <w:t>、【特殊权利条款（如有）】</w:t>
      </w:r>
    </w:p>
    <w:p>
      <w:pPr>
        <w:adjustRightInd w:val="0"/>
        <w:snapToGrid w:val="0"/>
        <w:spacing w:line="360" w:lineRule="auto"/>
        <w:ind w:firstLine="480" w:firstLineChars="200"/>
        <w:rPr>
          <w:sz w:val="24"/>
        </w:rPr>
      </w:pPr>
      <w:r>
        <w:rPr>
          <w:rFonts w:ascii="Calibri" w:hAnsi="Calibri" w:eastAsia="宋体" w:cs="Times New Roman"/>
          <w:sz w:val="24"/>
          <w:lang w:bidi="ar"/>
        </w:rPr>
        <w:t>9</w:t>
      </w:r>
      <w:r>
        <w:rPr>
          <w:rFonts w:hint="eastAsia" w:ascii="Calibri" w:hAnsi="Calibri" w:eastAsia="宋体" w:cs="宋体"/>
          <w:sz w:val="24"/>
          <w:lang w:bidi="ar"/>
        </w:rPr>
        <w:t>、本期债券面向拥有中国证券登记结算有限责任公司深圳分公司开立的合格</w:t>
      </w:r>
      <w:r>
        <w:rPr>
          <w:rFonts w:ascii="Calibri" w:hAnsi="Calibri" w:eastAsia="宋体" w:cs="Times New Roman"/>
          <w:sz w:val="24"/>
          <w:lang w:bidi="ar"/>
        </w:rPr>
        <w:t>A</w:t>
      </w:r>
      <w:r>
        <w:rPr>
          <w:rFonts w:hint="eastAsia" w:ascii="Calibri" w:hAnsi="Calibri" w:eastAsia="宋体" w:cs="宋体"/>
          <w:sz w:val="24"/>
          <w:lang w:bidi="ar"/>
        </w:rPr>
        <w:t>股证券账户的专业投资者中的机构投资者（法律、法规禁止购买者除外）发行。</w:t>
      </w:r>
    </w:p>
    <w:p>
      <w:pPr>
        <w:adjustRightInd w:val="0"/>
        <w:snapToGrid w:val="0"/>
        <w:spacing w:line="360" w:lineRule="auto"/>
        <w:ind w:firstLine="480" w:firstLineChars="200"/>
        <w:rPr>
          <w:sz w:val="24"/>
        </w:rPr>
      </w:pPr>
      <w:r>
        <w:rPr>
          <w:rFonts w:ascii="Calibri" w:hAnsi="Calibri" w:eastAsia="宋体" w:cs="Times New Roman"/>
          <w:sz w:val="24"/>
          <w:lang w:bidi="ar"/>
        </w:rPr>
        <w:t>10</w:t>
      </w:r>
      <w:r>
        <w:rPr>
          <w:rFonts w:hint="eastAsia" w:ascii="Calibri" w:hAnsi="Calibri" w:eastAsia="宋体" w:cs="宋体"/>
          <w:sz w:val="24"/>
          <w:lang w:bidi="ar"/>
        </w:rPr>
        <w:t>、投资者不得非法利用他人账户或资金账户进行认购，也不得违规融资或替代违规融资认购。投资者认购本期债券应遵守相关法律法规和中国证券监督管理委员会的有关规定，并自行承担相应的法律责任。</w:t>
      </w:r>
    </w:p>
    <w:p>
      <w:pPr>
        <w:adjustRightInd w:val="0"/>
        <w:snapToGrid w:val="0"/>
        <w:spacing w:line="360" w:lineRule="auto"/>
        <w:ind w:firstLine="480" w:firstLineChars="200"/>
        <w:rPr>
          <w:sz w:val="24"/>
        </w:rPr>
      </w:pPr>
      <w:r>
        <w:rPr>
          <w:rFonts w:ascii="Calibri" w:hAnsi="Calibri" w:eastAsia="宋体" w:cs="Times New Roman"/>
          <w:sz w:val="24"/>
          <w:lang w:bidi="ar"/>
        </w:rPr>
        <w:t>11</w:t>
      </w:r>
      <w:r>
        <w:rPr>
          <w:rFonts w:hint="eastAsia" w:ascii="Calibri" w:hAnsi="Calibri" w:eastAsia="宋体" w:cs="宋体"/>
          <w:sz w:val="24"/>
          <w:lang w:bidi="ar"/>
        </w:rPr>
        <w:t>、敬请投资者注意本期公司债券的发行方式、发行对象、发行数量、发行时间、认购办法、认购程序、认购价格和认购资金缴纳等具体规定。</w:t>
      </w:r>
    </w:p>
    <w:p>
      <w:pPr>
        <w:adjustRightInd w:val="0"/>
        <w:snapToGrid w:val="0"/>
        <w:spacing w:line="360" w:lineRule="auto"/>
        <w:ind w:firstLine="480" w:firstLineChars="200"/>
        <w:rPr>
          <w:sz w:val="24"/>
        </w:rPr>
      </w:pPr>
      <w:r>
        <w:rPr>
          <w:rFonts w:ascii="Calibri" w:hAnsi="Calibri" w:eastAsia="宋体" w:cs="Times New Roman"/>
          <w:sz w:val="24"/>
          <w:lang w:bidi="ar"/>
        </w:rPr>
        <w:t>12</w:t>
      </w:r>
      <w:r>
        <w:rPr>
          <w:rFonts w:hint="eastAsia" w:ascii="Calibri" w:hAnsi="Calibri" w:eastAsia="宋体" w:cs="宋体"/>
          <w:sz w:val="24"/>
          <w:lang w:bidi="ar"/>
        </w:rPr>
        <w:t>、本公告仅对本期债券发行的有关事项进行说明，不构成针对本期债券的任何投资建议。投资者欲详细了解本期债券情况，请仔细阅读《【债券全称】募集说明书》及相关文件。</w:t>
      </w:r>
    </w:p>
    <w:p>
      <w:pPr>
        <w:adjustRightInd w:val="0"/>
        <w:snapToGrid w:val="0"/>
        <w:spacing w:line="360" w:lineRule="auto"/>
        <w:ind w:firstLine="480" w:firstLineChars="200"/>
        <w:rPr>
          <w:rFonts w:ascii="Calibri" w:hAnsi="Calibri" w:eastAsia="宋体" w:cs="宋体"/>
          <w:sz w:val="24"/>
          <w:lang w:bidi="ar"/>
        </w:rPr>
      </w:pPr>
      <w:r>
        <w:rPr>
          <w:rFonts w:ascii="Calibri" w:hAnsi="Calibri" w:eastAsia="宋体" w:cs="Times New Roman"/>
          <w:sz w:val="24"/>
          <w:lang w:bidi="ar"/>
        </w:rPr>
        <w:t>13</w:t>
      </w:r>
      <w:r>
        <w:rPr>
          <w:rFonts w:hint="eastAsia" w:ascii="Calibri" w:hAnsi="Calibri" w:eastAsia="宋体" w:cs="宋体"/>
          <w:sz w:val="24"/>
          <w:lang w:bidi="ar"/>
        </w:rPr>
        <w:t>、发行公告中关于本期债券的表述如有与募集说明书不一致的，以募集说明书为准。</w:t>
      </w:r>
    </w:p>
    <w:p>
      <w:pPr>
        <w:adjustRightInd w:val="0"/>
        <w:snapToGrid w:val="0"/>
        <w:spacing w:line="360" w:lineRule="auto"/>
        <w:ind w:firstLine="480" w:firstLineChars="200"/>
        <w:rPr>
          <w:rFonts w:ascii="Calibri" w:hAnsi="Calibri" w:eastAsia="宋体" w:cs="宋体"/>
          <w:sz w:val="24"/>
          <w:lang w:bidi="ar"/>
        </w:rPr>
      </w:pPr>
      <w:r>
        <w:rPr>
          <w:rFonts w:ascii="Calibri" w:hAnsi="Calibri" w:eastAsia="宋体" w:cs="宋体"/>
          <w:sz w:val="24"/>
          <w:lang w:bidi="ar"/>
        </w:rPr>
        <w:t>14、【取消发行情形（如有）】</w:t>
      </w:r>
    </w:p>
    <w:p>
      <w:pPr>
        <w:adjustRightInd w:val="0"/>
        <w:snapToGrid w:val="0"/>
        <w:spacing w:line="360" w:lineRule="auto"/>
        <w:ind w:firstLine="480" w:firstLineChars="200"/>
        <w:rPr>
          <w:rFonts w:hint="eastAsia" w:ascii="Calibri" w:hAnsi="Calibri" w:eastAsia="宋体" w:cs="宋体"/>
          <w:sz w:val="24"/>
          <w:lang w:val="en-US" w:eastAsia="zh-CN" w:bidi="ar"/>
        </w:rPr>
      </w:pPr>
      <w:r>
        <w:rPr>
          <w:rFonts w:hint="eastAsia" w:ascii="Calibri" w:hAnsi="Calibri" w:eastAsia="宋体" w:cs="宋体"/>
          <w:sz w:val="24"/>
          <w:lang w:val="en-US" w:eastAsia="zh-CN" w:bidi="ar"/>
        </w:rPr>
        <w:t>15、</w:t>
      </w:r>
      <w:r>
        <w:rPr>
          <w:rFonts w:hint="eastAsia" w:ascii="Calibri" w:hAnsi="Calibri" w:eastAsia="宋体" w:cs="宋体"/>
          <w:sz w:val="24"/>
          <w:szCs w:val="22"/>
          <w:lang w:val="zh-CN" w:bidi="ar"/>
        </w:rPr>
        <w:t>发行人承诺合规发行，不从事《关于进一步规范债券发行业务有关事项的通知》第三条第二款规定的行为；投资者向承销机构承诺审慎合理投资，不从事《关于进一步规范债券发行业务有关事项的通知》第八条第二款、第三款规定的行为。</w:t>
      </w:r>
    </w:p>
    <w:p>
      <w:pPr>
        <w:adjustRightInd w:val="0"/>
        <w:snapToGrid w:val="0"/>
        <w:spacing w:line="360" w:lineRule="auto"/>
        <w:ind w:firstLine="480" w:firstLineChars="200"/>
        <w:rPr>
          <w:rFonts w:hint="default" w:ascii="Calibri" w:hAnsi="Calibri" w:eastAsia="宋体" w:cs="宋体"/>
          <w:sz w:val="24"/>
          <w:lang w:val="en-US" w:eastAsia="zh-CN" w:bidi="ar"/>
        </w:rPr>
      </w:pPr>
    </w:p>
    <w:p>
      <w:pPr>
        <w:adjustRightInd w:val="0"/>
        <w:snapToGrid w:val="0"/>
        <w:spacing w:line="360" w:lineRule="auto"/>
        <w:ind w:firstLine="480" w:firstLineChars="200"/>
        <w:rPr>
          <w:sz w:val="24"/>
        </w:rPr>
      </w:pPr>
    </w:p>
    <w:p>
      <w:pPr>
        <w:adjustRightInd w:val="0"/>
        <w:snapToGrid w:val="0"/>
        <w:spacing w:line="360" w:lineRule="auto"/>
        <w:ind w:firstLine="420" w:firstLineChars="200"/>
      </w:pPr>
      <w:r>
        <w:rPr>
          <w:rFonts w:ascii="Calibri" w:hAnsi="Calibri" w:eastAsia="宋体" w:cs="Times New Roman"/>
          <w:lang w:bidi="ar"/>
        </w:rPr>
        <w:br w:type="page"/>
      </w:r>
    </w:p>
    <w:p>
      <w:pPr>
        <w:adjustRightInd w:val="0"/>
        <w:snapToGrid w:val="0"/>
        <w:spacing w:line="360" w:lineRule="auto"/>
        <w:jc w:val="center"/>
        <w:outlineLvl w:val="9"/>
        <w:rPr>
          <w:b/>
          <w:sz w:val="28"/>
          <w:szCs w:val="28"/>
        </w:rPr>
      </w:pPr>
      <w:r>
        <w:rPr>
          <w:rFonts w:hint="eastAsia" w:ascii="Calibri" w:hAnsi="Calibri" w:eastAsia="宋体" w:cs="宋体"/>
          <w:b/>
          <w:sz w:val="28"/>
          <w:szCs w:val="28"/>
          <w:lang w:bidi="ar"/>
        </w:rPr>
        <w:t>释义</w:t>
      </w:r>
    </w:p>
    <w:p>
      <w:pPr>
        <w:adjustRightInd w:val="0"/>
        <w:snapToGrid w:val="0"/>
        <w:spacing w:line="360" w:lineRule="auto"/>
        <w:rPr>
          <w:sz w:val="24"/>
          <w:szCs w:val="24"/>
        </w:rPr>
      </w:pPr>
      <w:r>
        <w:rPr>
          <w:rFonts w:hint="eastAsia" w:ascii="Calibri" w:hAnsi="Calibri" w:eastAsia="宋体" w:cs="宋体"/>
          <w:sz w:val="24"/>
          <w:szCs w:val="24"/>
          <w:lang w:bidi="ar"/>
        </w:rPr>
        <w:t>除非特别提示，本公告的下列词语含义如下：</w:t>
      </w:r>
    </w:p>
    <w:tbl>
      <w:tblPr>
        <w:tblStyle w:val="30"/>
        <w:tblW w:w="83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456"/>
        <w:gridCol w:w="536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4" w:space="0"/>
              <w:bottom w:val="doub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456" w:type="dxa"/>
            <w:tcBorders>
              <w:top w:val="single" w:color="auto" w:sz="4" w:space="0"/>
              <w:left w:val="single" w:color="auto" w:sz="4" w:space="0"/>
              <w:bottom w:val="doub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c>
          <w:tcPr>
            <w:tcW w:w="5364" w:type="dxa"/>
            <w:tcBorders>
              <w:top w:val="single" w:color="auto" w:sz="4" w:space="0"/>
              <w:left w:val="single" w:color="auto" w:sz="4" w:space="0"/>
              <w:bottom w:val="double" w:color="auto" w:sz="4" w:space="0"/>
              <w:right w:val="doub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kern w:val="0"/>
                <w:szCs w:val="21"/>
              </w:rPr>
            </w:pPr>
          </w:p>
        </w:tc>
      </w:tr>
    </w:tbl>
    <w:p>
      <w:pPr>
        <w:adjustRightInd w:val="0"/>
        <w:snapToGrid w:val="0"/>
        <w:spacing w:line="360" w:lineRule="auto"/>
      </w:pPr>
    </w:p>
    <w:p>
      <w:pPr>
        <w:adjustRightInd w:val="0"/>
        <w:snapToGrid w:val="0"/>
      </w:pPr>
      <w:r>
        <w:rPr>
          <w:rFonts w:ascii="Calibri" w:hAnsi="Calibri" w:eastAsia="宋体" w:cs="Times New Roman"/>
          <w:lang w:bidi="ar"/>
        </w:rPr>
        <w:br w:type="page"/>
      </w:r>
    </w:p>
    <w:p>
      <w:pPr>
        <w:pStyle w:val="89"/>
        <w:widowControl/>
        <w:numPr>
          <w:ilvl w:val="0"/>
          <w:numId w:val="4"/>
        </w:numPr>
        <w:adjustRightInd w:val="0"/>
        <w:snapToGrid w:val="0"/>
        <w:spacing w:line="360" w:lineRule="auto"/>
        <w:ind w:firstLineChars="0"/>
        <w:outlineLvl w:val="9"/>
        <w:rPr>
          <w:b/>
          <w:sz w:val="28"/>
          <w:szCs w:val="28"/>
        </w:rPr>
      </w:pPr>
      <w:r>
        <w:rPr>
          <w:rFonts w:hint="eastAsia" w:cs="宋体"/>
          <w:b/>
          <w:sz w:val="28"/>
          <w:szCs w:val="28"/>
        </w:rPr>
        <w:t>本期债券发行基本情况</w:t>
      </w:r>
    </w:p>
    <w:p>
      <w:pPr>
        <w:adjustRightInd w:val="0"/>
        <w:snapToGrid w:val="0"/>
        <w:spacing w:line="360" w:lineRule="auto"/>
        <w:rPr>
          <w:b/>
          <w:sz w:val="28"/>
          <w:szCs w:val="28"/>
        </w:rPr>
      </w:pPr>
      <w:r>
        <w:rPr>
          <w:rFonts w:hint="eastAsia" w:ascii="Calibri" w:hAnsi="Calibri" w:eastAsia="宋体" w:cs="宋体"/>
          <w:b/>
          <w:sz w:val="28"/>
          <w:szCs w:val="28"/>
          <w:lang w:bidi="ar"/>
        </w:rPr>
        <w:t>【注：可参考深圳证券交易所公司债券发行上市审核业务指南第</w:t>
      </w:r>
      <w:r>
        <w:rPr>
          <w:rFonts w:ascii="Calibri" w:hAnsi="Calibri" w:eastAsia="宋体" w:cs="Times New Roman"/>
          <w:b/>
          <w:sz w:val="28"/>
          <w:szCs w:val="28"/>
          <w:lang w:bidi="ar"/>
        </w:rPr>
        <w:t>1</w:t>
      </w:r>
      <w:r>
        <w:rPr>
          <w:rFonts w:hint="eastAsia" w:ascii="Calibri" w:hAnsi="Calibri" w:eastAsia="宋体" w:cs="宋体"/>
          <w:b/>
          <w:sz w:val="28"/>
          <w:szCs w:val="28"/>
          <w:lang w:bidi="ar"/>
        </w:rPr>
        <w:t>号——募集说明书（参考文本）（</w:t>
      </w:r>
      <w:r>
        <w:rPr>
          <w:rFonts w:ascii="Calibri" w:hAnsi="Calibri" w:eastAsia="宋体" w:cs="Times New Roman"/>
          <w:b/>
          <w:sz w:val="28"/>
          <w:szCs w:val="28"/>
          <w:lang w:bidi="ar"/>
        </w:rPr>
        <w:t>202</w:t>
      </w:r>
      <w:r>
        <w:rPr>
          <w:rFonts w:hint="eastAsia" w:ascii="Calibri" w:hAnsi="Calibri" w:eastAsia="宋体" w:cs="Times New Roman"/>
          <w:b/>
          <w:sz w:val="28"/>
          <w:szCs w:val="28"/>
          <w:lang w:val="en-US" w:eastAsia="zh-CN" w:bidi="ar"/>
        </w:rPr>
        <w:t>4</w:t>
      </w:r>
      <w:r>
        <w:rPr>
          <w:rFonts w:hint="eastAsia" w:ascii="Calibri" w:hAnsi="Calibri" w:eastAsia="宋体" w:cs="宋体"/>
          <w:b/>
          <w:sz w:val="28"/>
          <w:szCs w:val="28"/>
          <w:lang w:bidi="ar"/>
        </w:rPr>
        <w:t>年修订）发行概况章节】</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w:t>
      </w:r>
      <w:r>
        <w:rPr>
          <w:rFonts w:hint="eastAsia" w:ascii="Calibri" w:hAnsi="Calibri" w:eastAsia="宋体" w:cs="宋体"/>
          <w:kern w:val="0"/>
          <w:sz w:val="24"/>
          <w:lang w:bidi="ar"/>
        </w:rPr>
        <w:t>、发行主体：【】</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w:t>
      </w:r>
      <w:r>
        <w:rPr>
          <w:rFonts w:hint="eastAsia" w:ascii="Calibri" w:hAnsi="Calibri" w:eastAsia="宋体" w:cs="宋体"/>
          <w:kern w:val="0"/>
          <w:sz w:val="24"/>
          <w:lang w:bidi="ar"/>
        </w:rPr>
        <w:t>、债券全称：【】，</w:t>
      </w:r>
      <w:r>
        <w:rPr>
          <w:rFonts w:hint="eastAsia" w:ascii="Calibri" w:hAnsi="Calibri" w:eastAsia="宋体" w:cs="宋体"/>
          <w:kern w:val="0"/>
          <w:sz w:val="24"/>
          <w:lang w:eastAsia="zh-CN" w:bidi="ar"/>
        </w:rPr>
        <w:t>证券简称</w:t>
      </w:r>
      <w:r>
        <w:rPr>
          <w:rFonts w:hint="eastAsia" w:ascii="Calibri" w:hAnsi="Calibri" w:eastAsia="宋体" w:cs="宋体"/>
          <w:kern w:val="0"/>
          <w:sz w:val="24"/>
          <w:lang w:bidi="ar"/>
        </w:rPr>
        <w:t>：“【】”</w:t>
      </w:r>
      <w:r>
        <w:rPr>
          <w:rFonts w:hint="eastAsia" w:ascii="Calibri" w:hAnsi="Calibri" w:eastAsia="宋体" w:cs="宋体"/>
          <w:kern w:val="0"/>
          <w:sz w:val="24"/>
          <w:lang w:eastAsia="zh-CN" w:bidi="ar"/>
        </w:rPr>
        <w:t>，证券简称（短）：“【】”，债券代码：【】</w:t>
      </w:r>
      <w:r>
        <w:rPr>
          <w:rFonts w:hint="eastAsia"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3</w:t>
      </w:r>
      <w:r>
        <w:rPr>
          <w:rFonts w:hint="eastAsia" w:ascii="Calibri" w:hAnsi="Calibri" w:eastAsia="宋体" w:cs="宋体"/>
          <w:kern w:val="0"/>
          <w:sz w:val="24"/>
          <w:lang w:bidi="ar"/>
        </w:rPr>
        <w:t>、发行规模：本期债券的发行规模不超过【】亿元。</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4</w:t>
      </w:r>
      <w:r>
        <w:rPr>
          <w:rFonts w:hint="eastAsia" w:ascii="Calibri" w:hAnsi="Calibri" w:eastAsia="宋体" w:cs="宋体"/>
          <w:kern w:val="0"/>
          <w:sz w:val="24"/>
          <w:lang w:bidi="ar"/>
        </w:rPr>
        <w:t>、票面金额及发行价格：本期债券票面金额为</w:t>
      </w:r>
      <w:r>
        <w:rPr>
          <w:rFonts w:ascii="Calibri" w:hAnsi="Calibri" w:eastAsia="宋体" w:cs="Times New Roman"/>
          <w:kern w:val="0"/>
          <w:sz w:val="24"/>
          <w:lang w:bidi="ar"/>
        </w:rPr>
        <w:t>100</w:t>
      </w:r>
      <w:r>
        <w:rPr>
          <w:rFonts w:hint="eastAsia" w:ascii="Calibri" w:hAnsi="Calibri" w:eastAsia="宋体" w:cs="宋体"/>
          <w:kern w:val="0"/>
          <w:sz w:val="24"/>
          <w:lang w:bidi="ar"/>
        </w:rPr>
        <w:t>元，按面值平价发行。</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5</w:t>
      </w:r>
      <w:r>
        <w:rPr>
          <w:rFonts w:hint="eastAsia" w:ascii="Calibri" w:hAnsi="Calibri" w:eastAsia="宋体" w:cs="宋体"/>
          <w:kern w:val="0"/>
          <w:sz w:val="24"/>
          <w:lang w:bidi="ar"/>
        </w:rPr>
        <w:t>、债券期限：</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6</w:t>
      </w:r>
      <w:r>
        <w:rPr>
          <w:rFonts w:hint="eastAsia" w:ascii="Calibri" w:hAnsi="Calibri" w:eastAsia="宋体" w:cs="宋体"/>
          <w:kern w:val="0"/>
          <w:sz w:val="24"/>
          <w:lang w:bidi="ar"/>
        </w:rPr>
        <w:t>、债券形式：实名制记账式公司债券。投资者认购的本期债券在证券登记机构开立的托管账户托管记载。本期债券发行结束后，债券持有人可按照有关主管机构的规定进行债券的转让、质押等操作。</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7</w:t>
      </w:r>
      <w:r>
        <w:rPr>
          <w:rFonts w:hint="eastAsia" w:ascii="Calibri" w:hAnsi="Calibri" w:eastAsia="宋体" w:cs="宋体"/>
          <w:kern w:val="0"/>
          <w:sz w:val="24"/>
          <w:lang w:bidi="ar"/>
        </w:rPr>
        <w:t>、债券利率及确定方式：</w:t>
      </w:r>
      <w:r>
        <w:rPr>
          <w:rFonts w:ascii="Calibri" w:hAnsi="Calibri" w:eastAsia="宋体" w:cs="宋体"/>
          <w:kern w:val="0"/>
          <w:sz w:val="24"/>
          <w:lang w:bidi="ar"/>
        </w:rPr>
        <w:t>【】/【如为协议发行】债券利率：【】。</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8</w:t>
      </w:r>
      <w:r>
        <w:rPr>
          <w:rFonts w:hint="eastAsia" w:ascii="Calibri" w:hAnsi="Calibri" w:eastAsia="宋体" w:cs="宋体"/>
          <w:kern w:val="0"/>
          <w:sz w:val="24"/>
          <w:lang w:bidi="ar"/>
        </w:rPr>
        <w:t>、还本付息的期限和方式：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9</w:t>
      </w:r>
      <w:r>
        <w:rPr>
          <w:rFonts w:hint="eastAsia" w:ascii="Calibri" w:hAnsi="Calibri" w:eastAsia="宋体" w:cs="宋体"/>
          <w:kern w:val="0"/>
          <w:sz w:val="24"/>
          <w:lang w:bidi="ar"/>
        </w:rPr>
        <w:t>、起息日：【】年【】月【】日。</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10</w:t>
      </w:r>
      <w:r>
        <w:rPr>
          <w:rFonts w:hint="eastAsia" w:ascii="Calibri" w:hAnsi="Calibri" w:eastAsia="宋体" w:cs="宋体"/>
          <w:kern w:val="0"/>
          <w:sz w:val="24"/>
          <w:lang w:bidi="ar"/>
        </w:rPr>
        <w:t>、付息、兑付方式：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11</w:t>
      </w:r>
      <w:r>
        <w:rPr>
          <w:rFonts w:hint="eastAsia" w:ascii="Calibri" w:hAnsi="Calibri" w:eastAsia="宋体" w:cs="宋体"/>
          <w:kern w:val="0"/>
          <w:sz w:val="24"/>
          <w:lang w:bidi="ar"/>
        </w:rPr>
        <w:t>、付息日：【】年至【】年每年的【】月【】日为上一个计息年度的付息日（如遇法定及政府指定节假日或休息日，则顺延至其后的第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个交易日；顺延期间付息款项不另计利息）。如投资者行使回售选择权，则其回售部分债券的付息日为【】年至【】年每年的【】月【】日（如遇法定及政府指定节假日或休息日，则顺延至其后的第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个交易日；顺延期间付息款项不另计利息）。【如为一次还本付息的短债不适用】</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12</w:t>
      </w:r>
      <w:r>
        <w:rPr>
          <w:rFonts w:hint="eastAsia" w:ascii="Calibri" w:hAnsi="Calibri" w:eastAsia="宋体" w:cs="宋体"/>
          <w:kern w:val="0"/>
          <w:sz w:val="24"/>
          <w:lang w:bidi="ar"/>
        </w:rPr>
        <w:t>、兑付日：本期债券的兑付日为【】年【】月【】日（如遇法定及政府指定节假日或休息日，则顺延至其后的第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个交易日；顺延期间兑付款项不另计利息）。如投资者行使回售选择权，则其回售部分债券的兑付日为【】年【】月【】日（如遇法定及政府指定节假日或休息日，则顺延至其后的第</w:t>
      </w:r>
      <w:r>
        <w:rPr>
          <w:rFonts w:ascii="Calibri" w:hAnsi="Calibri" w:eastAsia="宋体" w:cs="Times New Roman"/>
          <w:kern w:val="0"/>
          <w:sz w:val="24"/>
          <w:lang w:bidi="ar"/>
        </w:rPr>
        <w:t>1</w:t>
      </w:r>
      <w:r>
        <w:rPr>
          <w:rFonts w:hint="eastAsia" w:ascii="Calibri" w:hAnsi="Calibri" w:eastAsia="宋体" w:cs="宋体"/>
          <w:kern w:val="0"/>
          <w:sz w:val="24"/>
          <w:lang w:bidi="ar"/>
        </w:rPr>
        <w:t>个交易日；顺延期间兑付款项不另计利息）。（如债券期限不为整数年份且为到期一次还本付息的，本期债券于兑付日向投资者支付的利息为投资者截至利息登记日收市时所持有的债券面值</w:t>
      </w:r>
      <w:r>
        <w:rPr>
          <w:rFonts w:ascii="Calibri" w:hAnsi="Calibri" w:eastAsia="宋体" w:cs="Times New Roman"/>
          <w:kern w:val="0"/>
          <w:sz w:val="24"/>
          <w:lang w:bidi="ar"/>
        </w:rPr>
        <w:t>*</w:t>
      </w:r>
      <w:r>
        <w:rPr>
          <w:rFonts w:hint="eastAsia" w:ascii="Calibri" w:hAnsi="Calibri" w:eastAsia="宋体" w:cs="宋体"/>
          <w:kern w:val="0"/>
          <w:sz w:val="24"/>
          <w:lang w:bidi="ar"/>
        </w:rPr>
        <w:t>实际计息天数</w:t>
      </w:r>
      <w:r>
        <w:rPr>
          <w:rFonts w:ascii="Calibri" w:hAnsi="Calibri" w:eastAsia="宋体" w:cs="Times New Roman"/>
          <w:kern w:val="0"/>
          <w:sz w:val="24"/>
          <w:lang w:bidi="ar"/>
        </w:rPr>
        <w:t>*</w:t>
      </w:r>
      <w:r>
        <w:rPr>
          <w:rFonts w:hint="eastAsia" w:ascii="Calibri" w:hAnsi="Calibri" w:eastAsia="宋体" w:cs="宋体"/>
          <w:kern w:val="0"/>
          <w:sz w:val="24"/>
          <w:lang w:bidi="ar"/>
        </w:rPr>
        <w:t>票面利率</w:t>
      </w:r>
      <w:r>
        <w:rPr>
          <w:rFonts w:ascii="Calibri" w:hAnsi="Calibri" w:eastAsia="宋体" w:cs="Times New Roman"/>
          <w:kern w:val="0"/>
          <w:sz w:val="24"/>
          <w:lang w:bidi="ar"/>
        </w:rPr>
        <w:t>/365</w:t>
      </w:r>
      <w:r>
        <w:rPr>
          <w:rFonts w:hint="eastAsia" w:ascii="Calibri" w:hAnsi="Calibri" w:eastAsia="宋体" w:cs="宋体"/>
          <w:kern w:val="0"/>
          <w:sz w:val="24"/>
          <w:lang w:bidi="ar"/>
        </w:rPr>
        <w:t>天，闰年的</w:t>
      </w:r>
      <w:r>
        <w:rPr>
          <w:rFonts w:ascii="Calibri" w:hAnsi="Calibri" w:eastAsia="宋体" w:cs="Times New Roman"/>
          <w:kern w:val="0"/>
          <w:sz w:val="24"/>
          <w:lang w:bidi="ar"/>
        </w:rPr>
        <w:t>2</w:t>
      </w:r>
      <w:r>
        <w:rPr>
          <w:rFonts w:hint="eastAsia" w:ascii="Calibri" w:hAnsi="Calibri" w:eastAsia="宋体" w:cs="宋体"/>
          <w:kern w:val="0"/>
          <w:sz w:val="24"/>
          <w:lang w:bidi="ar"/>
        </w:rPr>
        <w:t>月</w:t>
      </w:r>
      <w:r>
        <w:rPr>
          <w:rFonts w:ascii="Calibri" w:hAnsi="Calibri" w:eastAsia="宋体" w:cs="Times New Roman"/>
          <w:kern w:val="0"/>
          <w:sz w:val="24"/>
          <w:lang w:bidi="ar"/>
        </w:rPr>
        <w:t>29</w:t>
      </w:r>
      <w:r>
        <w:rPr>
          <w:rFonts w:hint="eastAsia" w:ascii="Calibri" w:hAnsi="Calibri" w:eastAsia="宋体" w:cs="宋体"/>
          <w:kern w:val="0"/>
          <w:sz w:val="24"/>
          <w:lang w:bidi="ar"/>
        </w:rPr>
        <w:t>日不计入实际计息天数。）</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13</w:t>
      </w:r>
      <w:r>
        <w:rPr>
          <w:rFonts w:hint="eastAsia" w:ascii="Calibri" w:hAnsi="Calibri" w:eastAsia="宋体" w:cs="宋体"/>
          <w:kern w:val="0"/>
          <w:sz w:val="24"/>
          <w:lang w:bidi="ar"/>
        </w:rPr>
        <w:t>、【特殊权利条款】</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14</w:t>
      </w:r>
      <w:r>
        <w:rPr>
          <w:rFonts w:hint="eastAsia" w:ascii="Calibri" w:hAnsi="Calibri" w:eastAsia="宋体" w:cs="宋体"/>
          <w:kern w:val="0"/>
          <w:sz w:val="24"/>
          <w:lang w:bidi="ar"/>
        </w:rPr>
        <w:t>、增信措施：【】</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15</w:t>
      </w:r>
      <w:r>
        <w:rPr>
          <w:rFonts w:hint="eastAsia" w:ascii="Calibri" w:hAnsi="Calibri" w:eastAsia="宋体" w:cs="宋体"/>
          <w:kern w:val="0"/>
          <w:sz w:val="24"/>
          <w:lang w:bidi="ar"/>
        </w:rPr>
        <w:t>、信用级别及资信评级机构：根据【】出具的《【公司债券全称】信用评级报告》，发行人的主体信用等级为【】，评级展望为【】，本期债券信用等级为【】。在本期债券的存续期内，资信评级机构每年将对【公司主体信用等级】和</w:t>
      </w:r>
      <w:r>
        <w:rPr>
          <w:rFonts w:ascii="Calibri" w:hAnsi="Calibri" w:eastAsia="宋体" w:cs="Times New Roman"/>
          <w:kern w:val="0"/>
          <w:sz w:val="24"/>
          <w:lang w:bidi="ar"/>
        </w:rPr>
        <w:t>\</w:t>
      </w:r>
      <w:r>
        <w:rPr>
          <w:rFonts w:hint="eastAsia" w:ascii="Calibri" w:hAnsi="Calibri" w:eastAsia="宋体" w:cs="宋体"/>
          <w:kern w:val="0"/>
          <w:sz w:val="24"/>
          <w:lang w:bidi="ar"/>
        </w:rPr>
        <w:t>或【本期债券信用等级】进行一次跟踪评级（适用于资信评级机构对本次债券存续期进行跟踪评级情形）。</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16</w:t>
      </w:r>
      <w:r>
        <w:rPr>
          <w:rFonts w:hint="eastAsia" w:ascii="Calibri" w:hAnsi="Calibri" w:eastAsia="宋体" w:cs="宋体"/>
          <w:kern w:val="0"/>
          <w:sz w:val="24"/>
          <w:lang w:bidi="ar"/>
        </w:rPr>
        <w:t>、主承销商：【】、【】。</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17</w:t>
      </w:r>
      <w:r>
        <w:rPr>
          <w:rFonts w:hint="eastAsia" w:ascii="Calibri" w:hAnsi="Calibri" w:eastAsia="宋体" w:cs="宋体"/>
          <w:kern w:val="0"/>
          <w:sz w:val="24"/>
          <w:lang w:bidi="ar"/>
        </w:rPr>
        <w:t>、债券受托管理人：【】。</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18</w:t>
      </w:r>
      <w:r>
        <w:rPr>
          <w:rFonts w:hint="eastAsia" w:ascii="Calibri" w:hAnsi="Calibri" w:eastAsia="宋体" w:cs="宋体"/>
          <w:kern w:val="0"/>
          <w:sz w:val="24"/>
          <w:lang w:bidi="ar"/>
        </w:rPr>
        <w:t>、发行对象：持有中国证券登记结算有限责任公司深圳分公司</w:t>
      </w:r>
      <w:r>
        <w:rPr>
          <w:rFonts w:ascii="Calibri" w:hAnsi="Calibri" w:eastAsia="宋体" w:cs="Times New Roman"/>
          <w:kern w:val="0"/>
          <w:sz w:val="24"/>
          <w:lang w:bidi="ar"/>
        </w:rPr>
        <w:t>A</w:t>
      </w:r>
      <w:r>
        <w:rPr>
          <w:rFonts w:hint="eastAsia" w:ascii="Calibri" w:hAnsi="Calibri" w:eastAsia="宋体" w:cs="宋体"/>
          <w:kern w:val="0"/>
          <w:sz w:val="24"/>
          <w:lang w:bidi="ar"/>
        </w:rPr>
        <w:t>股证券账户的专业机构投资者（法律、法规禁止购买者除外）。</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19</w:t>
      </w:r>
      <w:r>
        <w:rPr>
          <w:rFonts w:hint="eastAsia" w:ascii="Calibri" w:hAnsi="Calibri" w:eastAsia="宋体" w:cs="宋体"/>
          <w:kern w:val="0"/>
          <w:sz w:val="24"/>
          <w:lang w:bidi="ar"/>
        </w:rPr>
        <w:t>、发行方式：【】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20</w:t>
      </w:r>
      <w:r>
        <w:rPr>
          <w:rFonts w:hint="eastAsia" w:ascii="Calibri" w:hAnsi="Calibri" w:eastAsia="宋体" w:cs="宋体"/>
          <w:kern w:val="0"/>
          <w:sz w:val="24"/>
          <w:lang w:bidi="ar"/>
        </w:rPr>
        <w:t>、向公司股东配售安排：【】</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21</w:t>
      </w:r>
      <w:r>
        <w:rPr>
          <w:rFonts w:hint="eastAsia" w:ascii="Calibri" w:hAnsi="Calibri" w:eastAsia="宋体" w:cs="宋体"/>
          <w:kern w:val="0"/>
          <w:sz w:val="24"/>
          <w:lang w:bidi="ar"/>
        </w:rPr>
        <w:t>、承销方式：【】</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22</w:t>
      </w:r>
      <w:r>
        <w:rPr>
          <w:rFonts w:hint="eastAsia" w:ascii="Calibri" w:hAnsi="Calibri" w:eastAsia="宋体" w:cs="宋体"/>
          <w:kern w:val="0"/>
          <w:sz w:val="24"/>
          <w:lang w:bidi="ar"/>
        </w:rPr>
        <w:t>、募集资金用途：【】</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23</w:t>
      </w:r>
      <w:r>
        <w:rPr>
          <w:rFonts w:hint="eastAsia" w:ascii="Calibri" w:hAnsi="Calibri" w:eastAsia="宋体" w:cs="宋体"/>
          <w:kern w:val="0"/>
          <w:sz w:val="24"/>
          <w:lang w:bidi="ar"/>
        </w:rPr>
        <w:t>、拟挂牌场所：深圳证券交易所。</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24</w:t>
      </w:r>
      <w:r>
        <w:rPr>
          <w:rFonts w:hint="eastAsia" w:ascii="Calibri" w:hAnsi="Calibri" w:eastAsia="宋体" w:cs="宋体"/>
          <w:kern w:val="0"/>
          <w:sz w:val="24"/>
          <w:lang w:bidi="ar"/>
        </w:rPr>
        <w:t>、税务提示：【】</w:t>
      </w:r>
      <w:r>
        <w:rPr>
          <w:rFonts w:ascii="Calibri" w:hAnsi="Calibri" w:eastAsia="宋体" w:cs="宋体"/>
          <w:kern w:val="0"/>
          <w:sz w:val="24"/>
          <w:lang w:bidi="ar"/>
        </w:rPr>
        <w:t>。</w:t>
      </w:r>
    </w:p>
    <w:p>
      <w:pPr>
        <w:adjustRightInd w:val="0"/>
        <w:snapToGrid w:val="0"/>
        <w:spacing w:line="360" w:lineRule="auto"/>
        <w:ind w:firstLine="480" w:firstLineChars="200"/>
        <w:rPr>
          <w:kern w:val="0"/>
          <w:sz w:val="24"/>
        </w:rPr>
      </w:pPr>
      <w:r>
        <w:rPr>
          <w:rFonts w:ascii="Calibri" w:hAnsi="Calibri" w:eastAsia="宋体" w:cs="Times New Roman"/>
          <w:kern w:val="0"/>
          <w:sz w:val="24"/>
          <w:lang w:bidi="ar"/>
        </w:rPr>
        <w:t>25</w:t>
      </w:r>
      <w:r>
        <w:rPr>
          <w:rFonts w:hint="eastAsia" w:ascii="Calibri" w:hAnsi="Calibri" w:eastAsia="宋体" w:cs="宋体"/>
          <w:kern w:val="0"/>
          <w:sz w:val="24"/>
          <w:lang w:bidi="ar"/>
        </w:rPr>
        <w:t>、与本期债券发行有关的时间安排：</w:t>
      </w:r>
    </w:p>
    <w:p>
      <w:pPr>
        <w:adjustRightInd w:val="0"/>
        <w:snapToGrid w:val="0"/>
      </w:pPr>
    </w:p>
    <w:tbl>
      <w:tblPr>
        <w:tblStyle w:val="30"/>
        <w:tblW w:w="8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6"/>
        <w:gridCol w:w="5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ind w:left="0" w:right="0"/>
              <w:jc w:val="center"/>
              <w:rPr>
                <w:rFonts w:hint="default"/>
                <w:b/>
                <w:sz w:val="24"/>
              </w:rPr>
            </w:pPr>
            <w:r>
              <w:rPr>
                <w:rFonts w:hint="eastAsia" w:ascii="Calibri" w:hAnsi="Calibri" w:eastAsia="宋体" w:cs="宋体"/>
                <w:b/>
                <w:sz w:val="24"/>
                <w:lang w:bidi="ar"/>
              </w:rPr>
              <w:t>日期</w:t>
            </w:r>
          </w:p>
        </w:tc>
        <w:tc>
          <w:tcPr>
            <w:tcW w:w="5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ind w:left="0" w:right="0"/>
              <w:jc w:val="center"/>
              <w:rPr>
                <w:rFonts w:hint="default"/>
                <w:b/>
                <w:sz w:val="24"/>
              </w:rPr>
            </w:pPr>
            <w:r>
              <w:rPr>
                <w:rFonts w:hint="eastAsia" w:ascii="Calibri" w:hAnsi="Calibri" w:eastAsia="宋体" w:cs="宋体"/>
                <w:b/>
                <w:sz w:val="24"/>
                <w:lang w:bidi="ar"/>
              </w:rPr>
              <w:t>发行安排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ascii="Calibri" w:hAnsi="Calibri" w:eastAsia="宋体" w:cs="Times New Roman"/>
                <w:sz w:val="24"/>
                <w:lang w:bidi="ar"/>
              </w:rPr>
              <w:t>T-2</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刊登募集说明书、发行公告、评级报告（如有）、更名公告（如有）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ascii="Calibri" w:hAnsi="Calibri" w:eastAsia="宋体" w:cs="Times New Roman"/>
                <w:sz w:val="24"/>
                <w:lang w:bidi="ar"/>
              </w:rPr>
              <w:t>T-1</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网下询价（簿记建档发行</w:t>
            </w:r>
            <w:r>
              <w:rPr>
                <w:rFonts w:hint="eastAsia" w:ascii="Calibri" w:hAnsi="Calibri" w:eastAsia="宋体" w:cs="宋体"/>
                <w:sz w:val="24"/>
                <w:lang w:val="en-US" w:eastAsia="zh-CN" w:bidi="ar"/>
              </w:rPr>
              <w:t>/协议发行</w:t>
            </w:r>
            <w:r>
              <w:rPr>
                <w:rFonts w:hint="eastAsia" w:ascii="Calibri" w:hAnsi="Calibri" w:eastAsia="宋体" w:cs="宋体"/>
                <w:sz w:val="24"/>
                <w:lang w:bidi="ar"/>
              </w:rPr>
              <w:t>）</w:t>
            </w:r>
          </w:p>
          <w:p>
            <w:pPr>
              <w:keepNext w:val="0"/>
              <w:keepLines w:val="0"/>
              <w:suppressLineNumbers w:val="0"/>
              <w:adjustRightInd w:val="0"/>
              <w:snapToGrid w:val="0"/>
              <w:spacing w:before="0" w:beforeAutospacing="0" w:after="0" w:afterAutospacing="0"/>
              <w:ind w:left="0" w:right="0"/>
              <w:jc w:val="left"/>
              <w:rPr>
                <w:rFonts w:hint="default" w:eastAsia="宋体"/>
                <w:sz w:val="24"/>
                <w:lang w:val="en-US" w:eastAsia="zh-CN"/>
              </w:rPr>
            </w:pPr>
            <w:r>
              <w:rPr>
                <w:rFonts w:hint="eastAsia" w:ascii="Calibri" w:hAnsi="Calibri" w:eastAsia="宋体" w:cs="宋体"/>
                <w:sz w:val="24"/>
                <w:lang w:bidi="ar"/>
              </w:rPr>
              <w:t>确定票面利率</w:t>
            </w:r>
            <w:r>
              <w:rPr>
                <w:rFonts w:hint="eastAsia" w:ascii="Calibri" w:hAnsi="Calibri" w:eastAsia="宋体" w:cs="宋体"/>
                <w:sz w:val="24"/>
                <w:lang w:val="en-US" w:eastAsia="zh-CN" w:bidi="ar"/>
              </w:rPr>
              <w:t>/发行价格</w:t>
            </w:r>
          </w:p>
          <w:p>
            <w:pPr>
              <w:keepNext w:val="0"/>
              <w:keepLines w:val="0"/>
              <w:suppressLineNumbers w:val="0"/>
              <w:adjustRightInd w:val="0"/>
              <w:snapToGrid w:val="0"/>
              <w:spacing w:before="0" w:beforeAutospacing="0" w:after="0" w:afterAutospacing="0"/>
              <w:ind w:left="0" w:right="0"/>
              <w:jc w:val="left"/>
              <w:rPr>
                <w:rFonts w:hint="default" w:eastAsia="宋体"/>
                <w:sz w:val="24"/>
                <w:lang w:val="en-US" w:eastAsia="zh-CN"/>
              </w:rPr>
            </w:pPr>
            <w:r>
              <w:rPr>
                <w:rFonts w:hint="eastAsia" w:ascii="Calibri" w:hAnsi="Calibri" w:eastAsia="宋体" w:cs="宋体"/>
                <w:sz w:val="24"/>
                <w:lang w:bidi="ar"/>
              </w:rPr>
              <w:t>公告最终票面利率</w:t>
            </w:r>
            <w:r>
              <w:rPr>
                <w:rFonts w:hint="eastAsia" w:ascii="Calibri" w:hAnsi="Calibri" w:eastAsia="宋体" w:cs="宋体"/>
                <w:sz w:val="24"/>
                <w:lang w:val="en-US" w:eastAsia="zh-CN" w:bidi="ar"/>
              </w:rPr>
              <w:t>/发行价格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ascii="Calibri" w:hAnsi="Calibri" w:eastAsia="宋体" w:cs="Times New Roman"/>
                <w:sz w:val="24"/>
                <w:lang w:bidi="ar"/>
              </w:rPr>
              <w:t>T</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网下认购起始日（协议认购）</w:t>
            </w:r>
          </w:p>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网下发行起始日（簿记建档发行）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sz w:val="24"/>
              </w:rPr>
            </w:pPr>
            <w:r>
              <w:rPr>
                <w:rFonts w:hint="default" w:ascii="Calibri" w:hAnsi="Calibri" w:eastAsia="宋体" w:cs="Times New Roman"/>
                <w:sz w:val="24"/>
                <w:lang w:bidi="ar"/>
              </w:rPr>
              <w:t>S</w:t>
            </w:r>
            <w:r>
              <w:rPr>
                <w:rFonts w:hint="eastAsia" w:ascii="Calibri" w:hAnsi="Calibri" w:eastAsia="宋体" w:cs="宋体"/>
                <w:sz w:val="24"/>
                <w:lang w:bidi="ar"/>
              </w:rPr>
              <w:t>日</w:t>
            </w:r>
          </w:p>
          <w:p>
            <w:pPr>
              <w:keepNext w:val="0"/>
              <w:keepLines w:val="0"/>
              <w:suppressLineNumbers w:val="0"/>
              <w:adjustRightInd w:val="0"/>
              <w:snapToGrid w:val="0"/>
              <w:spacing w:before="0" w:beforeAutospacing="0" w:after="0" w:afterAutospacing="0"/>
              <w:ind w:left="0" w:right="0"/>
              <w:jc w:val="center"/>
              <w:rPr>
                <w:rFonts w:hint="default"/>
                <w:sz w:val="24"/>
              </w:rPr>
            </w:pPr>
            <w:r>
              <w:rPr>
                <w:rFonts w:hint="eastAsia" w:ascii="Calibri" w:hAnsi="Calibri" w:eastAsia="宋体" w:cs="宋体"/>
                <w:sz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网下认购结束日（协议认购）</w:t>
            </w:r>
          </w:p>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网下发行结束日（簿记建档发行）</w:t>
            </w:r>
          </w:p>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发行结果公告日</w:t>
            </w:r>
          </w:p>
          <w:p>
            <w:pPr>
              <w:keepNext w:val="0"/>
              <w:keepLines w:val="0"/>
              <w:suppressLineNumbers w:val="0"/>
              <w:adjustRightInd w:val="0"/>
              <w:snapToGrid w:val="0"/>
              <w:spacing w:before="0" w:beforeAutospacing="0" w:after="0" w:afterAutospacing="0"/>
              <w:ind w:left="0" w:right="0"/>
              <w:jc w:val="left"/>
              <w:rPr>
                <w:rFonts w:hint="default"/>
                <w:sz w:val="24"/>
              </w:rPr>
            </w:pPr>
            <w:r>
              <w:rPr>
                <w:rFonts w:hint="eastAsia" w:ascii="Calibri" w:hAnsi="Calibri" w:eastAsia="宋体" w:cs="宋体"/>
                <w:sz w:val="24"/>
                <w:lang w:bidi="ar"/>
              </w:rPr>
              <w:t>刊登发行结果公告文件</w:t>
            </w:r>
          </w:p>
        </w:tc>
      </w:tr>
    </w:tbl>
    <w:p>
      <w:pPr>
        <w:adjustRightInd w:val="0"/>
        <w:snapToGrid w:val="0"/>
        <w:spacing w:line="360" w:lineRule="auto"/>
        <w:ind w:firstLine="420" w:firstLineChars="200"/>
        <w:rPr>
          <w:rFonts w:ascii="宋体" w:hAnsi="宋体" w:eastAsia="宋体" w:cs="宋体"/>
          <w:szCs w:val="21"/>
        </w:rPr>
      </w:pPr>
      <w:r>
        <w:rPr>
          <w:rFonts w:hint="eastAsia" w:ascii="宋体" w:hAnsi="宋体" w:eastAsia="宋体" w:cs="宋体"/>
          <w:szCs w:val="21"/>
          <w:lang w:bidi="ar"/>
        </w:rPr>
        <w:t>注：T日为发行首日，S日为发行结束日。上述日期均为交易日。如遇重大突发事件影响发行，发行人和主承销商将及时公告，修改发行日程。</w:t>
      </w:r>
    </w:p>
    <w:p>
      <w:pPr>
        <w:adjustRightInd w:val="0"/>
        <w:snapToGrid w:val="0"/>
        <w:spacing w:line="360" w:lineRule="auto"/>
        <w:ind w:firstLine="562" w:firstLineChars="200"/>
        <w:outlineLvl w:val="9"/>
        <w:rPr>
          <w:b/>
          <w:sz w:val="28"/>
          <w:szCs w:val="28"/>
        </w:rPr>
      </w:pPr>
      <w:r>
        <w:rPr>
          <w:rFonts w:hint="eastAsia" w:ascii="Calibri" w:hAnsi="Calibri" w:eastAsia="宋体" w:cs="宋体"/>
          <w:b/>
          <w:sz w:val="28"/>
          <w:szCs w:val="28"/>
          <w:lang w:bidi="ar"/>
        </w:rPr>
        <w:t>二、询价</w:t>
      </w:r>
      <w:r>
        <w:rPr>
          <w:rFonts w:ascii="Calibri" w:hAnsi="Calibri" w:eastAsia="宋体" w:cs="宋体"/>
          <w:b/>
          <w:sz w:val="28"/>
          <w:szCs w:val="28"/>
          <w:lang w:bidi="ar"/>
        </w:rPr>
        <w:t>（如为簿记建档发行）</w:t>
      </w:r>
    </w:p>
    <w:p>
      <w:pPr>
        <w:numPr>
          <w:ilvl w:val="0"/>
          <w:numId w:val="5"/>
        </w:numPr>
        <w:adjustRightInd w:val="0"/>
        <w:snapToGrid w:val="0"/>
        <w:spacing w:line="360" w:lineRule="auto"/>
        <w:ind w:firstLine="480" w:firstLineChars="200"/>
        <w:outlineLvl w:val="9"/>
        <w:rPr>
          <w:rFonts w:ascii="宋体" w:hAnsi="宋体" w:eastAsia="宋体" w:cs="宋体"/>
          <w:sz w:val="24"/>
          <w:szCs w:val="24"/>
          <w:lang w:bidi="ar"/>
        </w:rPr>
      </w:pPr>
      <w:r>
        <w:rPr>
          <w:rFonts w:ascii="宋体" w:hAnsi="宋体" w:eastAsia="宋体" w:cs="宋体"/>
          <w:sz w:val="24"/>
          <w:szCs w:val="24"/>
          <w:lang w:bidi="ar"/>
        </w:rPr>
        <w:t xml:space="preserve">投资者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本次询价的对象为持有中国证券登记结算有限责任公司深圳分公司A股证券账户的专业机构投资者。 </w:t>
      </w:r>
    </w:p>
    <w:p>
      <w:pPr>
        <w:adjustRightInd w:val="0"/>
        <w:snapToGrid w:val="0"/>
        <w:spacing w:line="360" w:lineRule="auto"/>
        <w:ind w:firstLine="482" w:firstLineChars="200"/>
        <w:outlineLvl w:val="9"/>
        <w:rPr>
          <w:b/>
          <w:sz w:val="24"/>
        </w:rPr>
      </w:pPr>
      <w:r>
        <w:rPr>
          <w:rFonts w:hint="eastAsia" w:ascii="Calibri" w:hAnsi="Calibri" w:eastAsia="宋体" w:cs="宋体"/>
          <w:b/>
          <w:sz w:val="24"/>
          <w:lang w:bidi="ar"/>
        </w:rPr>
        <w:t>（二）利率询价预设</w:t>
      </w:r>
      <w:r>
        <w:rPr>
          <w:rFonts w:hint="eastAsia" w:ascii="Calibri" w:hAnsi="Calibri" w:eastAsia="宋体" w:cs="宋体"/>
          <w:b/>
          <w:sz w:val="24"/>
          <w:lang w:eastAsia="zh-CN" w:bidi="ar"/>
        </w:rPr>
        <w:t>区</w:t>
      </w:r>
      <w:r>
        <w:rPr>
          <w:rFonts w:hint="eastAsia" w:ascii="Calibri" w:hAnsi="Calibri" w:eastAsia="宋体" w:cs="宋体"/>
          <w:b/>
          <w:sz w:val="24"/>
          <w:lang w:bidi="ar"/>
        </w:rPr>
        <w:t>间</w:t>
      </w:r>
      <w:r>
        <w:rPr>
          <w:rFonts w:hint="eastAsia" w:ascii="Calibri" w:hAnsi="Calibri" w:eastAsia="宋体" w:cs="宋体"/>
          <w:b/>
          <w:sz w:val="24"/>
          <w:lang w:val="en-US" w:eastAsia="zh-CN" w:bidi="ar"/>
        </w:rPr>
        <w:t>/发行价格簿记建档区间</w:t>
      </w:r>
      <w:r>
        <w:rPr>
          <w:rFonts w:hint="eastAsia" w:ascii="Calibri" w:hAnsi="Calibri" w:eastAsia="宋体" w:cs="宋体"/>
          <w:b/>
          <w:sz w:val="24"/>
          <w:lang w:bidi="ar"/>
        </w:rPr>
        <w:t>及票面利率确定方法</w:t>
      </w:r>
    </w:p>
    <w:p>
      <w:pPr>
        <w:adjustRightInd w:val="0"/>
        <w:snapToGrid w:val="0"/>
        <w:spacing w:line="360" w:lineRule="auto"/>
        <w:ind w:firstLine="480" w:firstLineChars="200"/>
        <w:rPr>
          <w:rFonts w:hint="eastAsia" w:ascii="Calibri" w:hAnsi="Calibri" w:eastAsia="宋体" w:cs="宋体"/>
          <w:sz w:val="24"/>
          <w:lang w:bidi="ar"/>
        </w:rPr>
      </w:pPr>
      <w:r>
        <w:rPr>
          <w:rFonts w:hint="eastAsia" w:ascii="Calibri" w:hAnsi="Calibri" w:eastAsia="宋体" w:cs="宋体"/>
          <w:sz w:val="24"/>
          <w:lang w:bidi="ar"/>
        </w:rPr>
        <w:t>本期债券票面利率预设区间为【】，最终的票面利率将【】确定。</w:t>
      </w:r>
    </w:p>
    <w:p>
      <w:pPr>
        <w:adjustRightInd w:val="0"/>
        <w:snapToGrid w:val="0"/>
        <w:spacing w:line="360" w:lineRule="auto"/>
        <w:ind w:firstLine="480" w:firstLineChars="200"/>
        <w:rPr>
          <w:rFonts w:hint="default" w:eastAsia="宋体"/>
          <w:sz w:val="24"/>
          <w:lang w:val="en-US" w:eastAsia="zh-CN"/>
        </w:rPr>
      </w:pPr>
      <w:r>
        <w:rPr>
          <w:rFonts w:hint="eastAsia" w:ascii="Calibri" w:hAnsi="Calibri" w:eastAsia="宋体" w:cs="宋体"/>
          <w:sz w:val="24"/>
          <w:lang w:eastAsia="zh-CN" w:bidi="ar"/>
        </w:rPr>
        <w:t>【如为续发行债券】本期续发行债券申购价格区间为【】，申购价格为债券全价，包括</w:t>
      </w:r>
      <w:r>
        <w:rPr>
          <w:rFonts w:hint="eastAsia" w:ascii="Calibri" w:hAnsi="Calibri" w:eastAsia="宋体" w:cs="宋体"/>
          <w:sz w:val="24"/>
          <w:lang w:bidi="ar"/>
        </w:rPr>
        <w:t>【】年【】月【】日</w:t>
      </w:r>
      <w:r>
        <w:rPr>
          <w:rFonts w:hint="eastAsia" w:ascii="Calibri" w:hAnsi="Calibri" w:eastAsia="宋体" w:cs="宋体"/>
          <w:sz w:val="24"/>
          <w:lang w:eastAsia="zh-CN" w:bidi="ar"/>
        </w:rPr>
        <w:t>至</w:t>
      </w:r>
      <w:r>
        <w:rPr>
          <w:rFonts w:hint="eastAsia" w:ascii="Calibri" w:hAnsi="Calibri" w:eastAsia="宋体" w:cs="宋体"/>
          <w:sz w:val="24"/>
          <w:lang w:bidi="ar"/>
        </w:rPr>
        <w:t>【】年【】月【】日</w:t>
      </w:r>
      <w:r>
        <w:rPr>
          <w:rFonts w:hint="eastAsia" w:ascii="Calibri" w:hAnsi="Calibri" w:eastAsia="宋体" w:cs="宋体"/>
          <w:sz w:val="24"/>
          <w:lang w:eastAsia="zh-CN" w:bidi="ar"/>
        </w:rPr>
        <w:t>期间产生的债券利息，投资者缴款金额为申购金额</w:t>
      </w:r>
      <w:r>
        <w:rPr>
          <w:rFonts w:hint="eastAsia" w:ascii="Calibri" w:hAnsi="Calibri" w:eastAsia="宋体" w:cs="宋体"/>
          <w:sz w:val="24"/>
          <w:lang w:val="en-US" w:eastAsia="zh-CN" w:bidi="ar"/>
        </w:rPr>
        <w:t>*发行价格/100元。</w:t>
      </w:r>
    </w:p>
    <w:p>
      <w:pPr>
        <w:numPr>
          <w:ilvl w:val="0"/>
          <w:numId w:val="5"/>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询价时间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本期债券询价的时间为【】年【】月【】日（T-1日）**：00至**：00。 </w:t>
      </w:r>
    </w:p>
    <w:p>
      <w:pPr>
        <w:adjustRightInd w:val="0"/>
        <w:snapToGrid w:val="0"/>
        <w:spacing w:line="360" w:lineRule="auto"/>
        <w:ind w:firstLine="480" w:firstLineChars="200"/>
        <w:rPr>
          <w:rFonts w:ascii="Calibri" w:hAnsi="Calibri" w:eastAsia="宋体" w:cs="宋体"/>
          <w:sz w:val="24"/>
          <w:lang w:bidi="ar"/>
        </w:rPr>
      </w:pPr>
      <w:r>
        <w:rPr>
          <w:rFonts w:hint="eastAsia" w:ascii="Calibri" w:hAnsi="Calibri" w:eastAsia="宋体" w:cs="Times New Roman"/>
          <w:sz w:val="24"/>
          <w:lang w:bidi="ar"/>
        </w:rPr>
        <w:t>【使用簿记系统】本期债券簿记建档工作通过债券簿记建档系统（【簿记系统地址】</w:t>
      </w:r>
      <w:r>
        <w:rPr>
          <w:rFonts w:hint="eastAsia" w:ascii="Calibri" w:hAnsi="Calibri" w:eastAsia="宋体" w:cs="宋体"/>
          <w:sz w:val="24"/>
          <w:lang w:bidi="ar"/>
        </w:rPr>
        <w:t>，以下简称簿记系统）开展，【补充簿记的具体情形，例如：在网下询价时间内，参与询价的债券交易参与人及承销机构认可的其他专业机构投资者原则上应当通过簿记系统提交认购订单，其他投资者、因不可抗力等特殊情况导致无法通过簿记系统进行申购的债券交易参与人及承销机构认可的其他专业机构投资者可通过【传真、邮件（根据实际情况进行明确）等】方式向簿记管理人或者承销机构发送《【债券全称】网下利率询价及认购申请表》</w:t>
      </w:r>
      <w:r>
        <w:rPr>
          <w:rFonts w:ascii="Calibri" w:hAnsi="Calibri" w:eastAsia="宋体" w:cs="宋体"/>
          <w:sz w:val="24"/>
          <w:lang w:bidi="ar"/>
        </w:rPr>
        <w:t>【文件具体名称可根据簿记管理人要求调整】</w:t>
      </w:r>
      <w:r>
        <w:rPr>
          <w:rFonts w:hint="eastAsia" w:ascii="Calibri" w:hAnsi="Calibri" w:eastAsia="宋体" w:cs="宋体"/>
          <w:sz w:val="24"/>
          <w:lang w:bidi="ar"/>
        </w:rPr>
        <w:t>（以下简称“《网下利率询价及认购申请表》”）（见附件），并由簿记管理人在簿记系统中录入认购订单。】</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不使用簿记系统】参与询价的投资者应在网下询价时间内将《网下利率询价及认购申请表》《专业投资者确认函及承诺书》（见附件【具体文件根据簿记管理人要求进行调整】）【传真、邮件（根据实际情况进行明确）等】至簿记管理人处。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如遇特殊情况，经发行人与簿记管理人协商一致，本期债券簿记建档截止时间可经履行信息披露义务后延时一次，延长后簿记建档截止时间不得晚于当日19:00。具体以相关信息披露公告为准。</w:t>
      </w:r>
    </w:p>
    <w:p>
      <w:pPr>
        <w:numPr>
          <w:ilvl w:val="0"/>
          <w:numId w:val="5"/>
        </w:numPr>
        <w:adjustRightInd w:val="0"/>
        <w:snapToGrid w:val="0"/>
        <w:spacing w:line="360" w:lineRule="auto"/>
        <w:ind w:firstLine="480" w:firstLineChars="200"/>
        <w:outlineLvl w:val="9"/>
        <w:rPr>
          <w:rFonts w:ascii="宋体" w:hAnsi="宋体" w:eastAsia="宋体" w:cs="宋体"/>
          <w:sz w:val="24"/>
          <w:szCs w:val="24"/>
          <w:lang w:bidi="ar"/>
        </w:rPr>
      </w:pPr>
      <w:r>
        <w:rPr>
          <w:rFonts w:ascii="宋体" w:hAnsi="宋体" w:eastAsia="宋体" w:cs="宋体"/>
          <w:sz w:val="24"/>
          <w:szCs w:val="24"/>
          <w:lang w:bidi="ar"/>
        </w:rPr>
        <w:t>询价办法【供参考】</w:t>
      </w:r>
    </w:p>
    <w:p>
      <w:pPr>
        <w:numPr>
          <w:ilvl w:val="0"/>
          <w:numId w:val="6"/>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填制簿记系统认购单/《网下利率询价及认购申请表》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拟参与询价的专业机构投资者应按要求正确填写簿记系统认购单/《网下利率询价及认购申请表》。</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 【使用簿记系统】债券交易参与人及承销机构认可的其他专业机构投资者可以通过簿记系统填写认购单，其他投资者、因不可抗力等特殊情况下的债券交易参与人及承销机构认可的其他专业机构投资者可以从发行公告所列示的网站下载《网下利率询价及认购申请表》。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【不使用簿记系统】拟参与网下询价的机构投资者可以从发行公告所列示的网站下载《网下利率询价及认购申请表》，并按要求正确填写。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填写簿记系统认购单/《网下利率询价及认购申请表》应注意【仅作参考，可根据实际情况调整】：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应在发行公告所指定的利率询价区间内填写询价利率；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每一份簿记系统认购单/《网下利率询价及认购申请表》最多可填写【】个询价利率，询价利率可不连续；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填写询价利率时精确到0.01%【请实际情况进行明确，如使用簿记系统，应不低于0.01%】；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询价利率应由低到高、按顺序填写；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每个询价利率上的申购总金额不得少于【】（含【】），并为【】的整数倍；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按照单一标位填写询价利率，即每一申购利率对应的申购金额为单一 申购金额，即在该利率标位上投资者的新增认购需求。投资者的有效申购量为低 于和等于最终确定的票面利率的所有标位的累计申购量； </w:t>
      </w:r>
    </w:p>
    <w:p>
      <w:pPr>
        <w:numPr>
          <w:ilvl w:val="0"/>
          <w:numId w:val="7"/>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如对于获得配售总量占最终发行量的比例有限制性要求，应按照实际 情况填写比例。</w:t>
      </w:r>
    </w:p>
    <w:p>
      <w:pPr>
        <w:numPr>
          <w:ilvl w:val="0"/>
          <w:numId w:val="6"/>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提交</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 【使用簿记系统】参与利率询价的投资者应在【】年【】月【】日**：00前提交认购单/《网下利率询价及认购申请表》，其中，通过簿记系统直接参与利率询价的投资者应在簿记系统提交认购单及相关申购文件，未通过簿记系统参与利率询价的投资者应将以下文件提交至簿记管理人或者承销机构处，并电话确认【以下材料可根据承销机构内部要求调整】：</w:t>
      </w:r>
    </w:p>
    <w:p>
      <w:pPr>
        <w:numPr>
          <w:ilvl w:val="0"/>
          <w:numId w:val="8"/>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填妥签字并加盖【相关印章，请根据承销机构内部要求明确】后的《网下利率询价及认购申请表》； </w:t>
      </w:r>
    </w:p>
    <w:p>
      <w:pPr>
        <w:numPr>
          <w:ilvl w:val="0"/>
          <w:numId w:val="8"/>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有效的企业法人营业执照（副本）复印件或其他有效的法人资格证明文件复印件（须加盖单位公章）； </w:t>
      </w:r>
    </w:p>
    <w:p>
      <w:pPr>
        <w:numPr>
          <w:ilvl w:val="0"/>
          <w:numId w:val="8"/>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法定代表人授权委托书（法定代表人本人签章的无须提供）和经办人身份证复印件； </w:t>
      </w:r>
    </w:p>
    <w:p>
      <w:pPr>
        <w:numPr>
          <w:ilvl w:val="0"/>
          <w:numId w:val="8"/>
        </w:num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【承销机构要求提供的其他材料】。</w:t>
      </w:r>
    </w:p>
    <w:p>
      <w:pPr>
        <w:numPr>
          <w:ilvl w:val="255"/>
          <w:numId w:val="0"/>
        </w:numPr>
        <w:adjustRightInd w:val="0"/>
        <w:snapToGrid w:val="0"/>
        <w:spacing w:line="360" w:lineRule="auto"/>
        <w:ind w:left="420" w:leftChars="200"/>
        <w:rPr>
          <w:rFonts w:ascii="宋体" w:hAnsi="宋体" w:eastAsia="宋体" w:cs="宋体"/>
          <w:sz w:val="24"/>
          <w:szCs w:val="24"/>
          <w:lang w:bidi="ar"/>
        </w:rPr>
      </w:pPr>
      <w:r>
        <w:rPr>
          <w:rFonts w:ascii="宋体" w:hAnsi="宋体" w:eastAsia="宋体" w:cs="宋体"/>
          <w:sz w:val="24"/>
          <w:szCs w:val="24"/>
          <w:lang w:bidi="ar"/>
        </w:rPr>
        <w:t xml:space="preserve">承销机构有权根据询价情况要求投资者提供其他资质证明文件。 </w:t>
      </w:r>
    </w:p>
    <w:p>
      <w:pPr>
        <w:adjustRightInd w:val="0"/>
        <w:snapToGrid w:val="0"/>
        <w:spacing w:line="360" w:lineRule="auto"/>
        <w:ind w:left="420" w:leftChars="200"/>
        <w:rPr>
          <w:rFonts w:ascii="宋体" w:hAnsi="宋体" w:eastAsia="宋体" w:cs="宋体"/>
          <w:sz w:val="24"/>
          <w:szCs w:val="24"/>
          <w:lang w:bidi="ar"/>
        </w:rPr>
      </w:pPr>
      <w:r>
        <w:rPr>
          <w:rFonts w:ascii="宋体" w:hAnsi="宋体" w:eastAsia="宋体" w:cs="宋体"/>
          <w:sz w:val="24"/>
          <w:szCs w:val="24"/>
          <w:lang w:bidi="ar"/>
        </w:rPr>
        <w:t>投资者填写的簿记系统认购单及《网下利率询价及认购申请表》一旦提交至簿记管理人或承销机构处，即具有法律约束力，不得撤回。</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簿记建档场所：【】；</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簿记传真/邮箱：【】；</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联系电话：【】。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【不使用簿记系统】参与利率询价的投资者应在【】年【】月【】日**：00前提交《网下利率询价及认购申请表》并电话确认【以下材料可根据承销机构内部要求调整】：</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（1）填妥签字并加盖【相关印章，请根据承销机构内部要求明确】后的《网下利率询价及认购申请表》；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（2）有效的企业法人营业执照（副本）复印件或其他有效的法人资格证明文件复印件（须加盖单位公章）；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（3）法定代表人授权委托书（法定代表人本人签章的无须提供）和经办人身份证复印件；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（4）【承销机构要求提供的其他材料】。</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 承销机构有权根据询价情况要求投资者提供其他资质证明文件。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投资者填写的《网下利率询价及认购申请表》一旦提交至簿记管理人或承销机构处，即具有法律约束力，不得撤回。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簿记建档场所：【】；</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簿记传真/邮箱：【】；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联系电话：【】。 </w:t>
      </w:r>
    </w:p>
    <w:p>
      <w:pPr>
        <w:numPr>
          <w:ilvl w:val="0"/>
          <w:numId w:val="6"/>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利率确定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发行人和簿记管理人将根据网下询价结果确定本期债券的最终票面利率，并将于【】年【】月【】日（T-1日）在固定收益信息平台中的信息披露-通知与公告-信息公告（定向）上公告本期债券最终的票面利率。</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发行人将按上述确定的票面利率向投资者</w:t>
      </w:r>
      <w:r>
        <w:rPr>
          <w:rFonts w:hint="eastAsia" w:ascii="宋体" w:hAnsi="宋体" w:eastAsia="宋体" w:cs="宋体"/>
          <w:sz w:val="24"/>
          <w:szCs w:val="24"/>
          <w:lang w:eastAsia="zh-CN" w:bidi="ar"/>
        </w:rPr>
        <w:t>非</w:t>
      </w:r>
      <w:r>
        <w:rPr>
          <w:rFonts w:ascii="宋体" w:hAnsi="宋体" w:eastAsia="宋体" w:cs="宋体"/>
          <w:sz w:val="24"/>
          <w:szCs w:val="24"/>
          <w:lang w:bidi="ar"/>
        </w:rPr>
        <w:t xml:space="preserve">公开发行本期债券。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（五）应急处置方式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 xml:space="preserve">簿记建档过程中，出现人为操作失误、系统故障等情形导致簿记建档无法继续的，发行人和簿记管理人应当按照应急预案采取变更簿记建档场所、变更簿记建档时间、应急认购、取消发行等应急处置措施。发行人和簿记管理人应当及时披露应急处置的相关情况。 </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【使用簿记系统】 如投资者端出现接入故障，投资者应当通过线下传真、邮件等方式向主承销商发送申购单，由簿记管理人代为录入认购订单。 如簿记管理人出现接入故障或系统本身故障，根据系统恢复时间，簿记管理人将披露相应公告说明是否采用线下簿记。如采用线下簿记的，故障发生前已提交的线上认购有效，投资者无需线下再次申购。</w:t>
      </w:r>
    </w:p>
    <w:p>
      <w:pPr>
        <w:adjustRightInd w:val="0"/>
        <w:snapToGrid w:val="0"/>
        <w:spacing w:line="360" w:lineRule="auto"/>
        <w:ind w:firstLine="562" w:firstLineChars="200"/>
        <w:outlineLvl w:val="9"/>
        <w:rPr>
          <w:sz w:val="24"/>
        </w:rPr>
      </w:pPr>
      <w:r>
        <w:rPr>
          <w:rFonts w:hint="eastAsia" w:ascii="Calibri" w:hAnsi="Calibri" w:eastAsia="宋体" w:cs="宋体"/>
          <w:b/>
          <w:sz w:val="28"/>
          <w:szCs w:val="28"/>
        </w:rPr>
        <w:t>三、发行</w:t>
      </w:r>
    </w:p>
    <w:p>
      <w:pPr>
        <w:adjustRightInd w:val="0"/>
        <w:snapToGrid w:val="0"/>
        <w:spacing w:line="360" w:lineRule="auto"/>
        <w:ind w:firstLine="482" w:firstLineChars="200"/>
        <w:outlineLvl w:val="9"/>
        <w:rPr>
          <w:rFonts w:ascii="Calibri" w:hAnsi="Calibri" w:eastAsia="宋体" w:cs="宋体"/>
          <w:b/>
          <w:sz w:val="24"/>
          <w:szCs w:val="24"/>
          <w:lang w:bidi="ar"/>
        </w:rPr>
      </w:pPr>
      <w:r>
        <w:rPr>
          <w:rFonts w:hint="eastAsia" w:ascii="Calibri" w:hAnsi="Calibri" w:eastAsia="宋体" w:cs="宋体"/>
          <w:b/>
          <w:sz w:val="24"/>
          <w:szCs w:val="24"/>
          <w:lang w:bidi="ar"/>
        </w:rPr>
        <w:t>（一）发行对象</w:t>
      </w:r>
    </w:p>
    <w:p>
      <w:pPr>
        <w:adjustRightInd w:val="0"/>
        <w:snapToGrid w:val="0"/>
        <w:spacing w:line="360" w:lineRule="auto"/>
        <w:ind w:firstLine="480" w:firstLineChars="200"/>
        <w:rPr>
          <w:rFonts w:ascii="Calibri" w:hAnsi="Calibri" w:eastAsia="宋体" w:cs="宋体"/>
          <w:sz w:val="24"/>
        </w:rPr>
      </w:pPr>
      <w:r>
        <w:rPr>
          <w:rFonts w:ascii="Calibri" w:hAnsi="Calibri" w:eastAsia="宋体" w:cs="宋体"/>
          <w:sz w:val="24"/>
        </w:rPr>
        <w:t>本期债券发行对象为符合《证券法》《公司债券发行与交易管理办法（2023年修订）》《深圳证券交易所债券市场投资者适当性管理办法（2023年修订）》及《证券期货投资者适当性管理办法》相关规定且在中国证券登记结算有限责任公司深圳分公司开立合格A股证券账户的专业机构投资者（法律、法规禁止购买者除外）。</w:t>
      </w:r>
    </w:p>
    <w:p>
      <w:pPr>
        <w:adjustRightInd w:val="0"/>
        <w:snapToGrid w:val="0"/>
        <w:spacing w:line="360" w:lineRule="auto"/>
        <w:ind w:firstLine="482" w:firstLineChars="200"/>
        <w:outlineLvl w:val="9"/>
        <w:rPr>
          <w:rFonts w:ascii="Calibri" w:hAnsi="Calibri" w:eastAsia="宋体" w:cs="宋体"/>
          <w:b/>
          <w:sz w:val="24"/>
          <w:szCs w:val="24"/>
          <w:lang w:bidi="ar"/>
        </w:rPr>
      </w:pPr>
      <w:r>
        <w:rPr>
          <w:rFonts w:hint="eastAsia" w:ascii="Calibri" w:hAnsi="Calibri" w:eastAsia="宋体" w:cs="宋体"/>
          <w:b/>
          <w:sz w:val="24"/>
          <w:szCs w:val="24"/>
          <w:lang w:bidi="ar"/>
        </w:rPr>
        <w:t>（二）发行</w:t>
      </w:r>
      <w:r>
        <w:rPr>
          <w:rFonts w:ascii="Calibri" w:hAnsi="Calibri" w:eastAsia="宋体" w:cs="宋体"/>
          <w:b/>
          <w:sz w:val="24"/>
          <w:szCs w:val="24"/>
          <w:lang w:bidi="ar"/>
        </w:rPr>
        <w:t>规模</w:t>
      </w:r>
    </w:p>
    <w:p>
      <w:pPr>
        <w:adjustRightInd w:val="0"/>
        <w:snapToGrid w:val="0"/>
        <w:spacing w:line="360" w:lineRule="auto"/>
        <w:ind w:firstLine="480" w:firstLineChars="200"/>
        <w:rPr>
          <w:rFonts w:ascii="Calibri" w:hAnsi="Calibri" w:eastAsia="宋体" w:cs="宋体"/>
          <w:sz w:val="24"/>
        </w:rPr>
      </w:pPr>
      <w:r>
        <w:rPr>
          <w:rFonts w:ascii="Calibri" w:hAnsi="Calibri" w:eastAsia="宋体" w:cs="宋体"/>
          <w:sz w:val="24"/>
        </w:rPr>
        <w:t>本期债券网下发行规模为不超过【】亿元（含【】亿元）。参与本期债券网下发行的每个专业机构投资者的最低认购单位为【】手（【】张，【】万元），超过【】手的必须是【】手（【】万元）的整数倍。</w:t>
      </w:r>
    </w:p>
    <w:p>
      <w:pPr>
        <w:numPr>
          <w:ilvl w:val="255"/>
          <w:numId w:val="0"/>
        </w:numPr>
        <w:adjustRightInd w:val="0"/>
        <w:snapToGrid w:val="0"/>
        <w:spacing w:line="360" w:lineRule="auto"/>
        <w:ind w:left="420" w:leftChars="200"/>
        <w:outlineLvl w:val="9"/>
        <w:rPr>
          <w:rFonts w:ascii="宋体" w:hAnsi="宋体" w:eastAsia="宋体" w:cs="宋体"/>
          <w:b/>
          <w:sz w:val="24"/>
          <w:szCs w:val="24"/>
          <w:lang w:bidi="ar"/>
        </w:rPr>
      </w:pPr>
      <w:r>
        <w:rPr>
          <w:rFonts w:ascii="宋体" w:hAnsi="宋体" w:eastAsia="宋体" w:cs="宋体"/>
          <w:b/>
          <w:sz w:val="24"/>
          <w:szCs w:val="24"/>
          <w:lang w:bidi="ar"/>
        </w:rPr>
        <w:t>（三）</w:t>
      </w:r>
      <w:r>
        <w:rPr>
          <w:rFonts w:hint="eastAsia" w:ascii="宋体" w:hAnsi="宋体" w:eastAsia="宋体" w:cs="宋体"/>
          <w:b/>
          <w:sz w:val="24"/>
          <w:szCs w:val="24"/>
          <w:lang w:bidi="ar"/>
        </w:rPr>
        <w:t>发行价格</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本期债券的发行价格为100元/张。</w:t>
      </w:r>
    </w:p>
    <w:p>
      <w:pPr>
        <w:numPr>
          <w:ilvl w:val="255"/>
          <w:numId w:val="0"/>
        </w:numPr>
        <w:adjustRightInd w:val="0"/>
        <w:snapToGrid w:val="0"/>
        <w:spacing w:line="360" w:lineRule="auto"/>
        <w:ind w:left="420" w:leftChars="200"/>
        <w:outlineLvl w:val="9"/>
        <w:rPr>
          <w:rFonts w:ascii="宋体" w:hAnsi="宋体" w:eastAsia="宋体" w:cs="宋体"/>
          <w:b/>
          <w:sz w:val="24"/>
          <w:szCs w:val="24"/>
          <w:lang w:bidi="ar"/>
        </w:rPr>
      </w:pPr>
      <w:r>
        <w:rPr>
          <w:rFonts w:ascii="宋体" w:hAnsi="宋体" w:eastAsia="宋体" w:cs="宋体"/>
          <w:b/>
          <w:sz w:val="24"/>
          <w:szCs w:val="24"/>
          <w:lang w:bidi="ar"/>
        </w:rPr>
        <w:t>（四）发行时间</w:t>
      </w:r>
    </w:p>
    <w:p>
      <w:pPr>
        <w:adjustRightInd w:val="0"/>
        <w:snapToGrid w:val="0"/>
        <w:spacing w:line="360" w:lineRule="auto"/>
        <w:ind w:firstLine="480" w:firstLineChars="200"/>
        <w:rPr>
          <w:rFonts w:ascii="宋体" w:hAnsi="宋体" w:eastAsia="宋体" w:cs="宋体"/>
          <w:sz w:val="24"/>
          <w:szCs w:val="24"/>
          <w:lang w:bidi="ar"/>
        </w:rPr>
      </w:pPr>
      <w:r>
        <w:rPr>
          <w:rFonts w:ascii="宋体" w:hAnsi="宋体" w:eastAsia="宋体" w:cs="宋体"/>
          <w:sz w:val="24"/>
          <w:szCs w:val="24"/>
          <w:lang w:bidi="ar"/>
        </w:rPr>
        <w:t>本</w:t>
      </w:r>
      <w:r>
        <w:rPr>
          <w:rFonts w:hint="eastAsia" w:ascii="宋体" w:hAnsi="宋体" w:eastAsia="宋体" w:cs="宋体"/>
          <w:sz w:val="24"/>
          <w:szCs w:val="24"/>
          <w:lang w:bidi="ar"/>
        </w:rPr>
        <w:t>期债券网下发行的期限为</w:t>
      </w:r>
      <w:r>
        <w:rPr>
          <w:rFonts w:ascii="宋体" w:hAnsi="宋体" w:eastAsia="宋体" w:cs="宋体"/>
          <w:sz w:val="24"/>
          <w:szCs w:val="24"/>
          <w:lang w:bidi="ar"/>
        </w:rPr>
        <w:t>【】</w:t>
      </w:r>
      <w:r>
        <w:rPr>
          <w:rFonts w:hint="eastAsia" w:ascii="宋体" w:hAnsi="宋体" w:eastAsia="宋体" w:cs="宋体"/>
          <w:sz w:val="24"/>
          <w:szCs w:val="24"/>
          <w:lang w:bidi="ar"/>
        </w:rPr>
        <w:t>个交易日，即</w:t>
      </w:r>
      <w:r>
        <w:rPr>
          <w:rFonts w:ascii="宋体" w:hAnsi="宋体" w:eastAsia="宋体" w:cs="宋体"/>
          <w:sz w:val="24"/>
          <w:szCs w:val="24"/>
          <w:lang w:bidi="ar"/>
        </w:rPr>
        <w:t>【】</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日（T日）</w:t>
      </w:r>
      <w:r>
        <w:rPr>
          <w:rFonts w:ascii="宋体" w:hAnsi="宋体" w:eastAsia="宋体" w:cs="宋体"/>
          <w:sz w:val="24"/>
          <w:szCs w:val="24"/>
          <w:lang w:bidi="ar"/>
        </w:rPr>
        <w:t>和【】</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w:t>
      </w:r>
      <w:r>
        <w:rPr>
          <w:rFonts w:ascii="宋体" w:hAnsi="宋体" w:eastAsia="宋体" w:cs="宋体"/>
          <w:sz w:val="24"/>
          <w:szCs w:val="24"/>
          <w:lang w:bidi="ar"/>
        </w:rPr>
        <w:t>【】</w:t>
      </w:r>
      <w:r>
        <w:rPr>
          <w:rFonts w:hint="eastAsia" w:ascii="宋体" w:hAnsi="宋体" w:eastAsia="宋体" w:cs="宋体"/>
          <w:sz w:val="24"/>
          <w:szCs w:val="24"/>
          <w:lang w:bidi="ar"/>
        </w:rPr>
        <w:t>日）</w:t>
      </w:r>
      <w:r>
        <w:rPr>
          <w:rFonts w:ascii="宋体" w:hAnsi="宋体" w:eastAsia="宋体" w:cs="宋体"/>
          <w:sz w:val="24"/>
          <w:szCs w:val="24"/>
          <w:lang w:bidi="ar"/>
        </w:rPr>
        <w:t>。</w:t>
      </w:r>
    </w:p>
    <w:p>
      <w:pPr>
        <w:numPr>
          <w:ilvl w:val="255"/>
          <w:numId w:val="0"/>
        </w:numPr>
        <w:adjustRightInd w:val="0"/>
        <w:snapToGrid w:val="0"/>
        <w:spacing w:line="360" w:lineRule="auto"/>
        <w:ind w:left="420" w:leftChars="200"/>
        <w:outlineLvl w:val="9"/>
        <w:rPr>
          <w:rFonts w:ascii="宋体" w:hAnsi="宋体" w:eastAsia="宋体" w:cs="宋体"/>
          <w:b/>
          <w:bCs/>
          <w:sz w:val="24"/>
          <w:szCs w:val="24"/>
          <w:lang w:bidi="ar"/>
        </w:rPr>
      </w:pPr>
      <w:r>
        <w:rPr>
          <w:rFonts w:ascii="宋体" w:hAnsi="宋体" w:eastAsia="宋体" w:cs="宋体"/>
          <w:b/>
          <w:bCs/>
          <w:sz w:val="24"/>
          <w:szCs w:val="24"/>
          <w:lang w:bidi="ar"/>
        </w:rPr>
        <w:t>（五）认购办法</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    1、凡参与网下认购的专业机构投资者，认购时必须持有中国证券登记结算有限责任公司深圳分公司A股证券账户。尚未开户的专业机构投资者，必须在【】年【】月【】日（T-1日）前开立证券账户。</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 xml:space="preserve">    2、拟参与网下认购的专业机构投资者应按照本公告要求，在规定时间内向</w:t>
      </w:r>
    </w:p>
    <w:p>
      <w:pPr>
        <w:numPr>
          <w:ilvl w:val="255"/>
          <w:numId w:val="0"/>
        </w:numPr>
        <w:adjustRightInd w:val="0"/>
        <w:snapToGrid w:val="0"/>
        <w:spacing w:line="360" w:lineRule="auto"/>
        <w:rPr>
          <w:rFonts w:ascii="宋体" w:hAnsi="宋体" w:eastAsia="宋体" w:cs="宋体"/>
          <w:sz w:val="24"/>
          <w:szCs w:val="24"/>
          <w:lang w:bidi="ar"/>
        </w:rPr>
      </w:pPr>
      <w:r>
        <w:rPr>
          <w:rFonts w:ascii="宋体" w:hAnsi="宋体" w:eastAsia="宋体" w:cs="宋体"/>
          <w:sz w:val="24"/>
          <w:szCs w:val="24"/>
          <w:lang w:bidi="ar"/>
        </w:rPr>
        <w:t>簿记管理人提交询价、申购文件及相关专业机构投资者资质文件。</w:t>
      </w:r>
    </w:p>
    <w:p>
      <w:pPr>
        <w:numPr>
          <w:ilvl w:val="255"/>
          <w:numId w:val="0"/>
        </w:numPr>
        <w:adjustRightInd w:val="0"/>
        <w:snapToGrid w:val="0"/>
        <w:spacing w:line="360" w:lineRule="auto"/>
        <w:ind w:left="420" w:leftChars="200"/>
        <w:outlineLvl w:val="9"/>
        <w:rPr>
          <w:rFonts w:ascii="宋体" w:hAnsi="宋体" w:eastAsia="宋体" w:cs="宋体"/>
          <w:b/>
          <w:sz w:val="24"/>
          <w:szCs w:val="24"/>
          <w:lang w:bidi="ar"/>
        </w:rPr>
      </w:pPr>
      <w:r>
        <w:rPr>
          <w:rFonts w:ascii="宋体" w:hAnsi="宋体" w:eastAsia="宋体" w:cs="宋体"/>
          <w:b/>
          <w:sz w:val="24"/>
          <w:szCs w:val="24"/>
          <w:lang w:bidi="ar"/>
        </w:rPr>
        <w:t>（六）配售</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簿记管理人根据网下询价结果对所有有效申购</w:t>
      </w:r>
      <w:r>
        <w:rPr>
          <w:rFonts w:ascii="宋体" w:hAnsi="宋体" w:eastAsia="宋体" w:cs="宋体"/>
          <w:sz w:val="24"/>
          <w:szCs w:val="24"/>
          <w:lang w:bidi="ar"/>
        </w:rPr>
        <w:t>进</w:t>
      </w:r>
      <w:r>
        <w:rPr>
          <w:rFonts w:hint="eastAsia" w:ascii="宋体" w:hAnsi="宋体" w:eastAsia="宋体" w:cs="宋体"/>
          <w:sz w:val="24"/>
          <w:szCs w:val="24"/>
          <w:lang w:bidi="ar"/>
        </w:rPr>
        <w:t>行配售。专业机构投资者的获配金额不会超过其有效申购中相应的最大申购金额。配售依照以下利率或者价格优先原则：按照投资者的申购利率从低到高进行簿记建档，按照申购利率从低到高对认购金额进行累计，当累计金额超过或等于本期债券发行总额时所对应的最高申购利率确认为发行利率。申购利率低于发行利率的投资者申购数量全部获得配售；申购利率等于发行利率的投资者申购数量原则上按</w:t>
      </w:r>
      <w:r>
        <w:rPr>
          <w:rFonts w:ascii="宋体" w:hAnsi="宋体" w:eastAsia="宋体" w:cs="宋体"/>
          <w:sz w:val="24"/>
          <w:szCs w:val="24"/>
          <w:lang w:bidi="ar"/>
        </w:rPr>
        <w:t>照</w:t>
      </w:r>
      <w:r>
        <w:rPr>
          <w:rFonts w:hint="eastAsia" w:ascii="宋体" w:hAnsi="宋体" w:eastAsia="宋体" w:cs="宋体"/>
          <w:sz w:val="24"/>
          <w:szCs w:val="24"/>
          <w:lang w:bidi="ar"/>
        </w:rPr>
        <w:t>比例配售（</w:t>
      </w:r>
      <w:r>
        <w:rPr>
          <w:rFonts w:ascii="宋体" w:hAnsi="宋体" w:eastAsia="宋体" w:cs="宋体"/>
          <w:sz w:val="24"/>
          <w:szCs w:val="24"/>
          <w:lang w:bidi="ar"/>
        </w:rPr>
        <w:t>簿记管理人</w:t>
      </w:r>
      <w:r>
        <w:rPr>
          <w:rFonts w:hint="eastAsia" w:ascii="宋体" w:hAnsi="宋体" w:eastAsia="宋体" w:cs="宋体"/>
          <w:sz w:val="24"/>
          <w:szCs w:val="24"/>
          <w:lang w:bidi="ar"/>
        </w:rPr>
        <w:t>可根据投资者申购数量取整要求或其他特殊情况，对边际配售结果进行适当调整）；申购利率高于发行利率的投资者申购数量不予配售。</w:t>
      </w:r>
    </w:p>
    <w:p>
      <w:pPr>
        <w:numPr>
          <w:ilvl w:val="255"/>
          <w:numId w:val="0"/>
        </w:numPr>
        <w:adjustRightInd w:val="0"/>
        <w:snapToGrid w:val="0"/>
        <w:spacing w:line="360" w:lineRule="auto"/>
        <w:ind w:left="420" w:leftChars="200"/>
        <w:outlineLvl w:val="9"/>
        <w:rPr>
          <w:rFonts w:ascii="宋体" w:hAnsi="宋体" w:eastAsia="宋体" w:cs="宋体"/>
          <w:b/>
          <w:sz w:val="24"/>
          <w:szCs w:val="24"/>
          <w:lang w:bidi="ar"/>
        </w:rPr>
      </w:pPr>
      <w:r>
        <w:rPr>
          <w:rFonts w:ascii="宋体" w:hAnsi="宋体" w:eastAsia="宋体" w:cs="宋体"/>
          <w:b/>
          <w:sz w:val="24"/>
          <w:szCs w:val="24"/>
          <w:lang w:bidi="ar"/>
        </w:rPr>
        <w:t>（七）缴款</w:t>
      </w:r>
    </w:p>
    <w:p>
      <w:pPr>
        <w:adjustRightInd w:val="0"/>
        <w:snapToGrid w:val="0"/>
        <w:spacing w:line="360" w:lineRule="auto"/>
        <w:ind w:firstLine="480" w:firstLineChars="200"/>
        <w:rPr>
          <w:rFonts w:ascii="宋体" w:hAnsi="宋体" w:eastAsia="宋体" w:cs="宋体"/>
          <w:sz w:val="24"/>
          <w:szCs w:val="24"/>
          <w:lang w:bidi="ar"/>
        </w:rPr>
      </w:pPr>
      <w:r>
        <w:rPr>
          <w:rFonts w:hint="eastAsia" w:ascii="Calibri" w:hAnsi="Calibri" w:eastAsia="宋体" w:cs="宋体"/>
          <w:sz w:val="24"/>
          <w:lang w:bidi="ar"/>
        </w:rPr>
        <w:t>【可根据承销机构实际情况调整】</w:t>
      </w:r>
      <w:r>
        <w:rPr>
          <w:rFonts w:ascii="宋体" w:hAnsi="宋体" w:eastAsia="宋体" w:cs="宋体"/>
          <w:sz w:val="24"/>
          <w:szCs w:val="24"/>
        </w:rPr>
        <w:t xml:space="preserve"> </w:t>
      </w:r>
      <w:r>
        <w:rPr>
          <w:rFonts w:hint="eastAsia" w:ascii="宋体" w:hAnsi="宋体" w:eastAsia="宋体" w:cs="宋体"/>
          <w:sz w:val="24"/>
          <w:szCs w:val="24"/>
          <w:lang w:bidi="ar"/>
        </w:rPr>
        <w:t>获得配售的专业机构投资者应按规定及时缴纳认购款，认购款须在</w:t>
      </w:r>
      <w:r>
        <w:rPr>
          <w:rFonts w:ascii="宋体" w:hAnsi="宋体" w:eastAsia="宋体" w:cs="宋体"/>
          <w:sz w:val="24"/>
          <w:szCs w:val="24"/>
          <w:lang w:bidi="ar"/>
        </w:rPr>
        <w:t>【】</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w:t>
      </w:r>
      <w:r>
        <w:rPr>
          <w:rFonts w:ascii="宋体" w:hAnsi="宋体" w:eastAsia="宋体" w:cs="宋体"/>
          <w:sz w:val="24"/>
          <w:szCs w:val="24"/>
          <w:lang w:bidi="ar"/>
        </w:rPr>
        <w:t>*</w:t>
      </w:r>
      <w:r>
        <w:rPr>
          <w:rFonts w:hint="eastAsia" w:ascii="宋体" w:hAnsi="宋体" w:eastAsia="宋体" w:cs="宋体"/>
          <w:sz w:val="24"/>
          <w:szCs w:val="24"/>
          <w:lang w:bidi="ar"/>
        </w:rPr>
        <w:t>日）</w:t>
      </w:r>
      <w:r>
        <w:rPr>
          <w:rFonts w:ascii="宋体" w:hAnsi="宋体" w:eastAsia="宋体" w:cs="宋体"/>
          <w:sz w:val="24"/>
          <w:szCs w:val="24"/>
          <w:lang w:bidi="ar"/>
        </w:rPr>
        <w:t>**：</w:t>
      </w:r>
      <w:r>
        <w:rPr>
          <w:rFonts w:hint="eastAsia" w:ascii="宋体" w:hAnsi="宋体" w:eastAsia="宋体" w:cs="宋体"/>
          <w:sz w:val="24"/>
          <w:szCs w:val="24"/>
          <w:lang w:bidi="ar"/>
        </w:rPr>
        <w:t>00前足额划至簿记管理人指定的收款银行账户。划款时请注明“</w:t>
      </w:r>
      <w:r>
        <w:rPr>
          <w:rFonts w:ascii="宋体" w:hAnsi="宋体" w:eastAsia="宋体" w:cs="宋体"/>
          <w:sz w:val="24"/>
          <w:szCs w:val="24"/>
          <w:lang w:bidi="ar"/>
        </w:rPr>
        <w:t>【】</w:t>
      </w:r>
      <w:r>
        <w:rPr>
          <w:rFonts w:hint="eastAsia" w:ascii="宋体" w:hAnsi="宋体" w:eastAsia="宋体" w:cs="宋体"/>
          <w:sz w:val="24"/>
          <w:szCs w:val="24"/>
          <w:lang w:bidi="ar"/>
        </w:rPr>
        <w:t>认购资金”“</w:t>
      </w:r>
      <w:r>
        <w:rPr>
          <w:rFonts w:ascii="宋体" w:hAnsi="宋体" w:eastAsia="宋体" w:cs="宋体"/>
          <w:sz w:val="24"/>
          <w:szCs w:val="24"/>
          <w:lang w:bidi="ar"/>
        </w:rPr>
        <w:t>【</w:t>
      </w:r>
      <w:r>
        <w:rPr>
          <w:rFonts w:hint="eastAsia" w:ascii="宋体" w:hAnsi="宋体" w:eastAsia="宋体" w:cs="宋体"/>
          <w:sz w:val="24"/>
          <w:szCs w:val="24"/>
          <w:lang w:bidi="ar"/>
        </w:rPr>
        <w:t>专业机构投资者认购账户简称</w:t>
      </w:r>
      <w:r>
        <w:rPr>
          <w:rFonts w:ascii="宋体" w:hAnsi="宋体" w:eastAsia="宋体" w:cs="宋体"/>
          <w:sz w:val="24"/>
          <w:szCs w:val="24"/>
          <w:lang w:bidi="ar"/>
        </w:rPr>
        <w:t>】</w:t>
      </w:r>
      <w:r>
        <w:rPr>
          <w:rFonts w:hint="eastAsia" w:ascii="宋体" w:hAnsi="宋体" w:eastAsia="宋体" w:cs="宋体"/>
          <w:sz w:val="24"/>
          <w:szCs w:val="24"/>
          <w:lang w:bidi="ar"/>
        </w:rPr>
        <w:t>”字样，同时向簿记管理人传真划款凭证。</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账户名称：</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账号：</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开户银行：</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中国人民银行支付系统号：</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联系人：</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联系电话：</w:t>
      </w:r>
      <w:r>
        <w:rPr>
          <w:rFonts w:ascii="宋体" w:hAnsi="宋体" w:eastAsia="宋体" w:cs="宋体"/>
          <w:sz w:val="24"/>
          <w:szCs w:val="24"/>
          <w:lang w:bidi="ar"/>
        </w:rPr>
        <w:t>【】；</w:t>
      </w:r>
    </w:p>
    <w:p>
      <w:pPr>
        <w:adjustRightInd w:val="0"/>
        <w:snapToGrid w:val="0"/>
        <w:spacing w:line="360" w:lineRule="auto"/>
        <w:ind w:firstLine="480" w:firstLineChars="200"/>
        <w:rPr>
          <w:rFonts w:ascii="宋体" w:hAnsi="宋体" w:eastAsia="宋体" w:cs="宋体"/>
          <w:sz w:val="24"/>
          <w:szCs w:val="24"/>
          <w:lang w:bidi="ar"/>
        </w:rPr>
      </w:pPr>
      <w:r>
        <w:rPr>
          <w:rFonts w:hint="eastAsia" w:ascii="宋体" w:hAnsi="宋体" w:eastAsia="宋体" w:cs="宋体"/>
          <w:sz w:val="24"/>
          <w:szCs w:val="24"/>
          <w:lang w:bidi="ar"/>
        </w:rPr>
        <w:t>传真：</w:t>
      </w:r>
      <w:r>
        <w:rPr>
          <w:rFonts w:ascii="宋体" w:hAnsi="宋体" w:eastAsia="宋体" w:cs="宋体"/>
          <w:sz w:val="24"/>
          <w:szCs w:val="24"/>
          <w:lang w:bidi="ar"/>
        </w:rPr>
        <w:t>【】。</w:t>
      </w:r>
    </w:p>
    <w:p>
      <w:pPr>
        <w:numPr>
          <w:ilvl w:val="255"/>
          <w:numId w:val="0"/>
        </w:numPr>
        <w:adjustRightInd w:val="0"/>
        <w:snapToGrid w:val="0"/>
        <w:spacing w:line="360" w:lineRule="auto"/>
        <w:ind w:left="420" w:leftChars="200"/>
        <w:outlineLvl w:val="9"/>
        <w:rPr>
          <w:rFonts w:ascii="宋体" w:hAnsi="宋体" w:eastAsia="宋体" w:cs="宋体"/>
          <w:b/>
          <w:sz w:val="24"/>
          <w:szCs w:val="24"/>
          <w:lang w:bidi="ar"/>
        </w:rPr>
      </w:pPr>
      <w:r>
        <w:rPr>
          <w:rFonts w:ascii="宋体" w:hAnsi="宋体" w:eastAsia="宋体" w:cs="宋体"/>
          <w:b/>
          <w:sz w:val="24"/>
          <w:szCs w:val="24"/>
          <w:lang w:bidi="ar"/>
        </w:rPr>
        <w:t>（八）违约认购的处理</w:t>
      </w:r>
    </w:p>
    <w:p>
      <w:pPr>
        <w:adjustRightInd w:val="0"/>
        <w:snapToGrid w:val="0"/>
        <w:spacing w:line="360" w:lineRule="auto"/>
        <w:ind w:firstLine="480" w:firstLineChars="200"/>
        <w:rPr>
          <w:rFonts w:ascii="宋体" w:hAnsi="宋体" w:eastAsia="宋体" w:cs="宋体"/>
          <w:sz w:val="24"/>
          <w:szCs w:val="24"/>
          <w:lang w:bidi="ar"/>
        </w:rPr>
      </w:pPr>
      <w:r>
        <w:rPr>
          <w:rFonts w:hint="eastAsia" w:ascii="Calibri" w:hAnsi="Calibri" w:eastAsia="宋体" w:cs="宋体"/>
          <w:sz w:val="24"/>
          <w:lang w:bidi="ar"/>
        </w:rPr>
        <w:t>【可根据承销机构实际情况调整】</w:t>
      </w:r>
      <w:r>
        <w:rPr>
          <w:rFonts w:ascii="宋体" w:hAnsi="宋体" w:eastAsia="宋体" w:cs="宋体"/>
          <w:sz w:val="24"/>
          <w:szCs w:val="24"/>
        </w:rPr>
        <w:t xml:space="preserve"> </w:t>
      </w:r>
      <w:r>
        <w:rPr>
          <w:rFonts w:hint="eastAsia" w:ascii="宋体" w:hAnsi="宋体" w:eastAsia="宋体" w:cs="宋体"/>
          <w:sz w:val="24"/>
          <w:szCs w:val="24"/>
          <w:lang w:bidi="ar"/>
        </w:rPr>
        <w:t>未能在</w:t>
      </w:r>
      <w:r>
        <w:rPr>
          <w:rFonts w:ascii="宋体" w:hAnsi="宋体" w:eastAsia="宋体" w:cs="宋体"/>
          <w:sz w:val="24"/>
          <w:szCs w:val="24"/>
          <w:lang w:bidi="ar"/>
        </w:rPr>
        <w:t>【】</w:t>
      </w:r>
      <w:r>
        <w:rPr>
          <w:rFonts w:hint="eastAsia" w:ascii="宋体" w:hAnsi="宋体" w:eastAsia="宋体" w:cs="宋体"/>
          <w:sz w:val="24"/>
          <w:szCs w:val="24"/>
          <w:lang w:bidi="ar"/>
        </w:rPr>
        <w:t>年</w:t>
      </w:r>
      <w:r>
        <w:rPr>
          <w:rFonts w:ascii="宋体" w:hAnsi="宋体" w:eastAsia="宋体" w:cs="宋体"/>
          <w:sz w:val="24"/>
          <w:szCs w:val="24"/>
          <w:lang w:bidi="ar"/>
        </w:rPr>
        <w:t>【】</w:t>
      </w:r>
      <w:r>
        <w:rPr>
          <w:rFonts w:hint="eastAsia" w:ascii="宋体" w:hAnsi="宋体" w:eastAsia="宋体" w:cs="宋体"/>
          <w:sz w:val="24"/>
          <w:szCs w:val="24"/>
          <w:lang w:bidi="ar"/>
        </w:rPr>
        <w:t>月</w:t>
      </w:r>
      <w:r>
        <w:rPr>
          <w:rFonts w:ascii="宋体" w:hAnsi="宋体" w:eastAsia="宋体" w:cs="宋体"/>
          <w:sz w:val="24"/>
          <w:szCs w:val="24"/>
          <w:lang w:bidi="ar"/>
        </w:rPr>
        <w:t>【】</w:t>
      </w:r>
      <w:r>
        <w:rPr>
          <w:rFonts w:hint="eastAsia" w:ascii="宋体" w:hAnsi="宋体" w:eastAsia="宋体" w:cs="宋体"/>
          <w:sz w:val="24"/>
          <w:szCs w:val="24"/>
          <w:lang w:bidi="ar"/>
        </w:rPr>
        <w:t>日（T+</w:t>
      </w:r>
      <w:r>
        <w:rPr>
          <w:rFonts w:ascii="宋体" w:hAnsi="宋体" w:eastAsia="宋体" w:cs="宋体"/>
          <w:sz w:val="24"/>
          <w:szCs w:val="24"/>
          <w:lang w:bidi="ar"/>
        </w:rPr>
        <w:t>*</w:t>
      </w:r>
      <w:r>
        <w:rPr>
          <w:rFonts w:hint="eastAsia" w:ascii="宋体" w:hAnsi="宋体" w:eastAsia="宋体" w:cs="宋体"/>
          <w:sz w:val="24"/>
          <w:szCs w:val="24"/>
          <w:lang w:bidi="ar"/>
        </w:rPr>
        <w:t>日）</w:t>
      </w:r>
      <w:r>
        <w:rPr>
          <w:rFonts w:ascii="宋体" w:hAnsi="宋体" w:eastAsia="宋体" w:cs="宋体"/>
          <w:sz w:val="24"/>
          <w:szCs w:val="24"/>
          <w:lang w:bidi="ar"/>
        </w:rPr>
        <w:t>**</w:t>
      </w:r>
      <w:r>
        <w:rPr>
          <w:rFonts w:hint="eastAsia" w:ascii="宋体" w:hAnsi="宋体" w:eastAsia="宋体" w:cs="宋体"/>
          <w:sz w:val="24"/>
          <w:szCs w:val="24"/>
          <w:lang w:bidi="ar"/>
        </w:rPr>
        <w:t>:00前缴足认购款的专业机构投资者将被视为违约申购，簿记管理人有权处置该违约投资者认购要约项下的全部债券，并有权进一步依法追究违约投资者的法律责任。</w:t>
      </w:r>
    </w:p>
    <w:p>
      <w:pPr>
        <w:adjustRightInd w:val="0"/>
        <w:snapToGrid w:val="0"/>
        <w:spacing w:line="360" w:lineRule="auto"/>
        <w:ind w:firstLine="562" w:firstLineChars="200"/>
        <w:outlineLvl w:val="9"/>
        <w:rPr>
          <w:b/>
          <w:sz w:val="28"/>
          <w:szCs w:val="28"/>
        </w:rPr>
      </w:pPr>
      <w:r>
        <w:rPr>
          <w:rFonts w:hint="eastAsia" w:ascii="Calibri" w:hAnsi="Calibri" w:eastAsia="宋体" w:cs="宋体"/>
          <w:b/>
          <w:sz w:val="28"/>
          <w:szCs w:val="28"/>
          <w:lang w:bidi="ar"/>
        </w:rPr>
        <w:t>四、风险提示</w:t>
      </w:r>
    </w:p>
    <w:p>
      <w:pPr>
        <w:adjustRightInd w:val="0"/>
        <w:snapToGrid w:val="0"/>
        <w:spacing w:line="360" w:lineRule="auto"/>
        <w:ind w:firstLine="480" w:firstLineChars="200"/>
        <w:rPr>
          <w:sz w:val="24"/>
        </w:rPr>
      </w:pPr>
      <w:r>
        <w:rPr>
          <w:rFonts w:hint="eastAsia" w:ascii="Calibri" w:hAnsi="Calibri" w:eastAsia="宋体" w:cs="宋体"/>
          <w:sz w:val="24"/>
          <w:lang w:bidi="ar"/>
        </w:rPr>
        <w:t>主承销商就已知范围已充分揭示本次发行可能涉及的风险事项，详细风险揭示条款参见《【债券全称】募集说明书》。</w:t>
      </w:r>
    </w:p>
    <w:p>
      <w:pPr>
        <w:adjustRightInd w:val="0"/>
        <w:snapToGrid w:val="0"/>
        <w:spacing w:line="360" w:lineRule="auto"/>
        <w:ind w:firstLine="562" w:firstLineChars="200"/>
        <w:outlineLvl w:val="9"/>
        <w:rPr>
          <w:b/>
          <w:sz w:val="28"/>
          <w:szCs w:val="28"/>
        </w:rPr>
      </w:pPr>
      <w:r>
        <w:rPr>
          <w:rFonts w:hint="eastAsia" w:ascii="Calibri" w:hAnsi="Calibri" w:eastAsia="宋体" w:cs="宋体"/>
          <w:b/>
          <w:sz w:val="28"/>
          <w:szCs w:val="28"/>
          <w:lang w:bidi="ar"/>
        </w:rPr>
        <w:t>五、认购费用</w:t>
      </w:r>
    </w:p>
    <w:p>
      <w:pPr>
        <w:adjustRightInd w:val="0"/>
        <w:snapToGrid w:val="0"/>
        <w:spacing w:line="360" w:lineRule="auto"/>
        <w:ind w:firstLine="480" w:firstLineChars="200"/>
        <w:rPr>
          <w:sz w:val="24"/>
        </w:rPr>
      </w:pPr>
      <w:r>
        <w:rPr>
          <w:rFonts w:hint="eastAsia" w:ascii="Calibri" w:hAnsi="Calibri" w:eastAsia="宋体" w:cs="宋体"/>
          <w:sz w:val="24"/>
          <w:lang w:bidi="ar"/>
        </w:rPr>
        <w:t>本次发行不向投资者收取佣金、过户费、印花税等费用。</w:t>
      </w:r>
    </w:p>
    <w:p>
      <w:pPr>
        <w:adjustRightInd w:val="0"/>
        <w:snapToGrid w:val="0"/>
        <w:spacing w:line="360" w:lineRule="auto"/>
        <w:ind w:firstLine="562" w:firstLineChars="200"/>
        <w:outlineLvl w:val="9"/>
        <w:rPr>
          <w:b/>
          <w:sz w:val="28"/>
          <w:szCs w:val="28"/>
        </w:rPr>
      </w:pPr>
      <w:r>
        <w:rPr>
          <w:rFonts w:hint="eastAsia" w:ascii="Calibri" w:hAnsi="Calibri" w:eastAsia="宋体" w:cs="宋体"/>
          <w:b/>
          <w:sz w:val="28"/>
          <w:szCs w:val="28"/>
          <w:lang w:bidi="ar"/>
        </w:rPr>
        <w:t>六、发行人和主承销商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发行人：【】</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董事会秘书：【】</w:t>
      </w:r>
    </w:p>
    <w:p>
      <w:pPr>
        <w:adjustRightInd w:val="0"/>
        <w:snapToGrid w:val="0"/>
        <w:spacing w:line="360" w:lineRule="auto"/>
        <w:ind w:firstLine="480" w:firstLineChars="200"/>
        <w:rPr>
          <w:sz w:val="24"/>
        </w:rPr>
      </w:pPr>
      <w:r>
        <w:rPr>
          <w:rFonts w:hint="eastAsia" w:ascii="Calibri" w:hAnsi="Calibri" w:eastAsia="宋体" w:cs="宋体"/>
          <w:sz w:val="24"/>
          <w:lang w:bidi="ar"/>
        </w:rPr>
        <w:t>联系人：【】</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sz w:val="24"/>
        </w:rPr>
      </w:pPr>
      <w:r>
        <w:rPr>
          <w:rFonts w:hint="eastAsia" w:ascii="Calibri" w:hAnsi="Calibri" w:eastAsia="宋体" w:cs="宋体"/>
          <w:sz w:val="24"/>
          <w:lang w:bidi="ar"/>
        </w:rPr>
        <w:t>邮政编码：【】</w:t>
      </w:r>
    </w:p>
    <w:p>
      <w:pPr>
        <w:adjustRightInd w:val="0"/>
        <w:snapToGrid w:val="0"/>
        <w:spacing w:line="360" w:lineRule="auto"/>
        <w:ind w:firstLine="480" w:firstLineChars="200"/>
        <w:rPr>
          <w:sz w:val="24"/>
        </w:rPr>
      </w:pPr>
      <w:r>
        <w:rPr>
          <w:rFonts w:hint="eastAsia" w:ascii="Calibri" w:hAnsi="Calibri" w:eastAsia="宋体" w:cs="宋体"/>
          <w:sz w:val="24"/>
          <w:lang w:bidi="ar"/>
        </w:rPr>
        <w:t>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项目主办人：【】</w:t>
      </w:r>
    </w:p>
    <w:p>
      <w:pPr>
        <w:adjustRightInd w:val="0"/>
        <w:snapToGrid w:val="0"/>
        <w:spacing w:line="360" w:lineRule="auto"/>
        <w:ind w:firstLine="480" w:firstLineChars="200"/>
        <w:rPr>
          <w:sz w:val="24"/>
        </w:rPr>
      </w:pPr>
      <w:r>
        <w:rPr>
          <w:rFonts w:hint="eastAsia" w:ascii="Calibri" w:hAnsi="Calibri" w:eastAsia="宋体" w:cs="宋体"/>
          <w:sz w:val="24"/>
          <w:lang w:bidi="ar"/>
        </w:rPr>
        <w:t>项目组其他人员：【】</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sz w:val="24"/>
        </w:rPr>
      </w:pPr>
      <w:r>
        <w:rPr>
          <w:rFonts w:hint="eastAsia" w:ascii="Calibri" w:hAnsi="Calibri" w:eastAsia="宋体" w:cs="宋体"/>
          <w:sz w:val="24"/>
          <w:lang w:bidi="ar"/>
        </w:rPr>
        <w:t>邮政编码：【】</w:t>
      </w:r>
    </w:p>
    <w:p>
      <w:pPr>
        <w:adjustRightInd w:val="0"/>
        <w:snapToGrid w:val="0"/>
        <w:spacing w:line="360" w:lineRule="auto"/>
        <w:ind w:firstLine="480" w:firstLineChars="200"/>
        <w:rPr>
          <w:sz w:val="24"/>
        </w:rPr>
      </w:pPr>
      <w:r>
        <w:rPr>
          <w:rFonts w:hint="eastAsia" w:ascii="Calibri" w:hAnsi="Calibri" w:eastAsia="宋体" w:cs="宋体"/>
          <w:sz w:val="24"/>
          <w:lang w:bidi="ar"/>
        </w:rPr>
        <w:t>联席主承销商：【】</w:t>
      </w:r>
    </w:p>
    <w:p>
      <w:pPr>
        <w:adjustRightInd w:val="0"/>
        <w:snapToGrid w:val="0"/>
        <w:spacing w:line="360" w:lineRule="auto"/>
        <w:ind w:firstLine="480" w:firstLineChars="200"/>
        <w:rPr>
          <w:sz w:val="24"/>
        </w:rPr>
      </w:pPr>
      <w:r>
        <w:rPr>
          <w:rFonts w:hint="eastAsia" w:ascii="Calibri" w:hAnsi="Calibri" w:eastAsia="宋体" w:cs="宋体"/>
          <w:sz w:val="24"/>
          <w:lang w:bidi="ar"/>
        </w:rPr>
        <w:t>住所：【】</w:t>
      </w:r>
    </w:p>
    <w:p>
      <w:pPr>
        <w:adjustRightInd w:val="0"/>
        <w:snapToGrid w:val="0"/>
        <w:spacing w:line="360" w:lineRule="auto"/>
        <w:ind w:firstLine="480" w:firstLineChars="200"/>
        <w:rPr>
          <w:sz w:val="24"/>
        </w:rPr>
      </w:pPr>
      <w:r>
        <w:rPr>
          <w:rFonts w:hint="eastAsia" w:ascii="Calibri" w:hAnsi="Calibri" w:eastAsia="宋体" w:cs="宋体"/>
          <w:sz w:val="24"/>
          <w:lang w:bidi="ar"/>
        </w:rPr>
        <w:t>办公地址：【】</w:t>
      </w:r>
    </w:p>
    <w:p>
      <w:pPr>
        <w:adjustRightInd w:val="0"/>
        <w:snapToGrid w:val="0"/>
        <w:spacing w:line="360" w:lineRule="auto"/>
        <w:ind w:firstLine="480" w:firstLineChars="200"/>
        <w:rPr>
          <w:sz w:val="24"/>
        </w:rPr>
      </w:pPr>
      <w:r>
        <w:rPr>
          <w:rFonts w:hint="eastAsia" w:ascii="Calibri" w:hAnsi="Calibri" w:eastAsia="宋体" w:cs="宋体"/>
          <w:sz w:val="24"/>
          <w:lang w:bidi="ar"/>
        </w:rPr>
        <w:t>法定代表人：【】</w:t>
      </w:r>
    </w:p>
    <w:p>
      <w:pPr>
        <w:adjustRightInd w:val="0"/>
        <w:snapToGrid w:val="0"/>
        <w:spacing w:line="360" w:lineRule="auto"/>
        <w:ind w:firstLine="480" w:firstLineChars="200"/>
        <w:rPr>
          <w:sz w:val="24"/>
        </w:rPr>
      </w:pPr>
      <w:r>
        <w:rPr>
          <w:rFonts w:hint="eastAsia" w:ascii="Calibri" w:hAnsi="Calibri" w:eastAsia="宋体" w:cs="宋体"/>
          <w:sz w:val="24"/>
          <w:lang w:bidi="ar"/>
        </w:rPr>
        <w:t>项目主办人：【】</w:t>
      </w:r>
    </w:p>
    <w:p>
      <w:pPr>
        <w:adjustRightInd w:val="0"/>
        <w:snapToGrid w:val="0"/>
        <w:spacing w:line="360" w:lineRule="auto"/>
        <w:ind w:firstLine="480" w:firstLineChars="200"/>
        <w:rPr>
          <w:sz w:val="24"/>
        </w:rPr>
      </w:pPr>
      <w:r>
        <w:rPr>
          <w:rFonts w:hint="eastAsia" w:ascii="Calibri" w:hAnsi="Calibri" w:eastAsia="宋体" w:cs="宋体"/>
          <w:sz w:val="24"/>
          <w:lang w:bidi="ar"/>
        </w:rPr>
        <w:t>项目组其他人员：【】</w:t>
      </w:r>
    </w:p>
    <w:p>
      <w:pPr>
        <w:adjustRightInd w:val="0"/>
        <w:snapToGrid w:val="0"/>
        <w:spacing w:line="360" w:lineRule="auto"/>
        <w:ind w:firstLine="480" w:firstLineChars="200"/>
        <w:rPr>
          <w:sz w:val="24"/>
        </w:rPr>
      </w:pPr>
      <w:r>
        <w:rPr>
          <w:rFonts w:hint="eastAsia" w:ascii="Calibri" w:hAnsi="Calibri" w:eastAsia="宋体" w:cs="宋体"/>
          <w:sz w:val="24"/>
          <w:lang w:bidi="ar"/>
        </w:rPr>
        <w:t>电话：【】</w:t>
      </w:r>
    </w:p>
    <w:p>
      <w:pPr>
        <w:adjustRightInd w:val="0"/>
        <w:snapToGrid w:val="0"/>
        <w:spacing w:line="360" w:lineRule="auto"/>
        <w:ind w:firstLine="480" w:firstLineChars="200"/>
        <w:rPr>
          <w:sz w:val="24"/>
        </w:rPr>
      </w:pPr>
      <w:r>
        <w:rPr>
          <w:rFonts w:hint="eastAsia" w:ascii="Calibri" w:hAnsi="Calibri" w:eastAsia="宋体" w:cs="宋体"/>
          <w:sz w:val="24"/>
          <w:lang w:bidi="ar"/>
        </w:rPr>
        <w:t>传真：【】</w:t>
      </w:r>
    </w:p>
    <w:p>
      <w:pPr>
        <w:adjustRightInd w:val="0"/>
        <w:snapToGrid w:val="0"/>
        <w:spacing w:line="360" w:lineRule="auto"/>
        <w:ind w:firstLine="480" w:firstLineChars="200"/>
        <w:rPr>
          <w:rFonts w:hint="eastAsia" w:ascii="Calibri" w:hAnsi="Calibri" w:eastAsia="宋体" w:cs="宋体"/>
          <w:sz w:val="24"/>
          <w:lang w:bidi="ar"/>
        </w:rPr>
      </w:pPr>
      <w:r>
        <w:rPr>
          <w:rFonts w:hint="eastAsia" w:ascii="Calibri" w:hAnsi="Calibri" w:eastAsia="宋体" w:cs="宋体"/>
          <w:sz w:val="24"/>
          <w:lang w:bidi="ar"/>
        </w:rPr>
        <w:t>邮政编码：【】</w:t>
      </w:r>
      <w:r>
        <w:rPr>
          <w:rFonts w:ascii="Calibri" w:hAnsi="Calibri" w:eastAsia="宋体" w:cs="Times New Roman"/>
          <w:lang w:bidi="ar"/>
        </w:rPr>
        <w:br w:type="page"/>
      </w:r>
      <w:r>
        <w:rPr>
          <w:rFonts w:hint="eastAsia" w:ascii="Calibri" w:hAnsi="Calibri" w:eastAsia="宋体" w:cs="宋体"/>
          <w:sz w:val="24"/>
          <w:lang w:bidi="ar"/>
        </w:rPr>
        <w:t>（本页无正文，为《【债券全称】发行公告》之签章页）</w:t>
      </w:r>
    </w:p>
    <w:p>
      <w:pPr>
        <w:adjustRightInd w:val="0"/>
        <w:snapToGrid w:val="0"/>
        <w:spacing w:line="360" w:lineRule="auto"/>
        <w:ind w:firstLine="480" w:firstLineChars="200"/>
        <w:rPr>
          <w:rFonts w:hint="eastAsia" w:ascii="Calibri" w:hAnsi="Calibri" w:eastAsia="宋体" w:cs="宋体"/>
          <w:sz w:val="24"/>
          <w:lang w:bidi="ar"/>
        </w:rPr>
      </w:pPr>
    </w:p>
    <w:p>
      <w:pPr>
        <w:adjustRightInd w:val="0"/>
        <w:snapToGrid w:val="0"/>
        <w:spacing w:line="360" w:lineRule="auto"/>
        <w:jc w:val="right"/>
        <w:rPr>
          <w:sz w:val="24"/>
        </w:rPr>
      </w:pPr>
      <w:r>
        <w:rPr>
          <w:rFonts w:hint="eastAsia" w:ascii="Calibri" w:hAnsi="Calibri" w:eastAsia="宋体" w:cs="宋体"/>
          <w:sz w:val="24"/>
          <w:lang w:bidi="ar"/>
        </w:rPr>
        <w:t>发行人：【】</w:t>
      </w:r>
    </w:p>
    <w:p>
      <w:pPr>
        <w:adjustRightInd w:val="0"/>
        <w:snapToGrid w:val="0"/>
        <w:spacing w:line="360" w:lineRule="auto"/>
        <w:jc w:val="right"/>
        <w:rPr>
          <w:sz w:val="24"/>
        </w:rPr>
      </w:pPr>
      <w:r>
        <w:rPr>
          <w:rFonts w:hint="eastAsia" w:ascii="Calibri" w:hAnsi="Calibri" w:eastAsia="宋体" w:cs="宋体"/>
          <w:sz w:val="24"/>
          <w:lang w:bidi="ar"/>
        </w:rPr>
        <w:t>年月日</w:t>
      </w:r>
    </w:p>
    <w:p>
      <w:pPr>
        <w:adjustRightInd w:val="0"/>
        <w:snapToGrid w:val="0"/>
        <w:rPr>
          <w:sz w:val="24"/>
        </w:rPr>
      </w:pPr>
      <w:r>
        <w:rPr>
          <w:rFonts w:ascii="Calibri" w:hAnsi="Calibri" w:eastAsia="宋体" w:cs="Times New Roman"/>
          <w:sz w:val="24"/>
          <w:lang w:bidi="ar"/>
        </w:rPr>
        <w:br w:type="page"/>
      </w:r>
    </w:p>
    <w:p>
      <w:pPr>
        <w:adjustRightInd w:val="0"/>
        <w:snapToGrid w:val="0"/>
        <w:spacing w:line="360" w:lineRule="auto"/>
        <w:jc w:val="left"/>
        <w:rPr>
          <w:sz w:val="24"/>
        </w:rPr>
      </w:pPr>
      <w:r>
        <w:rPr>
          <w:rFonts w:hint="eastAsia" w:ascii="Calibri" w:hAnsi="Calibri" w:eastAsia="宋体" w:cs="宋体"/>
          <w:sz w:val="24"/>
          <w:lang w:bidi="ar"/>
        </w:rPr>
        <w:t>（本页无正文，为《【债券全称】发行公告》之签章页）</w:t>
      </w:r>
    </w:p>
    <w:p>
      <w:pPr>
        <w:adjustRightInd w:val="0"/>
        <w:snapToGrid w:val="0"/>
        <w:spacing w:line="360" w:lineRule="auto"/>
        <w:rPr>
          <w:sz w:val="24"/>
        </w:rPr>
      </w:pPr>
    </w:p>
    <w:p>
      <w:pPr>
        <w:adjustRightInd w:val="0"/>
        <w:snapToGrid w:val="0"/>
        <w:spacing w:line="360" w:lineRule="auto"/>
        <w:jc w:val="right"/>
        <w:rPr>
          <w:sz w:val="24"/>
        </w:rPr>
      </w:pPr>
      <w:r>
        <w:rPr>
          <w:rFonts w:hint="eastAsia" w:ascii="Calibri" w:hAnsi="Calibri" w:eastAsia="宋体" w:cs="宋体"/>
          <w:sz w:val="24"/>
          <w:lang w:bidi="ar"/>
        </w:rPr>
        <w:t>主承销商：【】</w:t>
      </w:r>
    </w:p>
    <w:p>
      <w:pPr>
        <w:adjustRightInd w:val="0"/>
        <w:snapToGrid w:val="0"/>
        <w:spacing w:line="360" w:lineRule="auto"/>
        <w:jc w:val="right"/>
        <w:rPr>
          <w:rFonts w:cs="Calibri"/>
          <w:sz w:val="24"/>
        </w:rPr>
      </w:pPr>
      <w:r>
        <w:rPr>
          <w:rFonts w:hint="eastAsia" w:ascii="Calibri" w:hAnsi="Calibri" w:eastAsia="宋体" w:cs="宋体"/>
          <w:sz w:val="24"/>
          <w:lang w:bidi="ar"/>
        </w:rPr>
        <w:t>年月日</w:t>
      </w:r>
    </w:p>
    <w:p>
      <w:pPr>
        <w:adjustRightInd w:val="0"/>
        <w:snapToGrid w:val="0"/>
        <w:rPr>
          <w:sz w:val="24"/>
        </w:rPr>
      </w:pPr>
    </w:p>
    <w:p>
      <w:pPr>
        <w:adjustRightInd w:val="0"/>
        <w:snapToGrid w:val="0"/>
        <w:rPr>
          <w:rFonts w:ascii="Calibri" w:hAnsi="Calibri" w:eastAsia="宋体" w:cs="Calibri"/>
          <w:sz w:val="24"/>
          <w:lang w:bidi="ar"/>
        </w:rPr>
      </w:pPr>
      <w:r>
        <w:rPr>
          <w:rFonts w:ascii="Calibri" w:hAnsi="Calibri" w:eastAsia="宋体" w:cs="Calibri"/>
          <w:sz w:val="24"/>
          <w:lang w:bidi="ar"/>
        </w:rPr>
        <w:br w:type="page"/>
      </w:r>
      <w:r>
        <w:rPr>
          <w:rFonts w:hint="eastAsia" w:ascii="Calibri" w:hAnsi="Calibri" w:eastAsia="宋体" w:cs="Calibri"/>
          <w:sz w:val="24"/>
          <w:lang w:bidi="ar"/>
        </w:rPr>
        <w:t>【可后附申购函、合格投资者确认函、风险揭示书等相关附件】</w:t>
      </w:r>
    </w:p>
    <w:p>
      <w:pPr>
        <w:adjustRightInd w:val="0"/>
        <w:snapToGrid w:val="0"/>
        <w:rPr>
          <w:rFonts w:hint="eastAsia"/>
        </w:rPr>
        <w:sectPr>
          <w:pgSz w:w="11906" w:h="16838"/>
          <w:pgMar w:top="1440" w:right="1800" w:bottom="1440" w:left="1800" w:header="851" w:footer="992" w:gutter="0"/>
          <w:pgNumType w:fmt="decimal"/>
          <w:cols w:space="720" w:num="1"/>
          <w:formProt w:val="1"/>
          <w:docGrid w:type="lines" w:linePitch="312" w:charSpace="0"/>
        </w:sectPr>
      </w:pPr>
    </w:p>
    <w:bookmarkEnd w:id="420"/>
    <w:bookmarkEnd w:id="421"/>
    <w:p>
      <w:pPr>
        <w:pStyle w:val="3"/>
        <w:widowControl/>
        <w:adjustRightInd/>
        <w:snapToGrid/>
        <w:outlineLvl w:val="1"/>
        <w:rPr>
          <w:rFonts w:hint="eastAsia" w:ascii="仿宋" w:hAnsi="仿宋" w:eastAsia="仿宋" w:cs="仿宋"/>
          <w:b w:val="0"/>
          <w:bCs w:val="0"/>
          <w:sz w:val="32"/>
          <w:szCs w:val="32"/>
        </w:rPr>
      </w:pPr>
      <w:bookmarkStart w:id="451" w:name="_Toc27356"/>
      <w:bookmarkStart w:id="452" w:name="_Toc9610"/>
      <w:bookmarkStart w:id="453" w:name="_Toc8245"/>
      <w:bookmarkStart w:id="454" w:name="_Toc10856"/>
      <w:bookmarkStart w:id="455" w:name="_Toc5410"/>
      <w:bookmarkStart w:id="456" w:name="_Toc25815"/>
      <w:bookmarkStart w:id="457" w:name="_Toc7125"/>
      <w:bookmarkStart w:id="458" w:name="_Toc108166110"/>
      <w:bookmarkStart w:id="459" w:name="_Toc1255"/>
      <w:bookmarkStart w:id="460" w:name="_Toc443846226"/>
      <w:bookmarkStart w:id="461" w:name="_Toc3598"/>
      <w:bookmarkStart w:id="462" w:name="_Toc11078"/>
      <w:bookmarkStart w:id="463" w:name="_Toc6385"/>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 xml:space="preserve"> 公募债期后重大事项说明</w:t>
      </w:r>
      <w:bookmarkEnd w:id="451"/>
      <w:bookmarkEnd w:id="452"/>
      <w:bookmarkEnd w:id="453"/>
      <w:bookmarkEnd w:id="454"/>
      <w:bookmarkEnd w:id="455"/>
      <w:bookmarkEnd w:id="456"/>
      <w:bookmarkEnd w:id="457"/>
      <w:bookmarkEnd w:id="458"/>
      <w:bookmarkEnd w:id="459"/>
      <w:bookmarkEnd w:id="460"/>
      <w:bookmarkEnd w:id="461"/>
      <w:bookmarkEnd w:id="462"/>
    </w:p>
    <w:p>
      <w:pPr>
        <w:adjustRightInd w:val="0"/>
        <w:snapToGrid w:val="0"/>
        <w:spacing w:line="360" w:lineRule="auto"/>
        <w:jc w:val="center"/>
        <w:rPr>
          <w:rFonts w:hint="eastAsia" w:ascii="黑体" w:hAnsi="黑体" w:eastAsia="黑体" w:cs="黑体"/>
          <w:b/>
          <w:sz w:val="44"/>
          <w:szCs w:val="44"/>
        </w:rPr>
      </w:pPr>
      <w:r>
        <w:rPr>
          <w:rFonts w:hint="eastAsia" w:ascii="宋体" w:hAnsi="宋体" w:eastAsia="宋体" w:cs="宋体"/>
          <w:b/>
          <w:sz w:val="28"/>
          <w:szCs w:val="28"/>
          <w:lang w:bidi="ar"/>
        </w:rPr>
        <w:t>XX债券期后重大事项说明</w:t>
      </w:r>
    </w:p>
    <w:p>
      <w:pPr>
        <w:adjustRightInd/>
        <w:snapToGrid/>
        <w:spacing w:line="240" w:lineRule="auto"/>
        <w:jc w:val="center"/>
        <w:rPr>
          <w:rFonts w:hint="eastAsia" w:ascii="隶书" w:hAnsi="隶书" w:eastAsia="隶书" w:cs="隶书"/>
          <w:sz w:val="24"/>
          <w:szCs w:val="22"/>
          <w:lang w:bidi="ar"/>
        </w:rPr>
      </w:pPr>
      <w:r>
        <w:rPr>
          <w:rFonts w:hint="eastAsia" w:ascii="隶书" w:hAnsi="隶书" w:eastAsia="隶书" w:cs="隶书"/>
          <w:sz w:val="24"/>
          <w:szCs w:val="22"/>
          <w:lang w:bidi="ar"/>
        </w:rPr>
        <w:t>（应至少包括但不限于以下内容）</w:t>
      </w:r>
    </w:p>
    <w:p>
      <w:pPr>
        <w:adjustRightInd/>
        <w:snapToGrid/>
        <w:spacing w:line="240" w:lineRule="auto"/>
        <w:jc w:val="center"/>
        <w:rPr>
          <w:rFonts w:hint="eastAsia" w:ascii="隶书" w:hAnsi="隶书" w:eastAsia="隶书" w:cs="隶书"/>
          <w:sz w:val="24"/>
          <w:szCs w:val="22"/>
          <w:lang w:bidi="ar"/>
        </w:rPr>
      </w:pPr>
      <w:r>
        <w:rPr>
          <w:rFonts w:hint="eastAsia" w:ascii="隶书" w:hAnsi="隶书" w:eastAsia="隶书" w:cs="隶书"/>
          <w:sz w:val="24"/>
          <w:szCs w:val="22"/>
          <w:lang w:bidi="ar"/>
        </w:rPr>
        <w:t>（请审慎阅读本范例，真实、准确、完整陈述相关情况）</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kern w:val="0"/>
          <w:sz w:val="24"/>
          <w:szCs w:val="24"/>
          <w:lang w:val="zh-CN"/>
        </w:rPr>
      </w:pPr>
      <w:r>
        <w:rPr>
          <w:rFonts w:hint="eastAsia" w:ascii="宋体" w:hAnsi="宋体" w:eastAsia="宋体" w:cs="宋体"/>
          <w:b/>
          <w:bCs/>
          <w:kern w:val="0"/>
          <w:sz w:val="24"/>
          <w:szCs w:val="24"/>
          <w:lang w:val="zh-CN" w:bidi="ar"/>
        </w:rPr>
        <w:t>深圳证券交易所：</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**公司（以下简称“发行人”）公开发行公司债券的申请已获得中国证券监督委员会证监许可【 】号文，</w:t>
      </w:r>
      <w:r>
        <w:rPr>
          <w:rFonts w:hint="eastAsia" w:ascii="宋体" w:hAnsi="宋体" w:eastAsia="宋体" w:cs="宋体"/>
          <w:kern w:val="0"/>
          <w:sz w:val="24"/>
          <w:szCs w:val="24"/>
          <w:lang w:val="zh-CN" w:bidi="ar"/>
        </w:rPr>
        <w:t>同意发行人公开发行【】亿元人民币公司债券。**公司债券（以下简称“本期债券”）为本次批文项下的第【】期发行。</w:t>
      </w:r>
      <w:r>
        <w:rPr>
          <w:rFonts w:hint="eastAsia" w:ascii="宋体" w:hAnsi="宋体" w:eastAsia="宋体" w:cs="宋体"/>
          <w:sz w:val="24"/>
          <w:szCs w:val="24"/>
          <w:lang w:bidi="ar"/>
        </w:rPr>
        <w:t>【截至本说明出具日，发行人已发行债券的规模为X亿元，剩余【】尚未发行】。为维护投资者利益、进行充分信息披露，发行人、主承销商对本期债券获得许可/完成注册后相关事项进行了审慎核查，现说明如下（本说明自签署日起一个自然月内有效，如出现影响本次债券发行条件或发行人偿付能力的重大事项，本公司将及时自查/核查、报告并更新版本说明）：</w:t>
      </w:r>
    </w:p>
    <w:p>
      <w:pPr>
        <w:adjustRightInd w:val="0"/>
        <w:snapToGrid w:val="0"/>
        <w:spacing w:line="360" w:lineRule="auto"/>
        <w:ind w:firstLine="482" w:firstLineChars="200"/>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bidi="ar"/>
        </w:rPr>
        <w:t>一、仍然符合</w:t>
      </w:r>
      <w:r>
        <w:rPr>
          <w:rFonts w:hint="eastAsia" w:ascii="宋体" w:hAnsi="宋体" w:eastAsia="宋体" w:cs="宋体"/>
          <w:b/>
          <w:kern w:val="0"/>
          <w:sz w:val="24"/>
          <w:szCs w:val="24"/>
          <w:lang w:bidi="ar"/>
        </w:rPr>
        <w:t>发行及上市条件</w:t>
      </w:r>
    </w:p>
    <w:p>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bidi="ar"/>
        </w:rPr>
        <w:t>经发行人自查，主承销商通过（实地调查、访谈、调取公共资料）等方式进行的核查，发行人仍然符合以下发行条件</w:t>
      </w:r>
      <w:r>
        <w:rPr>
          <w:rFonts w:hint="eastAsia" w:ascii="宋体" w:hAnsi="宋体" w:eastAsia="宋体" w:cs="宋体"/>
          <w:b/>
          <w:kern w:val="0"/>
          <w:sz w:val="24"/>
          <w:szCs w:val="24"/>
          <w:lang w:val="zh-CN" w:bidi="ar"/>
        </w:rPr>
        <w:t>（需结合论据逐条发表意见）</w:t>
      </w:r>
      <w:r>
        <w:rPr>
          <w:rFonts w:hint="eastAsia" w:ascii="宋体" w:hAnsi="宋体" w:eastAsia="宋体" w:cs="宋体"/>
          <w:kern w:val="0"/>
          <w:sz w:val="24"/>
          <w:szCs w:val="24"/>
          <w:lang w:val="zh-CN" w:bidi="ar"/>
        </w:rPr>
        <w:t>：</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1、具备健全且运行良好的组织机构。</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2、最近三年平均可分配利润足以支付公司债券一年的利息。</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3、具有合理的资产负债结构和正常的现金流量。</w:t>
      </w:r>
    </w:p>
    <w:p>
      <w:pPr>
        <w:adjustRightInd w:val="0"/>
        <w:snapToGrid w:val="0"/>
        <w:spacing w:line="360" w:lineRule="auto"/>
        <w:ind w:firstLine="480" w:firstLineChars="200"/>
        <w:rPr>
          <w:rFonts w:hint="eastAsia" w:ascii="宋体" w:hAnsi="宋体" w:eastAsia="宋体" w:cs="宋体"/>
          <w:kern w:val="0"/>
          <w:sz w:val="24"/>
          <w:szCs w:val="24"/>
          <w:lang w:eastAsia="zh" w:bidi="ar"/>
        </w:rPr>
      </w:pPr>
      <w:r>
        <w:rPr>
          <w:rFonts w:hint="eastAsia" w:ascii="宋体" w:hAnsi="宋体" w:eastAsia="宋体" w:cs="宋体"/>
          <w:kern w:val="0"/>
          <w:sz w:val="24"/>
          <w:szCs w:val="24"/>
          <w:lang w:eastAsia="zh" w:bidi="ar"/>
        </w:rPr>
        <w:t>4、国务院规定的其他条件。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且发行人不存在以下情形：</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1、对已公开发行的公司债券或者其他债务有违约或者延迟支付本息的事实，且仍处于持续状态。</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 xml:space="preserve">2、违反证券法规定，改变公开发行公司债券募集资金用途。                                                                                                          </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二、核准后/注册完成后不存在失信行为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经发行人自查，主承销商通过（实地调查、访谈、调取公共资料）等方式进行的核查，发行人不存在因严重违法、失信行为被有权部门认定为失信被执行人、失信生产经营单位或其他失信单位，并被暂停或限制发行公司债券的情形。</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三、重大事项说明</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经发行人自查，主承销商通过（实地调查、访谈、调取公共资料）等方式进行的核查，自本次债券取得发行许可/注册完成后至本说明出具日，发行人重大事项情况如下（注：表格内容根据《公司债券上市规则（2023年修订）》第3.2.4条》）：</w:t>
      </w:r>
    </w:p>
    <w:tbl>
      <w:tblPr>
        <w:tblStyle w:val="91"/>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5673"/>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sz w:val="24"/>
                <w:szCs w:val="24"/>
              </w:rPr>
            </w:pPr>
            <w:r>
              <w:rPr>
                <w:rFonts w:hint="eastAsia" w:ascii="宋体" w:hAnsi="宋体" w:eastAsia="宋体" w:cs="宋体"/>
                <w:b/>
                <w:kern w:val="0"/>
                <w:sz w:val="24"/>
                <w:szCs w:val="24"/>
                <w:lang w:bidi="ar"/>
              </w:rPr>
              <w:t>序号</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sz w:val="24"/>
                <w:szCs w:val="24"/>
              </w:rPr>
            </w:pPr>
            <w:r>
              <w:rPr>
                <w:rFonts w:hint="eastAsia" w:ascii="宋体" w:hAnsi="宋体" w:eastAsia="宋体" w:cs="宋体"/>
                <w:b/>
                <w:kern w:val="0"/>
                <w:sz w:val="24"/>
                <w:szCs w:val="24"/>
                <w:lang w:bidi="ar"/>
              </w:rPr>
              <w:t>内容</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b/>
                <w:kern w:val="0"/>
                <w:sz w:val="24"/>
                <w:szCs w:val="24"/>
                <w:lang w:bidi="ar"/>
              </w:rPr>
              <w:t>是否发生所述情况</w:t>
            </w:r>
            <w:r>
              <w:rPr>
                <w:rFonts w:hint="eastAsia" w:ascii="宋体" w:hAnsi="宋体" w:eastAsia="宋体" w:cs="宋体"/>
                <w:kern w:val="0"/>
                <w:sz w:val="24"/>
                <w:szCs w:val="24"/>
                <w:lang w:bidi="ar"/>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0"/>
                <w:sz w:val="24"/>
                <w:szCs w:val="24"/>
                <w:lang w:bidi="ar"/>
              </w:rPr>
              <w:t>1</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sz w:val="24"/>
                <w:szCs w:val="24"/>
                <w:lang w:bidi="ar"/>
              </w:rPr>
              <w:t>发行人股权结构或</w:t>
            </w:r>
            <w:r>
              <w:rPr>
                <w:rFonts w:hint="eastAsia" w:ascii="宋体" w:hAnsi="宋体" w:eastAsia="宋体" w:cs="宋体"/>
                <w:kern w:val="0"/>
                <w:sz w:val="24"/>
                <w:szCs w:val="24"/>
                <w:lang w:bidi="ar"/>
              </w:rPr>
              <w:t>生产经营状况发生重大变化</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0"/>
                <w:sz w:val="24"/>
                <w:szCs w:val="24"/>
                <w:lang w:bidi="ar"/>
              </w:rPr>
              <w:t>2</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发行人重大资产被抵押、质押、出售、转让、报废或被查封、扣押、冻结</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3</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发行人放弃债权、财产或者其他导致发行人发生超过上年末净资产百分之十的重大损失</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4</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发行人当年新增借款或者对外提供担保超过上年末净资产的百分之二十</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5</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发行人发生未能清偿到期债务的情况</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6</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发行人分配股利，作出减资、合并、分立、解散、申请破产决定，或者依法进入破产程序、被责令关闭</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7</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发行人涉及重大诉讼、仲裁事项</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8</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发行人涉嫌犯罪被依法立案调查，受到重大行政处罚、行政监管措施或自律组织纪律处分，或者存在重大失信行为</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9</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发行人董事、监事、高级管理人员或者履行同等职责的人员涉嫌犯罪被依法采取强制措施</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10</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发行人控股股东、实际控制人涉嫌犯罪被依法采取强制措施、存在重大失信行为，或者发生变更</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11</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发行人董事长或者总经理、三分之一以上董事、三分之二以上监事发生变动，或者董事长、总经理无法履行职责</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12</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发行人主体或者债券信用评级发生变化</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13</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债券募投项目情况发生重大变化，可能影响募集资金投入和使用计划，或者导致项目预期运营收益实现等存在较大不确定性</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14</w:t>
            </w:r>
          </w:p>
        </w:tc>
        <w:tc>
          <w:tcPr>
            <w:tcW w:w="5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其他对投资者作出投资决策有重大影响的事项</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bl>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发行人发生上述任何一项重大事项，请在本表格下方具体说明该重大事项的内容，包括该事项的起因、状态及其对发行人还本付息能力的影响，是否已在募集说明书中披露（说明披露位置）、相关中介机构是否已发表补充意见（如需）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如果发行人为上市公司且处于停牌状态的，应说明停牌原因；如因重大资产重组停牌的，应披露是否导致实际控制人变更，是否与关联方交易等相关情况。</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四、发行人最新财务状况说明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请说明是否更新了本期债券发行时募集说明书中的财务数据，披露的发行人最近一期财务报表是否超过有效期，如超过有效期，是否根据《深圳证券交易所公司债券发行上市审核业务指引第</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 xml:space="preserve">号——申请文件及其编制要求（2023年修订）》第十三条、十四条申请有效期延长，并说明发行人最新经营、财务及现金流情况是否出现不利变化及对本期债券偿债能力是否有较大影响、发行人是否仍符合发行条件等。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如为知名成熟发行人，可以根据《深圳证券交易所公司债券发行上市审核业务指引第3号——优化审核安排（2023年修订）》第八条第三项的规定进行延期，请说明不存在影响公司经营或者偿债能力的重大不利变化，且不存在影响发行条件的重大事项。</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五、房地产企业特殊事项说明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1、请说明发行人是否仍符合分类监管函要求；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2、住房租赁专项债应明确募集资金具体投资项目，并说明项目是否符合住房租赁专项债要求。</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六、过剩产能企业特殊事项说明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请说明发行人是否仍符合分类监管函要求。</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七、其他事项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1、产品设计</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（如发生债券产品设计的变化，请说明变化前后的差异及已履行的决策程序；如无，请明确无。）</w:t>
      </w:r>
    </w:p>
    <w:tbl>
      <w:tblPr>
        <w:tblStyle w:val="9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51"/>
        <w:gridCol w:w="3021"/>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b/>
                <w:kern w:val="0"/>
                <w:sz w:val="24"/>
                <w:szCs w:val="24"/>
              </w:rPr>
            </w:pPr>
            <w:r>
              <w:rPr>
                <w:rFonts w:hint="eastAsia" w:ascii="宋体" w:hAnsi="宋体" w:eastAsia="宋体" w:cs="宋体"/>
                <w:b/>
                <w:kern w:val="0"/>
                <w:sz w:val="24"/>
                <w:szCs w:val="24"/>
                <w:lang w:bidi="ar"/>
              </w:rPr>
              <w:t>序号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jc w:val="center"/>
              <w:rPr>
                <w:rFonts w:hint="default" w:ascii="宋体" w:hAnsi="宋体" w:eastAsia="宋体" w:cs="宋体"/>
                <w:b/>
                <w:kern w:val="0"/>
                <w:sz w:val="24"/>
                <w:szCs w:val="24"/>
              </w:rPr>
            </w:pPr>
            <w:r>
              <w:rPr>
                <w:rFonts w:hint="eastAsia" w:ascii="宋体" w:hAnsi="宋体" w:eastAsia="宋体" w:cs="宋体"/>
                <w:b/>
                <w:kern w:val="0"/>
                <w:sz w:val="24"/>
                <w:szCs w:val="24"/>
                <w:lang w:bidi="ar"/>
              </w:rPr>
              <w:t>变化前内容</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jc w:val="center"/>
              <w:rPr>
                <w:rFonts w:hint="default" w:ascii="宋体" w:hAnsi="宋体" w:eastAsia="宋体" w:cs="宋体"/>
                <w:b/>
                <w:kern w:val="0"/>
                <w:sz w:val="24"/>
                <w:szCs w:val="24"/>
              </w:rPr>
            </w:pPr>
            <w:r>
              <w:rPr>
                <w:rFonts w:hint="eastAsia" w:ascii="宋体" w:hAnsi="宋体" w:eastAsia="宋体" w:cs="宋体"/>
                <w:b/>
                <w:kern w:val="0"/>
                <w:sz w:val="24"/>
                <w:szCs w:val="24"/>
                <w:lang w:bidi="ar"/>
              </w:rPr>
              <w:t>变化后内容</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b/>
                <w:kern w:val="0"/>
                <w:sz w:val="24"/>
                <w:szCs w:val="24"/>
              </w:rPr>
            </w:pPr>
            <w:r>
              <w:rPr>
                <w:rFonts w:hint="eastAsia" w:ascii="宋体" w:hAnsi="宋体" w:eastAsia="宋体" w:cs="宋体"/>
                <w:b/>
                <w:sz w:val="24"/>
                <w:szCs w:val="24"/>
                <w:lang w:bidi="ar"/>
              </w:rPr>
              <w:t>已履行的</w:t>
            </w:r>
            <w:r>
              <w:rPr>
                <w:rFonts w:hint="eastAsia" w:ascii="宋体" w:hAnsi="宋体" w:eastAsia="宋体" w:cs="宋体"/>
                <w:b/>
                <w:kern w:val="0"/>
                <w:sz w:val="24"/>
                <w:szCs w:val="24"/>
                <w:lang w:bidi="ar"/>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2</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1"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302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1"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21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r>
    </w:tbl>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【如有增信措施进展，</w:t>
      </w:r>
      <w:r>
        <w:rPr>
          <w:rFonts w:hint="eastAsia" w:ascii="宋体" w:hAnsi="宋体" w:eastAsia="宋体" w:cs="宋体"/>
          <w:sz w:val="24"/>
          <w:szCs w:val="24"/>
          <w:lang w:bidi="ar"/>
        </w:rPr>
        <w:t>说明相关手续办理情况，包括出质人/抵押人、质权/抵押权人、登记手续办理机构及办理完毕时间等内容</w:t>
      </w:r>
      <w:r>
        <w:rPr>
          <w:rFonts w:hint="eastAsia" w:ascii="宋体" w:hAnsi="宋体" w:eastAsia="宋体" w:cs="宋体"/>
          <w:kern w:val="0"/>
          <w:sz w:val="24"/>
          <w:szCs w:val="24"/>
          <w:lang w:bidi="ar"/>
        </w:rPr>
        <w:t>；如新增增信措施，请主承销商、律师对增信措施的有效性发表意见】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2、本期债券全称与简称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本期债券全称为【】，</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为“（不超过15个汉字或30个字符）”，</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（短）为“（不超过4个汉字或8个字符）”。经查询其他市场已发行或拟发行债券名称，发行人承诺本期债券全称、简称、简称（短）不存在与其他市场债券全称或简称重复的情形。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3、本次发行的中介机构被立案调查情况</w:t>
      </w:r>
    </w:p>
    <w:p>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sz w:val="24"/>
          <w:szCs w:val="24"/>
          <w:lang w:bidi="ar"/>
        </w:rPr>
        <w:t>请说明本次债券发行的相关中介机构业务资质有效性情况，以及是否存在被立案调查（律师事务所还需核查是否存在被责令整改情形）情形。</w:t>
      </w:r>
      <w:r>
        <w:rPr>
          <w:rFonts w:hint="eastAsia" w:ascii="宋体" w:hAnsi="宋体" w:eastAsia="宋体" w:cs="宋体"/>
          <w:kern w:val="0"/>
          <w:sz w:val="24"/>
          <w:szCs w:val="24"/>
          <w:lang w:val="zh-CN" w:bidi="ar"/>
        </w:rPr>
        <w:t>如存在前述</w:t>
      </w:r>
      <w:r>
        <w:rPr>
          <w:rFonts w:hint="eastAsia" w:ascii="宋体" w:hAnsi="宋体" w:eastAsia="宋体" w:cs="宋体"/>
          <w:kern w:val="0"/>
          <w:sz w:val="24"/>
          <w:szCs w:val="24"/>
          <w:lang w:bidi="ar"/>
        </w:rPr>
        <w:t>情形</w:t>
      </w:r>
      <w:r>
        <w:rPr>
          <w:rFonts w:hint="eastAsia" w:ascii="宋体" w:hAnsi="宋体" w:eastAsia="宋体" w:cs="宋体"/>
          <w:kern w:val="0"/>
          <w:sz w:val="24"/>
          <w:szCs w:val="24"/>
          <w:lang w:val="zh-CN" w:bidi="ar"/>
        </w:rPr>
        <w:t>的，涉案中介机构、主承销商及律师需就被立案或责令整改的原因、中介机构签字人员是否涉案、立案或整改事宜对本次发行的影响发表专项核查意见。</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4、决议有效期</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请说明发行人股东会、董事会等有权机构关于债券发行之决议是否仍在有效期内。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5、发行人承诺履行情况（如有）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请发行人汇总列示本次债券募集说明书中的重要承诺，并说明截至本说明出具日的遵守情况。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6、上市条件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（请逐条说明本期债券是否符合《深圳证券交易所公司债券上市规则（2023年修订）》2.1条规定的上市条件。）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公司认为本期债券符合深圳证券交易所的公司债券上市条件，上市时采取匹配成交、点击成交、询价成交、竞买成交及协商成交的交易方式，请审核批准。发行人承诺，若发行至上市阶段出现财务数据变动导致发行人不符合上市条件，发行人将及时向深圳证券交易所及相关单位汇报说明。</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7、专项品种适用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如为公司债券专项品种（短期、可续期、可交换、绿色、低碳转型、科技创新、乡村振兴、“一带一路”、纾困、中小微企业支持等），</w:t>
      </w:r>
      <w:r>
        <w:rPr>
          <w:rFonts w:hint="eastAsia" w:ascii="宋体" w:hAnsi="宋体" w:eastAsia="宋体" w:cs="宋体"/>
          <w:sz w:val="24"/>
          <w:szCs w:val="24"/>
          <w:lang w:bidi="ar"/>
        </w:rPr>
        <w:t>应按照《深圳证券交易所公司债券发行上市审核业务指引第7号——专项品种公司债券</w:t>
      </w:r>
      <w:r>
        <w:rPr>
          <w:rFonts w:hint="eastAsia" w:ascii="宋体" w:hAnsi="宋体" w:eastAsia="宋体" w:cs="宋体"/>
          <w:sz w:val="24"/>
          <w:szCs w:val="24"/>
          <w:lang w:eastAsia="zh" w:bidi="ar"/>
        </w:rPr>
        <w:t>（2024修订）</w:t>
      </w:r>
      <w:r>
        <w:rPr>
          <w:rFonts w:hint="eastAsia" w:ascii="宋体" w:hAnsi="宋体" w:eastAsia="宋体" w:cs="宋体"/>
          <w:sz w:val="24"/>
          <w:szCs w:val="24"/>
          <w:lang w:bidi="ar"/>
        </w:rPr>
        <w:t>》等规定逐项核查是否符合相关发行/上市条件。</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8、是否符合受托管理人执业行为准则</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承销商对受托管理人是否符合《债券受托管理人执业行为准则》第七条发表明确的意见。</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9、募集资金用途核查</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说明本期债券募集资金用途与封卷稿是否一致。如存在调整的，应明确本期债券募集资金用途由【】调整为【】，并说明上述募集资金用途变更是否履行相关程序、股东大会及董事会是否出具相关决议，如出具，请补充提交相关文件，并请主承销商和发行人律师对上述事项是否合规进行核查并发表明确意见。</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列明发行人前次发行的公司债券及其募集资金用途，说明并核查募集说明书约定的用途与实际使用情况是否一致。</w:t>
      </w:r>
    </w:p>
    <w:p>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bidi="ar"/>
        </w:rPr>
        <w:t>综上所述，发行人自领取债券发行核准/注册文件之日起至本说明出具日止，发行人不存在不符合发行条件及其他限制发行情形，上述对投资者做出投资决策有重大影响的事项均已补充披露，且除上述补充披露内容外，申请文件其他内容与封卷文件一致。</w:t>
      </w:r>
    </w:p>
    <w:p>
      <w:pPr>
        <w:adjustRightInd w:val="0"/>
        <w:snapToGrid w:val="0"/>
        <w:spacing w:line="360" w:lineRule="auto"/>
        <w:ind w:firstLine="480" w:firstLineChars="200"/>
        <w:rPr>
          <w:rFonts w:hint="eastAsia" w:ascii="宋体" w:hAnsi="宋体" w:eastAsia="宋体" w:cs="宋体"/>
          <w:kern w:val="0"/>
          <w:sz w:val="24"/>
          <w:szCs w:val="24"/>
          <w:lang w:val="zh-CN" w:bidi="ar"/>
        </w:rPr>
      </w:pPr>
      <w:r>
        <w:rPr>
          <w:rFonts w:hint="eastAsia" w:ascii="宋体" w:hAnsi="宋体" w:eastAsia="宋体" w:cs="宋体"/>
          <w:kern w:val="0"/>
          <w:sz w:val="24"/>
          <w:szCs w:val="24"/>
          <w:lang w:val="zh-CN" w:bidi="ar"/>
        </w:rPr>
        <w:t>特此说明。</w:t>
      </w:r>
    </w:p>
    <w:p>
      <w:pPr>
        <w:adjustRightInd w:val="0"/>
        <w:snapToGrid w:val="0"/>
        <w:spacing w:line="360" w:lineRule="auto"/>
        <w:ind w:firstLine="480" w:firstLineChars="200"/>
        <w:rPr>
          <w:rFonts w:hint="eastAsia" w:ascii="宋体" w:hAnsi="宋体" w:eastAsia="宋体" w:cs="宋体"/>
          <w:kern w:val="0"/>
          <w:sz w:val="24"/>
          <w:szCs w:val="24"/>
          <w:lang w:val="zh-CN" w:bidi="ar"/>
        </w:rPr>
      </w:pPr>
    </w:p>
    <w:p>
      <w:pPr>
        <w:adjustRightInd w:val="0"/>
        <w:snapToGrid w:val="0"/>
        <w:spacing w:line="360" w:lineRule="auto"/>
        <w:ind w:firstLine="480" w:firstLineChars="200"/>
        <w:rPr>
          <w:rFonts w:hint="eastAsia" w:ascii="宋体" w:hAnsi="宋体" w:eastAsia="宋体" w:cs="宋体"/>
          <w:kern w:val="0"/>
          <w:sz w:val="24"/>
          <w:szCs w:val="24"/>
          <w:lang w:val="zh-CN" w:bidi="ar"/>
        </w:rPr>
      </w:pPr>
    </w:p>
    <w:p>
      <w:pPr>
        <w:adjustRightInd w:val="0"/>
        <w:snapToGrid w:val="0"/>
        <w:spacing w:line="360" w:lineRule="auto"/>
        <w:ind w:firstLine="480" w:firstLineChars="200"/>
        <w:jc w:val="right"/>
        <w:rPr>
          <w:rFonts w:hint="eastAsia" w:ascii="宋体" w:hAnsi="宋体" w:eastAsia="宋体" w:cs="宋体"/>
          <w:kern w:val="0"/>
          <w:sz w:val="24"/>
          <w:szCs w:val="24"/>
          <w:lang w:val="zh-CN"/>
        </w:rPr>
      </w:pPr>
      <w:r>
        <w:rPr>
          <w:rFonts w:hint="eastAsia" w:ascii="宋体" w:hAnsi="宋体" w:eastAsia="宋体" w:cs="宋体"/>
          <w:kern w:val="0"/>
          <w:sz w:val="24"/>
          <w:szCs w:val="24"/>
          <w:lang w:val="zh-CN" w:bidi="ar"/>
        </w:rPr>
        <w:t>发行人（签章）</w:t>
      </w:r>
    </w:p>
    <w:p>
      <w:pPr>
        <w:adjustRightInd w:val="0"/>
        <w:snapToGrid w:val="0"/>
        <w:spacing w:line="360" w:lineRule="auto"/>
        <w:ind w:firstLine="480" w:firstLineChars="200"/>
        <w:jc w:val="right"/>
        <w:rPr>
          <w:rFonts w:hint="eastAsia" w:ascii="宋体" w:hAnsi="宋体" w:eastAsia="宋体" w:cs="宋体"/>
          <w:kern w:val="0"/>
          <w:sz w:val="24"/>
          <w:szCs w:val="24"/>
          <w:lang w:val="zh-CN"/>
        </w:rPr>
      </w:pPr>
      <w:r>
        <w:rPr>
          <w:rFonts w:hint="eastAsia" w:ascii="宋体" w:hAnsi="宋体" w:eastAsia="宋体" w:cs="宋体"/>
          <w:kern w:val="0"/>
          <w:sz w:val="24"/>
          <w:szCs w:val="24"/>
          <w:lang w:val="zh-CN" w:bidi="ar"/>
        </w:rPr>
        <w:t>主承销商（签章）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widowControl/>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br w:type="page"/>
      </w:r>
    </w:p>
    <w:p>
      <w:pPr>
        <w:pStyle w:val="3"/>
        <w:widowControl/>
        <w:adjustRightInd/>
        <w:snapToGrid/>
        <w:spacing w:line="240" w:lineRule="auto"/>
        <w:outlineLvl w:val="1"/>
        <w:rPr>
          <w:rFonts w:hint="eastAsia" w:ascii="仿宋" w:hAnsi="仿宋" w:eastAsia="仿宋" w:cs="仿宋"/>
          <w:b w:val="0"/>
          <w:bCs w:val="0"/>
          <w:sz w:val="32"/>
          <w:szCs w:val="32"/>
        </w:rPr>
      </w:pPr>
      <w:bookmarkStart w:id="464" w:name="_Toc22539"/>
      <w:bookmarkStart w:id="465" w:name="_Toc3432"/>
      <w:bookmarkStart w:id="466" w:name="_Toc24265"/>
      <w:bookmarkStart w:id="467" w:name="_Toc1824545844"/>
      <w:bookmarkStart w:id="468" w:name="_Toc21272"/>
      <w:bookmarkStart w:id="469" w:name="_Toc3192"/>
      <w:bookmarkStart w:id="470" w:name="_Toc2118"/>
      <w:bookmarkStart w:id="471" w:name="_Toc3596"/>
      <w:bookmarkStart w:id="472" w:name="_Toc19994"/>
      <w:bookmarkStart w:id="473" w:name="_Toc18920"/>
      <w:bookmarkStart w:id="474" w:name="_Toc1864375703"/>
      <w:bookmarkStart w:id="475" w:name="_Toc27855"/>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CN"/>
        </w:rPr>
        <w:t>4</w:t>
      </w:r>
      <w:r>
        <w:rPr>
          <w:rFonts w:hint="eastAsia" w:ascii="仿宋" w:hAnsi="仿宋" w:eastAsia="仿宋" w:cs="仿宋"/>
          <w:b w:val="0"/>
          <w:bCs w:val="0"/>
          <w:sz w:val="32"/>
          <w:szCs w:val="32"/>
        </w:rPr>
        <w:t xml:space="preserve"> 深圳证券交易所公司债券上市（挂牌）协议</w:t>
      </w:r>
      <w:bookmarkEnd w:id="464"/>
      <w:bookmarkEnd w:id="465"/>
      <w:bookmarkEnd w:id="466"/>
      <w:bookmarkEnd w:id="467"/>
      <w:bookmarkEnd w:id="468"/>
      <w:bookmarkEnd w:id="469"/>
      <w:bookmarkEnd w:id="470"/>
      <w:bookmarkEnd w:id="471"/>
      <w:bookmarkEnd w:id="472"/>
      <w:bookmarkEnd w:id="473"/>
      <w:bookmarkEnd w:id="474"/>
      <w:bookmarkEnd w:id="475"/>
    </w:p>
    <w:p>
      <w:pPr>
        <w:adjustRightInd w:val="0"/>
        <w:snapToGrid w:val="0"/>
        <w:spacing w:line="360" w:lineRule="auto"/>
        <w:jc w:val="center"/>
        <w:rPr>
          <w:rFonts w:hint="eastAsia" w:ascii="黑体" w:hAnsi="黑体" w:eastAsia="黑体" w:cs="黑体"/>
          <w:b/>
          <w:sz w:val="44"/>
          <w:szCs w:val="44"/>
        </w:rPr>
      </w:pPr>
      <w:r>
        <w:rPr>
          <w:rFonts w:hint="eastAsia" w:ascii="宋体" w:hAnsi="宋体" w:eastAsia="宋体" w:cs="宋体"/>
          <w:b/>
          <w:sz w:val="28"/>
          <w:szCs w:val="28"/>
          <w:lang w:bidi="ar"/>
        </w:rPr>
        <w:t>深圳证券交易所公司债券上市（挂牌）协议</w:t>
      </w:r>
    </w:p>
    <w:p>
      <w:pPr>
        <w:adjustRightInd w:val="0"/>
        <w:snapToGrid w:val="0"/>
        <w:spacing w:line="360" w:lineRule="auto"/>
        <w:ind w:firstLine="420" w:firstLineChars="200"/>
        <w:rPr>
          <w:rFonts w:hint="eastAsia" w:ascii="仿宋" w:hAnsi="仿宋" w:eastAsia="仿宋" w:cs="仿宋"/>
          <w:sz w:val="21"/>
          <w:szCs w:val="21"/>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甲方：深圳证券交易所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法定代表人：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住所地：广东省深圳市福田区深南大道2012号深圳证券交易所</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住所地：</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甲方是为证券集中交易提供场所和设施，组织和监督证券交易，实行自律管理的法人，是市场的组织者、运营者和自律管理者。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乙方自愿向甲方申请其公开发行的公司债券上市交易或申请非公开发行的公司债券挂牌转让，并已获甲方同意。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甲乙双方在自愿平等、协商一致的基础上，订立本协议。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第一条  乙方首次在甲方上市或挂牌债券的基本情况为：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债券名称：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债券代码：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上市（挂牌）日期：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上市（挂牌）债券基本情况发生变更或者新增上市（挂牌）债券的，乙方应当按照甲方要求提交相关申请书等文件，除双方一致认为需要另行签订变更协议或补充协议外，上述文件经甲方认可后，作为本协议的一部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乙方同意，未经甲方认可，上述债券不在其他场所上市交易或挂牌转让，也不以其为基础证券发行衍生品种并在其他场所上市交易或挂牌转让。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第二条  甲方根据乙方申请，以及甲方发布的规则、细则、办法、指引、通知等业务规则和备忘录、业务指南、流程等其他相关规定，为乙方债券的发行、上市交易或挂牌转让、停复牌办理及乙方还本付息、信息披露业务提供设施、咨询以及培训等服务便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第三条  甲乙双方共同遵守有关法律、行政法规、部门规章、规范性文件（以下统称法律法规）、甲方业务规则及其他相关规定。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第四条  乙方在上市（挂牌）时及上市（挂牌）后作出的各项承诺，作为本协议的一部分，应当遵守。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当督促其董事、监事、高级管理人员、控股股东、实际控制人以及为乙方提供服务的承销机构、受托管理人等专业机构（以下统称相关方）遵守甲方业务规则及其他相关规定，按照甲方要求签署并遵守承诺及声明，接受甲方的自律监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第五条  乙方同意接受并积极配合甲方依据法律法规、业务规则及其他相关规定和本协议，或基于维护公共利益、市场秩序及投资者合法权益等监管需要，对乙方实施的自律监管。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第六条  乙方应当诚实守信、规范运作，按照法律法规、甲方业务规则及其他相关规定，建立规范的公司治理结构和健全的内部控制制度，履行还本付息、按约使用募集资金、存续期信用风险管理、信息披露及其他相关义务，并保证信息披露内容的真实、准确、完整、及时、公平，没有虚假记载、误导性陈述或重大遗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第七条  甲方根据业务规则及其他相关规定，对乙方债券实施停复牌，作出暂停上市、恢复上市、终止上市或终止转让的决定。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第八条  甲方根据业务规则及其他相关规定和监管需要，对乙方进行现场和非现场检查，乙方同意积极配合并督促相关方积极配合。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前款所述现场检查，是指甲方在乙方及其所属企业和机构的生产、经营、管理等场所，采取查阅、复制、记录、提取文件和资料，采集数据信息，查看实物，谈话及询问等方式，对乙方进行监督检查的行为。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第九条  乙方违反本协议或出现违规行为的，甲方按照业务规则及其他相关规定，对乙方及相关方采取口头或书面警示、通报批评、公开谴责、收取惩罚性违约金、向相关主管部门出具监管建议函等自律监管措施或纪律处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甲方收取惩罚性违约金遵循收取金额与行为性质、情节轻重、危害程度以及市场影响相适应的原则，惩罚性违约金的适用情形、具体标准、收取程序等由甲方另行规定。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第十条  乙方应当按照甲方相关通知要求及时足额缴纳上市（挂牌）费用，逾期未缴纳的，甲方有权每日按应缴纳金额的0.03%收取滞纳金。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甲方对上市（挂牌）费用收费标准、收费方式等进行调整的，按调整后的执行。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乙方债券终止上市（挂牌）的，其已经缴纳的上市（挂牌）费用不予返还。</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第十一条  因不可抗力、意外事件、技术故障等突发性事件导致债券交易、信息披露及行情发布等出现异常情况，以及甲方采取相关应对措施造成的损失，甲方不承担民事责任，但存在重大过错的除外。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第十二条  本协议自双方签字盖章之日起生效，至乙方所有债券均终止上市且终止挂牌之日终止。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第十三条  除本协议第一条的约定外，经双方协商一致，还可以书面方式对本协议作出修改或补充。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本协议生效后，如因适用法律法规、甲方业务规则及其他相关规定发生变化，导致本协议相关条款与上述规定内容相抵触的，以修订或新颁布的法律法规、甲方业务规则及其他相关规定内容为准。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第十四条  本协议的执行与解释适用中华人民共和国法律。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第十五条  甲方建立自律监管内部救济制度，保障乙方根据甲方业务规则的规定，就甲方有关重大自律监管决定行使听证、复核等权利。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与本协议有关或因执行本协议引起的一切争议及纠纷，双方同意采用以下方式（）（ A 或 B，二选一）予以解决：</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A. 向有管辖权的人民法院提起诉讼；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B. 提交深圳国际仲裁院在深圳仲裁。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第十六条  本协议未尽事宜，按照有关法律法规、甲方业务规则及其他相关规定执行。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第十七条  本协议一式四份，双方各执二份，具有同等法律效力。</w:t>
      </w:r>
    </w:p>
    <w:p>
      <w:pPr>
        <w:widowControl/>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br w:type="page"/>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【本页为《深圳证券交易所公司债券上市（挂牌）协议》签署页】</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甲方：深圳证券交易所                 乙方：</w:t>
      </w:r>
    </w:p>
    <w:p>
      <w:pPr>
        <w:adjustRightInd w:val="0"/>
        <w:snapToGrid w:val="0"/>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lang w:bidi="ar"/>
        </w:rPr>
        <w:t>（单位盖章）                        （公司盖章）</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有权签字人：                         有权签字人：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职务：                               职务：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日期：    年   月   日               日期：    年   月    日</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特别声明：</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乙方确认已经认真阅读了本协议，就协议中有关乙方义务以及限制或免除甲方责任的条款，甲方已作出明确解释说明。乙方充分知悉、理解并认可上述条款内容。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乙方有权签字人：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（签字）</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br w:type="page"/>
      </w:r>
    </w:p>
    <w:p>
      <w:pPr>
        <w:pStyle w:val="3"/>
        <w:widowControl/>
        <w:adjustRightInd/>
        <w:snapToGrid/>
        <w:outlineLvl w:val="1"/>
        <w:rPr>
          <w:rFonts w:hint="eastAsia" w:ascii="仿宋" w:hAnsi="仿宋" w:eastAsia="仿宋" w:cs="仿宋"/>
          <w:b w:val="0"/>
          <w:bCs w:val="0"/>
          <w:sz w:val="32"/>
          <w:szCs w:val="32"/>
        </w:rPr>
      </w:pPr>
      <w:bookmarkStart w:id="476" w:name="_Toc15873"/>
      <w:bookmarkStart w:id="477" w:name="_Toc8336"/>
      <w:bookmarkStart w:id="478" w:name="_Toc20958"/>
      <w:bookmarkStart w:id="479" w:name="_Toc15082"/>
      <w:bookmarkStart w:id="480" w:name="_Toc23148"/>
      <w:bookmarkStart w:id="481" w:name="_Toc1307823499"/>
      <w:bookmarkStart w:id="482" w:name="_Toc10486"/>
      <w:bookmarkStart w:id="483" w:name="_Toc31684"/>
      <w:bookmarkStart w:id="484" w:name="_Toc1870780676"/>
      <w:bookmarkStart w:id="485" w:name="_Toc5132"/>
      <w:bookmarkStart w:id="486" w:name="_Toc5218"/>
      <w:bookmarkStart w:id="487" w:name="_Toc21780"/>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CN"/>
        </w:rPr>
        <w:t>5</w:t>
      </w:r>
      <w:r>
        <w:rPr>
          <w:rFonts w:hint="eastAsia" w:ascii="仿宋" w:hAnsi="仿宋" w:eastAsia="仿宋" w:cs="仿宋"/>
          <w:b w:val="0"/>
          <w:bCs w:val="0"/>
          <w:sz w:val="32"/>
          <w:szCs w:val="32"/>
        </w:rPr>
        <w:t xml:space="preserve"> 债券转让服务申请书暨转让条件确认后是否发生重大事项变化的说明</w:t>
      </w:r>
      <w:bookmarkEnd w:id="476"/>
      <w:bookmarkEnd w:id="477"/>
      <w:bookmarkEnd w:id="478"/>
      <w:bookmarkEnd w:id="479"/>
      <w:bookmarkEnd w:id="480"/>
      <w:bookmarkEnd w:id="481"/>
      <w:bookmarkEnd w:id="482"/>
      <w:bookmarkEnd w:id="483"/>
      <w:bookmarkEnd w:id="484"/>
      <w:bookmarkEnd w:id="485"/>
      <w:bookmarkEnd w:id="486"/>
      <w:bookmarkEnd w:id="487"/>
    </w:p>
    <w:p>
      <w:pPr>
        <w:adjustRightInd w:val="0"/>
        <w:snapToGrid w:val="0"/>
        <w:spacing w:line="360" w:lineRule="auto"/>
        <w:jc w:val="center"/>
        <w:rPr>
          <w:rFonts w:hint="eastAsia" w:ascii="宋体" w:hAnsi="宋体" w:eastAsia="宋体" w:cs="宋体"/>
          <w:b/>
          <w:sz w:val="28"/>
          <w:szCs w:val="28"/>
          <w:lang w:bidi="ar"/>
        </w:rPr>
      </w:pPr>
      <w:r>
        <w:rPr>
          <w:rFonts w:hint="eastAsia" w:ascii="宋体" w:hAnsi="宋体" w:eastAsia="宋体" w:cs="宋体"/>
          <w:b/>
          <w:sz w:val="28"/>
          <w:szCs w:val="28"/>
          <w:lang w:bidi="ar"/>
        </w:rPr>
        <w:t>XX债券转让服务申请书暨转让条件确认后是否发生重大变化的说明</w:t>
      </w:r>
    </w:p>
    <w:p>
      <w:pPr>
        <w:adjustRightInd/>
        <w:snapToGrid/>
        <w:spacing w:line="240" w:lineRule="auto"/>
        <w:jc w:val="center"/>
        <w:rPr>
          <w:rFonts w:hint="eastAsia" w:ascii="隶书" w:hAnsi="隶书" w:eastAsia="隶书" w:cs="隶书"/>
          <w:sz w:val="24"/>
          <w:szCs w:val="22"/>
          <w:lang w:bidi="ar"/>
        </w:rPr>
      </w:pPr>
      <w:r>
        <w:rPr>
          <w:rFonts w:hint="eastAsia" w:ascii="隶书" w:hAnsi="隶书" w:eastAsia="隶书" w:cs="隶书"/>
          <w:sz w:val="24"/>
          <w:szCs w:val="22"/>
          <w:lang w:bidi="ar"/>
        </w:rPr>
        <w:t>（本说明至少包括但不限于以下内容）</w:t>
      </w:r>
    </w:p>
    <w:p>
      <w:pPr>
        <w:adjustRightInd/>
        <w:snapToGrid/>
        <w:spacing w:line="240" w:lineRule="auto"/>
        <w:jc w:val="center"/>
        <w:rPr>
          <w:rFonts w:hint="eastAsia" w:ascii="隶书" w:hAnsi="隶书" w:eastAsia="隶书" w:cs="隶书"/>
          <w:sz w:val="24"/>
          <w:szCs w:val="22"/>
          <w:lang w:bidi="ar"/>
        </w:rPr>
      </w:pPr>
      <w:r>
        <w:rPr>
          <w:rFonts w:hint="eastAsia" w:ascii="隶书" w:hAnsi="隶书" w:eastAsia="隶书" w:cs="隶书"/>
          <w:sz w:val="24"/>
          <w:szCs w:val="22"/>
          <w:lang w:bidi="ar"/>
        </w:rPr>
        <w:t>（请审慎阅读本范例，真实、准确、完整陈述相关情况）</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sz w:val="24"/>
          <w:szCs w:val="24"/>
          <w:lang w:val="zh-CN" w:bidi="ar"/>
        </w:rPr>
      </w:pPr>
      <w:r>
        <w:rPr>
          <w:rFonts w:hint="eastAsia" w:ascii="宋体" w:hAnsi="宋体" w:eastAsia="宋体" w:cs="宋体"/>
          <w:b/>
          <w:sz w:val="24"/>
          <w:szCs w:val="24"/>
          <w:lang w:val="zh-CN" w:bidi="ar"/>
        </w:rPr>
        <w:t>深圳证券交易所：</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XX公司（以下简称“发行人”、“本公司”）于20XX年X月X日收到深圳证券交易所《【无异议函全称】</w:t>
      </w:r>
      <w:r>
        <w:rPr>
          <w:rFonts w:hint="eastAsia" w:ascii="宋体" w:hAnsi="宋体" w:eastAsia="宋体" w:cs="宋体"/>
          <w:bCs/>
          <w:sz w:val="24"/>
          <w:szCs w:val="24"/>
          <w:lang w:bidi="ar"/>
        </w:rPr>
        <w:t>》</w:t>
      </w:r>
      <w:r>
        <w:rPr>
          <w:rFonts w:hint="eastAsia" w:ascii="宋体" w:hAnsi="宋体" w:eastAsia="宋体" w:cs="宋体"/>
          <w:sz w:val="24"/>
          <w:szCs w:val="24"/>
          <w:lang w:bidi="ar"/>
        </w:rPr>
        <w:t>（深证函[20XX]XX号）（以下简称“《无异议函》”），深圳证券交易所对发行人申请确认发行额度不超过X亿元人民币的XX公司20XX年非公开发行公司债券符合转让条件无异议。【截至本说明出具日，本公司已发行债券的规模为X亿元，剩余【】尚未发行】。本公司即将启动XX公司20XX年非公开发行公司债券（第X期）（</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“（不超过15个汉字或30个字符）” ，</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（短）“（不超过4个汉字或8个字符）”，以下简称“本期债券”）的发行，发行完成后将全部登记在中国证券登记结算有限责任公司深圳分公司，并按时向证券业协会完成债券备案相关工作。</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公司认为本期债券符合深交所非公开发行公司债券挂牌转让条件，特此申请本期债券在深交所挂牌转让，请审核批准。经本公司自查，本期债券符合《公司债券发行与交易管理办法》（以下简称“《管理办法》”）及《深圳证券交易所非公开发行公司债券挂牌规则（2023年修订）》（以下简称“《挂牌规则》”）等规定的各项挂牌转让条件，并对债券转让条件确认后相关事项进行了自查，现将有关情况说明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（本说明自签署日起一个自然月内有效，如出现影响本次债券发行条件或发行人偿付能力的重大事项，将及时自查、报告并更新说明）：</w:t>
      </w:r>
    </w:p>
    <w:p>
      <w:pPr>
        <w:numPr>
          <w:ilvl w:val="0"/>
          <w:numId w:val="9"/>
        </w:numPr>
        <w:adjustRightInd w:val="0"/>
        <w:snapToGrid w:val="0"/>
        <w:spacing w:beforeAutospacing="1" w:line="360" w:lineRule="auto"/>
        <w:ind w:left="562"/>
        <w:rPr>
          <w:rFonts w:hint="eastAsia" w:ascii="宋体" w:hAnsi="宋体" w:eastAsia="宋体" w:cs="宋体"/>
          <w:b/>
          <w:sz w:val="24"/>
          <w:szCs w:val="24"/>
          <w:lang w:bidi="ar"/>
        </w:rPr>
      </w:pPr>
      <w:r>
        <w:rPr>
          <w:rFonts w:hint="eastAsia" w:ascii="宋体" w:hAnsi="宋体" w:eastAsia="宋体" w:cs="宋体"/>
          <w:b/>
          <w:sz w:val="24"/>
          <w:szCs w:val="24"/>
          <w:lang w:bidi="ar"/>
        </w:rPr>
        <w:t>符合转让条件的自查情况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就本期债券是否符合转让条件进行逐项核查，至少应对《管理办法》第十条、第三十四条至三十六条、《挂牌规则》第十条进行逐项核查</w:t>
      </w:r>
    </w:p>
    <w:p>
      <w:pPr>
        <w:adjustRightInd w:val="0"/>
        <w:snapToGrid w:val="0"/>
        <w:spacing w:line="360" w:lineRule="auto"/>
        <w:ind w:left="562"/>
        <w:rPr>
          <w:rFonts w:hint="eastAsia" w:ascii="宋体" w:hAnsi="宋体" w:eastAsia="宋体" w:cs="宋体"/>
          <w:b/>
          <w:sz w:val="24"/>
          <w:szCs w:val="24"/>
        </w:rPr>
      </w:pPr>
      <w:r>
        <w:rPr>
          <w:rFonts w:hint="eastAsia" w:ascii="宋体" w:hAnsi="宋体" w:eastAsia="宋体" w:cs="宋体"/>
          <w:b/>
          <w:sz w:val="24"/>
          <w:szCs w:val="24"/>
          <w:lang w:bidi="ar"/>
        </w:rPr>
        <w:t>二、债券转让条件确认后是否存在负面清单指引有关事项的说明</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经发行人自查，自本次债券取得前述《无异议函》至本说明出具日，发行人不存在中国证券业协会《非公开发行公司债券项目承接负面清单指引(202</w:t>
      </w:r>
      <w:r>
        <w:rPr>
          <w:rFonts w:hint="eastAsia" w:ascii="宋体" w:hAnsi="宋体" w:eastAsia="宋体" w:cs="宋体"/>
          <w:sz w:val="24"/>
          <w:szCs w:val="24"/>
          <w:lang w:eastAsia="zh" w:bidi="ar"/>
        </w:rPr>
        <w:t>4</w:t>
      </w:r>
      <w:r>
        <w:rPr>
          <w:rFonts w:hint="eastAsia" w:ascii="宋体" w:hAnsi="宋体" w:eastAsia="宋体" w:cs="宋体"/>
          <w:sz w:val="24"/>
          <w:szCs w:val="24"/>
          <w:lang w:bidi="ar"/>
        </w:rPr>
        <w:t>年修订)》附件规定的各情形，其中对于最近一年经审计的总资产、净资产或营业收入任一项指标占合并报表相关指标比例超过30%的</w:t>
      </w:r>
      <w:r>
        <w:rPr>
          <w:rFonts w:hint="eastAsia" w:ascii="宋体" w:hAnsi="宋体" w:eastAsia="宋体" w:cs="宋体"/>
          <w:sz w:val="24"/>
          <w:szCs w:val="24"/>
          <w:lang w:eastAsia="zh" w:bidi="ar"/>
        </w:rPr>
        <w:t>单一</w:t>
      </w:r>
      <w:r>
        <w:rPr>
          <w:rFonts w:hint="eastAsia" w:ascii="宋体" w:hAnsi="宋体" w:eastAsia="宋体" w:cs="宋体"/>
          <w:sz w:val="24"/>
          <w:szCs w:val="24"/>
          <w:lang w:bidi="ar"/>
        </w:rPr>
        <w:t>子公司存在负面清单第（一）条至第（</w:t>
      </w:r>
      <w:r>
        <w:rPr>
          <w:rFonts w:hint="eastAsia" w:ascii="宋体" w:hAnsi="宋体" w:eastAsia="宋体" w:cs="宋体"/>
          <w:sz w:val="24"/>
          <w:szCs w:val="24"/>
          <w:lang w:eastAsia="zh" w:bidi="ar"/>
        </w:rPr>
        <w:t>六</w:t>
      </w:r>
      <w:r>
        <w:rPr>
          <w:rFonts w:hint="eastAsia" w:ascii="宋体" w:hAnsi="宋体" w:eastAsia="宋体" w:cs="宋体"/>
          <w:sz w:val="24"/>
          <w:szCs w:val="24"/>
          <w:lang w:bidi="ar"/>
        </w:rPr>
        <w:t>）条及第（十</w:t>
      </w:r>
      <w:r>
        <w:rPr>
          <w:rFonts w:hint="eastAsia" w:ascii="宋体" w:hAnsi="宋体" w:eastAsia="宋体" w:cs="宋体"/>
          <w:sz w:val="24"/>
          <w:szCs w:val="24"/>
          <w:lang w:eastAsia="zh" w:bidi="ar"/>
        </w:rPr>
        <w:t>一</w:t>
      </w:r>
      <w:r>
        <w:rPr>
          <w:rFonts w:hint="eastAsia" w:ascii="宋体" w:hAnsi="宋体" w:eastAsia="宋体" w:cs="宋体"/>
          <w:sz w:val="24"/>
          <w:szCs w:val="24"/>
          <w:lang w:bidi="ar"/>
        </w:rPr>
        <w:t>）条规定情形的，视同发行人属于负面清单范畴。</w:t>
      </w:r>
      <w:r>
        <w:rPr>
          <w:rFonts w:hint="eastAsia" w:ascii="宋体" w:hAnsi="宋体" w:eastAsia="宋体" w:cs="宋体"/>
          <w:kern w:val="2"/>
          <w:sz w:val="24"/>
          <w:szCs w:val="24"/>
          <w:lang w:val="en-US" w:eastAsia="zh-CN" w:bidi="ar"/>
        </w:rPr>
        <w:t>为防范处置重大风险的需要，发行人对风险企业进行并购重组使其成为子公司，且相关子公司负面情形发生在并购重组实施完毕以前的除外。</w:t>
      </w:r>
    </w:p>
    <w:p>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具体包括：</w:t>
      </w:r>
    </w:p>
    <w:p>
      <w:pPr>
        <w:adjustRightInd w:val="0"/>
        <w:snapToGrid w:val="0"/>
        <w:spacing w:beforeLines="0" w:afterLines="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一、存在以下情形的发行人</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（一）对已公开发行的公司债券或者其他债务有违约或延迟支付本息的事实，仍处于继续状态。</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（二）存在违规对外担保或者资金被关联方或第三方以借款、代偿债务、代垫款项等方式违规占用的情形，仍处于继续状态。</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（三）公司被中国证监会行政处罚，或作为公司债券发债主体，因违反公司债券相关规定被中国证监会采取行政监管措施、被证券交易所等自律组织采取纪律处分措施，涉及整改事项且尚未完成整改的。</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（四）最近两年内财务报表曾被注册会计师出具保留意见且保留意见所涉及事项的重大影响尚未消除，或被注册会计师出具否定意见或者无法表示意见的审计报告。</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（五）因严重违法失信行为，被有权部门认定为失信被执行人、失信生产经营单位或者其他失信单位，并被暂停或限制发行公司债券。</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（六）擅自改变前次发行公司债券募集资金的用途或违反前次公司债券申请文件中所作出的承诺，尚未完成整改的。</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（七）本次发行募集资金用途违反相关法律法规或募集资金投向不符合国家产业政策。</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（八）除金融类企业外，本次发行债券募集资金用途为持有以交易为目的的金融资产、委托理财等财务性投资，或本次发行债券募集资金用途为直接或间接投资于以买卖有价证券为主要业务的公司。</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（九）本次发行不符合地方政府债务管理规定或者本次发行新增地方政府债务的。</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（十）本次发行文件存在虚假记载、误导性陈述或重大遗漏。</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（十一）存在严重损害投资者合法权益和社会公共利益情形。</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二、以下特殊行业或类型的发行人</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（十二）主管部门认定的存在重大违法违规行为的房地产公司。</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（十三）典当行。</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（十四）未能同时满足以下条件的担保公司：</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（1）经营融资担保业务满3年；</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（2）注册资本不低于人民币6亿元；</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（3）近三年无重大违法违规行为；</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（4）担保责任余额符合融资担保公司相关管理规定；</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（5）资产比例管理符合融资担保公司相关管理规定。</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（十五）未能同时满足以下条件的小额贷款公司：</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（1）经省级主管机关批准设立或备案，且成立时间满2年；</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（2）省级监管评级或考核评级最近两年连续达到最高等级；</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（3）符合金融管理部门关于小额贷款公司发行公司债券的条件要求。</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三、债券转让条件确认后不存在相关失信行为</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经发行人自查，发行人及其重要子公司不存在因严重违法、失信行为被有权部门认定为失信被执行人、失信生产经营单位或其他失信单位，并被暂停或限制发行公司债券的情形。</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四、重大事项说明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经发行人自查，自本次债券取得前述《无异议函》至本说明出具日，就发行人重大事项情况说明如下（注：表格内容根据《挂牌规则》第三十五条汇总）：</w:t>
      </w:r>
    </w:p>
    <w:tbl>
      <w:tblPr>
        <w:tblStyle w:val="76"/>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5673"/>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sz w:val="24"/>
                <w:szCs w:val="24"/>
              </w:rPr>
            </w:pPr>
            <w:r>
              <w:rPr>
                <w:rFonts w:hint="eastAsia" w:ascii="宋体" w:hAnsi="宋体" w:eastAsia="宋体" w:cs="宋体"/>
                <w:b/>
                <w:kern w:val="0"/>
                <w:sz w:val="24"/>
                <w:szCs w:val="24"/>
                <w:lang w:bidi="ar"/>
              </w:rPr>
              <w:t>序号</w:t>
            </w:r>
          </w:p>
        </w:tc>
        <w:tc>
          <w:tcPr>
            <w:tcW w:w="56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sz w:val="24"/>
                <w:szCs w:val="24"/>
              </w:rPr>
            </w:pPr>
            <w:r>
              <w:rPr>
                <w:rFonts w:hint="eastAsia" w:ascii="宋体" w:hAnsi="宋体" w:eastAsia="宋体" w:cs="宋体"/>
                <w:b/>
                <w:kern w:val="0"/>
                <w:sz w:val="24"/>
                <w:szCs w:val="24"/>
                <w:lang w:bidi="ar"/>
              </w:rPr>
              <w:t>内容</w:t>
            </w:r>
          </w:p>
        </w:tc>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b/>
                <w:kern w:val="0"/>
                <w:sz w:val="24"/>
                <w:szCs w:val="24"/>
                <w:lang w:bidi="ar"/>
              </w:rPr>
              <w:t>是否发生所述情况</w:t>
            </w:r>
            <w:r>
              <w:rPr>
                <w:rFonts w:hint="eastAsia" w:ascii="宋体" w:hAnsi="宋体" w:eastAsia="宋体" w:cs="宋体"/>
                <w:kern w:val="0"/>
                <w:sz w:val="24"/>
                <w:szCs w:val="24"/>
                <w:lang w:bidi="ar"/>
              </w:rPr>
              <w:t>（是/否/不适用）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sz w:val="24"/>
                <w:szCs w:val="24"/>
                <w:lang w:bidi="ar"/>
              </w:rPr>
              <w:t>发行人股权结构或</w:t>
            </w:r>
            <w:r>
              <w:rPr>
                <w:rFonts w:hint="eastAsia" w:ascii="宋体" w:hAnsi="宋体" w:eastAsia="宋体" w:cs="宋体"/>
                <w:kern w:val="0"/>
                <w:sz w:val="24"/>
                <w:szCs w:val="24"/>
                <w:lang w:bidi="ar"/>
              </w:rPr>
              <w:t>生产经营状况发生重大变化</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发行人重大资产抵押、质押、出售、转让、报废或被查封、扣押、冻结</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发行人放弃债权、财产超过上年末净资产的百分之十，或者发生超过上年末净资产百分之十的重大损失</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发行人当年新增借款或者对外提供担保超过上年末净资产的百分之二十</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发行人发生未能清偿到期债务的情况</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发行人分配股利，作出减资、合并、分立、解散、申请破产的决定，或者依法进入破产程序、被责令关闭</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发行人涉及重大诉讼、仲裁事项</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发行人涉嫌犯罪被依法立案调查，受到重大行政处罚、行政监管措施或自律组织纪律处分，或者存在重大失信行为或者重大违法、失信行为</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发行人董事、监事、高级管理人员或者履行同等职责的人员涉嫌犯罪被依法采取强制措施</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发行人控股股东、实际控制人涉嫌犯罪被依法采取强制措施、存在重大失信行为、或者发生变更</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发行人董事长或者总经理、三分之一以上董事、三分之二以上监事发生变动，或者董事长、总经理无法履行职责</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发行人主体或者债券信用评级发生变化</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债券募投项目情况发生重大变化，可能影响募集资金投入和使用计划，或者导致项目预期运营收益实现等存在较大不确定性</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9"/>
              <w:keepNext w:val="0"/>
              <w:keepLines w:val="0"/>
              <w:widowControl/>
              <w:numPr>
                <w:ilvl w:val="0"/>
                <w:numId w:val="10"/>
              </w:numPr>
              <w:suppressLineNumbers w:val="0"/>
              <w:adjustRightInd w:val="0"/>
              <w:snapToGrid w:val="0"/>
              <w:spacing w:before="0" w:beforeAutospacing="0" w:after="0" w:afterAutospacing="0" w:line="360" w:lineRule="auto"/>
              <w:ind w:right="0" w:firstLineChars="0"/>
              <w:jc w:val="center"/>
              <w:rPr>
                <w:rFonts w:hint="default" w:ascii="宋体" w:hAnsi="宋体" w:eastAsia="宋体" w:cs="宋体"/>
                <w:kern w:val="0"/>
                <w:sz w:val="24"/>
                <w:szCs w:val="24"/>
              </w:rPr>
            </w:pPr>
          </w:p>
        </w:tc>
        <w:tc>
          <w:tcPr>
            <w:tcW w:w="567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其他对投资者作出投资决策有重大影响的事项</w:t>
            </w:r>
          </w:p>
        </w:tc>
        <w:tc>
          <w:tcPr>
            <w:tcW w:w="226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bl>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发行人发生上述任何一项重大事项，请在本表格下方具体说明该重大事项的内容，包括该事项的起因、状态及其对发行人还本付息能力的影响，是否已在募集说明书中披露（说明披露位置）、相关中介机构是否已发表补充意见（如需）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如果发行人为上市公司且处于停牌状态的，应说明停牌原因；如因重大资产重组停牌的，应披露是否导致实际控制人变更，是否与关联方交易等相关情况。</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kern w:val="0"/>
          <w:sz w:val="24"/>
          <w:szCs w:val="24"/>
          <w:lang w:bidi="ar"/>
        </w:rPr>
        <w:t>五</w:t>
      </w:r>
      <w:r>
        <w:rPr>
          <w:rFonts w:hint="eastAsia" w:ascii="宋体" w:hAnsi="宋体" w:eastAsia="宋体" w:cs="宋体"/>
          <w:b/>
          <w:sz w:val="24"/>
          <w:szCs w:val="24"/>
          <w:lang w:bidi="ar"/>
        </w:rPr>
        <w:t>、发行人最新财务状况说明</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请说明是否更新了本期债券发行时募集说明书中的财务数据，披露的发行人最近一期财务报表是否超过有效期，如超过有效期，是否根据《深圳证券交易所公司债券发行上市审核业务指引第</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 xml:space="preserve">号——申请文件及其编制要求（2023年修订）》第十三条、十四条申请有效期延长，并说明发行人最新经营、财务及现金流情况是否出现不利变化及对本期债券偿债能力是否有较大影响、发行人是否仍符合发行条件等。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如为知名成熟发行人，可以根据《深圳证券交易所公司债券发行上市审核业务指引第3号——优化审核安排（2023年修订）》第八条第三项的规定进行延期，请说明不存在影响公司经营或者偿债能力的重大不利变化，且不存在影响发行条件的重大事项。</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六、特殊事项说明</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1、房地产企业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（1）请说明发行人是否仍符合分类监管函要求；</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（2）住房租赁专项债应明确募集资金具体投资项目，并说明项目是否符合住房租赁专项债要求。</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2、过剩产能企业</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请说明发行人是否仍符合分类监管函要求。</w:t>
      </w:r>
    </w:p>
    <w:p>
      <w:pPr>
        <w:adjustRightInd w:val="0"/>
        <w:snapToGrid w:val="0"/>
        <w:spacing w:line="360" w:lineRule="auto"/>
        <w:ind w:firstLine="482" w:firstLineChars="200"/>
        <w:rPr>
          <w:rFonts w:hint="eastAsia" w:ascii="宋体" w:hAnsi="宋体" w:eastAsia="宋体" w:cs="宋体"/>
          <w:b/>
          <w:kern w:val="0"/>
          <w:sz w:val="24"/>
          <w:szCs w:val="24"/>
        </w:rPr>
      </w:pPr>
      <w:r>
        <w:rPr>
          <w:rFonts w:hint="eastAsia" w:ascii="宋体" w:hAnsi="宋体" w:eastAsia="宋体" w:cs="宋体"/>
          <w:b/>
          <w:kern w:val="0"/>
          <w:sz w:val="24"/>
          <w:szCs w:val="24"/>
          <w:lang w:bidi="ar"/>
        </w:rPr>
        <w:t>七、其他事项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1、产品设计</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（如发生债券产品设计的变化，请说明变化前后的差异及已履行的决策程序；如无，请明确无。）</w:t>
      </w:r>
    </w:p>
    <w:tbl>
      <w:tblPr>
        <w:tblStyle w:val="7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551"/>
        <w:gridCol w:w="3021"/>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kern w:val="0"/>
                <w:sz w:val="24"/>
                <w:szCs w:val="24"/>
              </w:rPr>
            </w:pPr>
            <w:r>
              <w:rPr>
                <w:rFonts w:hint="eastAsia" w:ascii="宋体" w:hAnsi="宋体" w:eastAsia="宋体" w:cs="宋体"/>
                <w:b/>
                <w:kern w:val="0"/>
                <w:sz w:val="24"/>
                <w:szCs w:val="24"/>
                <w:lang w:bidi="ar"/>
              </w:rPr>
              <w:t>序号</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kern w:val="0"/>
                <w:sz w:val="24"/>
                <w:szCs w:val="24"/>
              </w:rPr>
            </w:pPr>
            <w:r>
              <w:rPr>
                <w:rFonts w:hint="eastAsia" w:ascii="宋体" w:hAnsi="宋体" w:eastAsia="宋体" w:cs="宋体"/>
                <w:b/>
                <w:kern w:val="0"/>
                <w:sz w:val="24"/>
                <w:szCs w:val="24"/>
                <w:lang w:bidi="ar"/>
              </w:rPr>
              <w:t>变化前内容</w:t>
            </w: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kern w:val="0"/>
                <w:sz w:val="24"/>
                <w:szCs w:val="24"/>
              </w:rPr>
            </w:pPr>
            <w:r>
              <w:rPr>
                <w:rFonts w:hint="eastAsia" w:ascii="宋体" w:hAnsi="宋体" w:eastAsia="宋体" w:cs="宋体"/>
                <w:b/>
                <w:kern w:val="0"/>
                <w:sz w:val="24"/>
                <w:szCs w:val="24"/>
                <w:lang w:bidi="ar"/>
              </w:rPr>
              <w:t>变化后内容</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
                <w:kern w:val="0"/>
                <w:sz w:val="24"/>
                <w:szCs w:val="24"/>
              </w:rPr>
            </w:pPr>
            <w:r>
              <w:rPr>
                <w:rFonts w:hint="eastAsia" w:ascii="宋体" w:hAnsi="宋体" w:eastAsia="宋体" w:cs="宋体"/>
                <w:b/>
                <w:sz w:val="24"/>
                <w:szCs w:val="24"/>
                <w:lang w:bidi="ar"/>
              </w:rPr>
              <w:t>已履行的</w:t>
            </w:r>
            <w:r>
              <w:rPr>
                <w:rFonts w:hint="eastAsia" w:ascii="宋体" w:hAnsi="宋体" w:eastAsia="宋体" w:cs="宋体"/>
                <w:b/>
                <w:kern w:val="0"/>
                <w:sz w:val="24"/>
                <w:szCs w:val="24"/>
                <w:lang w:bidi="ar"/>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1</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2</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c>
          <w:tcPr>
            <w:tcW w:w="30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1" w:after="0" w:afterAutospacing="0" w:line="360" w:lineRule="auto"/>
              <w:ind w:left="0" w:right="0"/>
              <w:jc w:val="center"/>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255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1"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302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1"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c>
          <w:tcPr>
            <w:tcW w:w="213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1" w:after="0" w:afterAutospacing="0" w:line="360" w:lineRule="auto"/>
              <w:ind w:left="0" w:right="0"/>
              <w:rPr>
                <w:rFonts w:hint="default" w:ascii="宋体" w:hAnsi="宋体" w:eastAsia="宋体" w:cs="宋体"/>
                <w:kern w:val="0"/>
                <w:sz w:val="24"/>
                <w:szCs w:val="24"/>
              </w:rPr>
            </w:pPr>
            <w:r>
              <w:rPr>
                <w:rFonts w:hint="eastAsia" w:ascii="宋体" w:hAnsi="宋体" w:eastAsia="宋体" w:cs="宋体"/>
                <w:kern w:val="0"/>
                <w:sz w:val="24"/>
                <w:szCs w:val="24"/>
                <w:lang w:bidi="ar"/>
              </w:rPr>
              <w:t>…</w:t>
            </w:r>
          </w:p>
        </w:tc>
      </w:tr>
    </w:tbl>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【发行人认为其他应在本说明书中予以说明的事项，请在本部分进行具体说明，包括相关事项的起因、状态及其对发行人的影响等。】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【如有增信措施进展（</w:t>
      </w:r>
      <w:r>
        <w:rPr>
          <w:rFonts w:hint="eastAsia" w:ascii="宋体" w:hAnsi="宋体" w:eastAsia="宋体" w:cs="宋体"/>
          <w:sz w:val="24"/>
          <w:szCs w:val="24"/>
          <w:lang w:bidi="ar"/>
        </w:rPr>
        <w:t>说明相关手续办理情况，包括相关权利方、登记手续办理机构及办理完毕时间等内容</w:t>
      </w:r>
      <w:r>
        <w:rPr>
          <w:rFonts w:hint="eastAsia" w:ascii="宋体" w:hAnsi="宋体" w:eastAsia="宋体" w:cs="宋体"/>
          <w:kern w:val="0"/>
          <w:sz w:val="24"/>
          <w:szCs w:val="24"/>
          <w:lang w:bidi="ar"/>
        </w:rPr>
        <w:t>）或新增增信措施，请律师对增信措施的有效性发表意见】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2、本期债券全称与简称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本期债券全称为“XX公司20XX年非公开发行公司债券”，</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为“（不超过15个汉字或30个字符）”，</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（短）为“（不超过4个汉字或8个字符）”。经查询其他市场已发行或拟发行债券名称，发行人承诺本期债券全称、简称、简称（短）不存在与其他市场债券全称或简称重复的情形。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3、本次发行的中介机构被立案调查情况</w:t>
      </w:r>
    </w:p>
    <w:p>
      <w:pPr>
        <w:adjustRightInd w:val="0"/>
        <w:snapToGrid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sz w:val="24"/>
          <w:szCs w:val="24"/>
          <w:lang w:bidi="ar"/>
        </w:rPr>
        <w:t>请说明本次债券发行的相关中介机构业务资质有效性情况，以及是否存在被立案调查（律师事务所还需核查是否存在被责令整改情形）情形。</w:t>
      </w:r>
      <w:r>
        <w:rPr>
          <w:rFonts w:hint="eastAsia" w:ascii="宋体" w:hAnsi="宋体" w:eastAsia="宋体" w:cs="宋体"/>
          <w:kern w:val="0"/>
          <w:sz w:val="24"/>
          <w:szCs w:val="24"/>
          <w:lang w:val="zh-CN" w:bidi="ar"/>
        </w:rPr>
        <w:t>如存在前述</w:t>
      </w:r>
      <w:r>
        <w:rPr>
          <w:rFonts w:hint="eastAsia" w:ascii="宋体" w:hAnsi="宋体" w:eastAsia="宋体" w:cs="宋体"/>
          <w:kern w:val="0"/>
          <w:sz w:val="24"/>
          <w:szCs w:val="24"/>
          <w:lang w:bidi="ar"/>
        </w:rPr>
        <w:t>情形</w:t>
      </w:r>
      <w:r>
        <w:rPr>
          <w:rFonts w:hint="eastAsia" w:ascii="宋体" w:hAnsi="宋体" w:eastAsia="宋体" w:cs="宋体"/>
          <w:kern w:val="0"/>
          <w:sz w:val="24"/>
          <w:szCs w:val="24"/>
          <w:lang w:val="zh-CN" w:bidi="ar"/>
        </w:rPr>
        <w:t>的，涉案中介机构、主承销商及律师需就被立案或责令整改的原因、中介机构签字人员是否涉案、立案或整改事宜对本次发行的影响发表专项核查意见。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4、决议有效期</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发行人股东会、董事会等有权机构关于债券发行之决议是否仍在有效期内。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5、发行人承诺履行情况（如有）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（请发行人汇总列示本次债券募集说明书中的重要承诺，并说明截至本说明出具日的遵守情况。）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6、发行及挂牌转让文件承诺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发行人承诺在本期债券发行及挂牌转让过程中，向投资者披露的募集说明书等发行及转让材料与向深圳证券交易所提供的相关发行及转让材料完全一致。</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7、</w:t>
      </w:r>
      <w:r>
        <w:rPr>
          <w:rFonts w:hint="eastAsia" w:ascii="宋体" w:hAnsi="宋体" w:eastAsia="宋体" w:cs="宋体"/>
          <w:kern w:val="0"/>
          <w:sz w:val="24"/>
          <w:szCs w:val="24"/>
          <w:lang w:bidi="ar"/>
        </w:rPr>
        <w:t>专项品种适用</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如为公司债券专项品种（短期、可续期、可交换、绿色、低碳转型、科技创新、乡村振兴、“一带一路”、纾困、中小微企业支持等），</w:t>
      </w:r>
      <w:r>
        <w:rPr>
          <w:rFonts w:hint="eastAsia" w:ascii="宋体" w:hAnsi="宋体" w:eastAsia="宋体" w:cs="宋体"/>
          <w:sz w:val="24"/>
          <w:szCs w:val="24"/>
          <w:lang w:bidi="ar"/>
        </w:rPr>
        <w:t>应按照《深圳证券交易所公司债券发行上市审核业务指引第7号——专项品种公司债券</w:t>
      </w:r>
      <w:r>
        <w:rPr>
          <w:rFonts w:hint="eastAsia" w:ascii="宋体" w:hAnsi="宋体" w:eastAsia="宋体" w:cs="宋体"/>
          <w:sz w:val="24"/>
          <w:szCs w:val="24"/>
          <w:lang w:eastAsia="zh" w:bidi="ar"/>
        </w:rPr>
        <w:t>（2024修订）</w:t>
      </w:r>
      <w:r>
        <w:rPr>
          <w:rFonts w:hint="eastAsia" w:ascii="宋体" w:hAnsi="宋体" w:eastAsia="宋体" w:cs="宋体"/>
          <w:sz w:val="24"/>
          <w:szCs w:val="24"/>
          <w:lang w:bidi="ar"/>
        </w:rPr>
        <w:t>》等规定逐项核查是否符合相关发行/挂牌条件</w:t>
      </w:r>
      <w:r>
        <w:rPr>
          <w:rFonts w:hint="eastAsia" w:ascii="宋体" w:hAnsi="宋体" w:eastAsia="宋体" w:cs="宋体"/>
          <w:kern w:val="0"/>
          <w:sz w:val="24"/>
          <w:szCs w:val="24"/>
          <w:lang w:bidi="ar"/>
        </w:rPr>
        <w:t xml:space="preserve">。 </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8、募集资金用途核查</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说明本期债券募集资金用途与封卷稿是否一致。如存在调整的，应明确本期债券募集资金用途由【】调整为【】，并说明上述募集资金用途变更是否履行相关程序、股东大会及董事会是否出具相关决议，如出具，请补充提交相关文件。请律师对此发表明确的意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列明发行人前次发行的公司债券及其募集资金用途，说明募集说明书约定的用途与实际使用情况是否一致。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综上所述，发行人自领取无异议函之日起至本说明出具日止，发行人不存在中国证券业协会《非公开发行公司债券项目承接负面清单指引（202</w:t>
      </w:r>
      <w:r>
        <w:rPr>
          <w:rFonts w:hint="eastAsia" w:ascii="宋体" w:hAnsi="宋体" w:eastAsia="宋体" w:cs="宋体"/>
          <w:sz w:val="24"/>
          <w:szCs w:val="24"/>
          <w:lang w:eastAsia="zh" w:bidi="ar"/>
        </w:rPr>
        <w:t>4</w:t>
      </w:r>
      <w:r>
        <w:rPr>
          <w:rFonts w:hint="eastAsia" w:ascii="宋体" w:hAnsi="宋体" w:eastAsia="宋体" w:cs="宋体"/>
          <w:sz w:val="24"/>
          <w:szCs w:val="24"/>
          <w:lang w:bidi="ar"/>
        </w:rPr>
        <w:t>年修订）》附件规定的各情形或其他限制发行情形，上述对投资者做出投资决策有重大影响的事项均已补充披露，且除上述补充披露内容外，申请文件其他内容与封卷文件一致。</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发行人承诺向深交所提交的全部发行、登记及转让服务申请材料不存在任何虚假记载、误导性陈述或重大遗漏，并对其内容的真实性、准确性和完整性承担连带责任。在债券转让服务开始日前，如出现上述提及的不符合转让条件或对债券偿债能力有重大影响的事项，发行人将及时向深交所汇报。</w:t>
      </w:r>
    </w:p>
    <w:p>
      <w:pPr>
        <w:adjustRightInd w:val="0"/>
        <w:snapToGrid w:val="0"/>
        <w:spacing w:beforeAutospacing="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特此说明</w:t>
      </w:r>
    </w:p>
    <w:p>
      <w:pPr>
        <w:adjustRightInd w:val="0"/>
        <w:snapToGrid w:val="0"/>
        <w:spacing w:afterAutospacing="0" w:line="360" w:lineRule="auto"/>
        <w:ind w:firstLine="480" w:firstLineChars="200"/>
        <w:rPr>
          <w:rFonts w:hint="eastAsia" w:ascii="宋体" w:hAnsi="宋体" w:eastAsia="宋体" w:cs="宋体"/>
          <w:sz w:val="24"/>
          <w:szCs w:val="24"/>
        </w:rPr>
      </w:pPr>
    </w:p>
    <w:p>
      <w:pPr>
        <w:adjustRightInd w:val="0"/>
        <w:snapToGrid w:val="0"/>
        <w:spacing w:afterAutospacing="0" w:line="360" w:lineRule="auto"/>
        <w:ind w:firstLine="480" w:firstLineChars="200"/>
        <w:rPr>
          <w:rFonts w:hint="eastAsia" w:ascii="宋体" w:hAnsi="宋体" w:eastAsia="宋体" w:cs="宋体"/>
          <w:sz w:val="24"/>
          <w:szCs w:val="24"/>
        </w:rPr>
      </w:pPr>
    </w:p>
    <w:p>
      <w:pPr>
        <w:adjustRightInd w:val="0"/>
        <w:snapToGrid w:val="0"/>
        <w:spacing w:afterAutospacing="0"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lang w:bidi="ar"/>
        </w:rPr>
        <w:t>发行人（签章）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beforeAutospacing="1" w:afterAutospacing="1" w:line="360" w:lineRule="auto"/>
        <w:ind w:firstLine="480" w:firstLineChars="200"/>
        <w:jc w:val="right"/>
        <w:rPr>
          <w:rFonts w:hint="eastAsia" w:ascii="宋体" w:hAnsi="宋体" w:eastAsia="宋体" w:cs="宋体"/>
          <w:sz w:val="24"/>
          <w:szCs w:val="24"/>
        </w:rPr>
      </w:pPr>
    </w:p>
    <w:p>
      <w:pPr>
        <w:adjustRightInd w:val="0"/>
        <w:snapToGrid w:val="0"/>
        <w:spacing w:beforeAutospacing="1" w:afterAutospacing="1" w:line="360" w:lineRule="auto"/>
        <w:ind w:firstLine="480" w:firstLineChars="200"/>
        <w:jc w:val="right"/>
        <w:rPr>
          <w:rFonts w:hint="eastAsia" w:ascii="宋体" w:hAnsi="宋体" w:eastAsia="宋体" w:cs="宋体"/>
          <w:sz w:val="24"/>
          <w:szCs w:val="24"/>
        </w:rPr>
      </w:pPr>
    </w:p>
    <w:p>
      <w:pPr>
        <w:adjustRightInd w:val="0"/>
        <w:snapToGrid w:val="0"/>
        <w:spacing w:beforeAutospacing="1" w:afterAutospacing="1" w:line="360" w:lineRule="auto"/>
        <w:ind w:firstLine="480" w:firstLineChars="200"/>
        <w:jc w:val="right"/>
        <w:rPr>
          <w:rFonts w:hint="eastAsia" w:ascii="宋体" w:hAnsi="宋体" w:eastAsia="宋体" w:cs="宋体"/>
          <w:sz w:val="24"/>
          <w:szCs w:val="24"/>
        </w:rPr>
      </w:pPr>
    </w:p>
    <w:p>
      <w:pPr>
        <w:adjustRightInd w:val="0"/>
        <w:snapToGrid w:val="0"/>
        <w:spacing w:beforeAutospacing="1" w:afterAutospacing="1" w:line="360" w:lineRule="auto"/>
        <w:ind w:firstLine="480" w:firstLineChars="200"/>
        <w:jc w:val="right"/>
        <w:rPr>
          <w:rFonts w:hint="eastAsia" w:ascii="宋体" w:hAnsi="宋体" w:eastAsia="宋体" w:cs="宋体"/>
          <w:sz w:val="24"/>
          <w:szCs w:val="24"/>
        </w:rPr>
      </w:pPr>
    </w:p>
    <w:p>
      <w:pPr>
        <w:adjustRightInd w:val="0"/>
        <w:snapToGrid w:val="0"/>
        <w:spacing w:beforeAutospacing="1" w:afterAutospacing="1" w:line="360" w:lineRule="auto"/>
        <w:ind w:firstLine="480" w:firstLineChars="200"/>
        <w:jc w:val="right"/>
        <w:rPr>
          <w:rFonts w:hint="eastAsia" w:ascii="宋体" w:hAnsi="宋体" w:eastAsia="宋体" w:cs="宋体"/>
          <w:sz w:val="24"/>
          <w:szCs w:val="24"/>
        </w:rPr>
      </w:pPr>
    </w:p>
    <w:p>
      <w:pPr>
        <w:widowControl/>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br w:type="page"/>
      </w:r>
    </w:p>
    <w:p>
      <w:pPr>
        <w:pStyle w:val="3"/>
        <w:widowControl/>
        <w:adjustRightInd/>
        <w:snapToGrid/>
        <w:spacing w:line="240" w:lineRule="auto"/>
        <w:outlineLvl w:val="1"/>
        <w:rPr>
          <w:rFonts w:hint="eastAsia" w:ascii="仿宋" w:hAnsi="仿宋" w:eastAsia="仿宋" w:cs="仿宋"/>
          <w:b w:val="0"/>
          <w:bCs w:val="0"/>
          <w:sz w:val="32"/>
          <w:szCs w:val="32"/>
        </w:rPr>
      </w:pPr>
      <w:bookmarkStart w:id="488" w:name="_Toc24884"/>
      <w:bookmarkStart w:id="489" w:name="_Toc1028"/>
      <w:bookmarkStart w:id="490" w:name="_Toc768636526"/>
      <w:bookmarkStart w:id="491" w:name="_Toc20977"/>
      <w:bookmarkStart w:id="492" w:name="_Toc23997"/>
      <w:bookmarkStart w:id="493" w:name="_Toc20328"/>
      <w:bookmarkStart w:id="494" w:name="_Toc2669"/>
      <w:bookmarkStart w:id="495" w:name="_Toc31006"/>
      <w:bookmarkStart w:id="496" w:name="_Toc16774"/>
      <w:bookmarkStart w:id="497" w:name="_Toc27633"/>
      <w:bookmarkStart w:id="498" w:name="_Toc24768"/>
      <w:bookmarkStart w:id="499" w:name="_Toc1254056519"/>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 xml:space="preserve"> 承销机构关于债券是否符合转让条件的说明</w:t>
      </w:r>
      <w:bookmarkEnd w:id="488"/>
      <w:bookmarkEnd w:id="489"/>
      <w:bookmarkEnd w:id="490"/>
      <w:bookmarkEnd w:id="491"/>
      <w:bookmarkEnd w:id="492"/>
      <w:bookmarkEnd w:id="493"/>
      <w:bookmarkEnd w:id="494"/>
      <w:bookmarkEnd w:id="495"/>
      <w:bookmarkEnd w:id="496"/>
      <w:bookmarkEnd w:id="497"/>
      <w:bookmarkEnd w:id="498"/>
      <w:bookmarkEnd w:id="499"/>
    </w:p>
    <w:p>
      <w:pPr>
        <w:adjustRightInd w:val="0"/>
        <w:snapToGrid w:val="0"/>
        <w:spacing w:line="360" w:lineRule="auto"/>
        <w:jc w:val="center"/>
        <w:rPr>
          <w:rFonts w:hint="eastAsia" w:ascii="宋体" w:hAnsi="宋体" w:eastAsia="宋体" w:cs="宋体"/>
          <w:b/>
          <w:sz w:val="28"/>
          <w:szCs w:val="28"/>
          <w:lang w:bidi="ar"/>
        </w:rPr>
      </w:pPr>
      <w:r>
        <w:rPr>
          <w:rFonts w:hint="eastAsia" w:ascii="宋体" w:hAnsi="宋体" w:eastAsia="宋体" w:cs="宋体"/>
          <w:b/>
          <w:sz w:val="28"/>
          <w:szCs w:val="28"/>
          <w:lang w:bidi="ar"/>
        </w:rPr>
        <w:t>XX证券公司关于</w:t>
      </w:r>
    </w:p>
    <w:p>
      <w:pPr>
        <w:adjustRightInd w:val="0"/>
        <w:snapToGrid w:val="0"/>
        <w:spacing w:line="360" w:lineRule="auto"/>
        <w:jc w:val="center"/>
        <w:rPr>
          <w:rFonts w:hint="eastAsia" w:ascii="宋体" w:hAnsi="宋体" w:eastAsia="宋体" w:cs="宋体"/>
          <w:b/>
          <w:sz w:val="28"/>
          <w:szCs w:val="28"/>
          <w:lang w:bidi="ar"/>
        </w:rPr>
      </w:pPr>
      <w:r>
        <w:rPr>
          <w:rFonts w:hint="eastAsia" w:ascii="宋体" w:hAnsi="宋体" w:eastAsia="宋体" w:cs="宋体"/>
          <w:b/>
          <w:sz w:val="28"/>
          <w:szCs w:val="28"/>
          <w:lang w:bidi="ar"/>
        </w:rPr>
        <w:t>XX公司20XX年非公开发行公司债券（第X期）符合转让条件的说明</w:t>
      </w:r>
    </w:p>
    <w:p>
      <w:pPr>
        <w:adjustRightInd/>
        <w:snapToGrid/>
        <w:spacing w:line="240" w:lineRule="auto"/>
        <w:jc w:val="center"/>
        <w:rPr>
          <w:rFonts w:hint="eastAsia" w:ascii="隶书" w:hAnsi="隶书" w:eastAsia="隶书" w:cs="隶书"/>
          <w:sz w:val="24"/>
          <w:szCs w:val="22"/>
          <w:lang w:bidi="ar"/>
        </w:rPr>
      </w:pPr>
      <w:r>
        <w:rPr>
          <w:rFonts w:hint="eastAsia" w:ascii="隶书" w:hAnsi="隶书" w:eastAsia="隶书" w:cs="隶书"/>
          <w:sz w:val="24"/>
          <w:szCs w:val="22"/>
          <w:lang w:bidi="ar"/>
        </w:rPr>
        <w:t>（本说明至少包括但不限于以下内容）</w:t>
      </w:r>
    </w:p>
    <w:p>
      <w:pPr>
        <w:adjustRightInd w:val="0"/>
        <w:snapToGrid w:val="0"/>
        <w:spacing w:line="360" w:lineRule="auto"/>
        <w:ind w:firstLine="480" w:firstLineChars="200"/>
        <w:jc w:val="center"/>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lang w:bidi="ar"/>
        </w:rPr>
        <w:t>深圳证券交易所：</w:t>
      </w:r>
      <w:r>
        <w:rPr>
          <w:rFonts w:hint="eastAsia" w:ascii="宋体" w:hAnsi="宋体" w:eastAsia="宋体" w:cs="宋体"/>
          <w:b/>
          <w:sz w:val="24"/>
          <w:szCs w:val="24"/>
          <w:lang w:bidi="ar"/>
        </w:rPr>
        <w:tab/>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根据《中华人民共和国公司法》、《中华人民共和国证券法》、《公司债券发行与交易管理办法》（以下简称“《管理办法》”）、《深圳证券交易所非公开发行公司债券挂牌规则（2023年修订）》（以下简称“《挂牌规则》”）等的规定，及XX公司（以下简称“公司”或“发行人”）于20XX年X月X日取得的深圳证券交易所《【无异议函全称】》（深证函【20XX】XX号），XX公司即将启动XX公司20XX年非公开发行公司债券（第X期）（</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 xml:space="preserve">“（不超过15个汉字或30个字符）”， </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短）“（不超过4个汉字或8个字符）”，以下简称“本期债券”）的发行，本公司将督促发行人在发行完成后将全部债券登记在中国证券登记结算有限责任公司深圳分公司，并向证券业协会完成债券备案相关工作。</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XX证券公司作为本期债券的主承销商，XX证券公司作为本期债券的联席主承销商（如有）（以下简称/合称“主承销商”），对发行人发行本期债券的有关事实进行了核查和验证，发表意见如下：</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一、本期债券符合转让条件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经主承销商核查，本期债券符合《管理办法》及《挂牌规则》等规定的各项挂牌转让条件</w:t>
      </w:r>
      <w:r>
        <w:rPr>
          <w:rFonts w:hint="eastAsia" w:ascii="宋体" w:hAnsi="宋体" w:eastAsia="宋体" w:cs="宋体"/>
          <w:b/>
          <w:sz w:val="24"/>
          <w:szCs w:val="24"/>
          <w:lang w:bidi="ar"/>
        </w:rPr>
        <w:t>（至少应对《管理办法》第十条、第三十四条至三十六条、《挂牌规则》第十条进行逐项核查）。</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二、挂牌转让场所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本期债券申请在深圳证券交易所挂牌转让。</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三、承销过程符合相关规定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经主承销商核查，本期债券在推介过程中不存在夸大宣传，或以虚假广告等不正当手段诱导、误导投资者，或披露除债券募集说明书等信息以外的发行人其他信息等情形；也不存在操纵发行定价、暗箱操作、以代持、信托等方式谋取不正当利益或向其他相关利益主体输送利益等情形。本期债券承销过程符合《管理办法》、《挂牌规则》等各项有关规定。</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四、受托管理人符合相关执业行为准则</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承销商对受托管理人是否符合《公司债券受托管理人执业行为准则》第七条发表明确的意见。</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五、《转让服务申请书暨转让条件确认后是否发生重大变化的说明》相关核查</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sz w:val="24"/>
          <w:szCs w:val="24"/>
          <w:lang w:bidi="ar"/>
        </w:rPr>
        <w:t>1、经承销商核查，自本次债券取得前述《无异议函》至本说明出具日，发行人不存在中国证券业协会《非公开发行公司债券项目承接负面清单指引(202</w:t>
      </w:r>
      <w:r>
        <w:rPr>
          <w:rFonts w:hint="eastAsia" w:ascii="宋体" w:hAnsi="宋体" w:eastAsia="宋体" w:cs="宋体"/>
          <w:sz w:val="24"/>
          <w:szCs w:val="24"/>
          <w:lang w:eastAsia="zh" w:bidi="ar"/>
        </w:rPr>
        <w:t>4</w:t>
      </w:r>
      <w:r>
        <w:rPr>
          <w:rFonts w:hint="eastAsia" w:ascii="宋体" w:hAnsi="宋体" w:eastAsia="宋体" w:cs="宋体"/>
          <w:sz w:val="24"/>
          <w:szCs w:val="24"/>
          <w:lang w:bidi="ar"/>
        </w:rPr>
        <w:t>年修订)》附件规定的各情形，其中对于最近一年经审计的总资产、净资产或营业收入任一项指标占合并报表相关指标比例超过30%的</w:t>
      </w:r>
      <w:r>
        <w:rPr>
          <w:rFonts w:hint="eastAsia" w:ascii="宋体" w:hAnsi="宋体" w:eastAsia="宋体" w:cs="宋体"/>
          <w:sz w:val="24"/>
          <w:szCs w:val="24"/>
          <w:lang w:eastAsia="zh" w:bidi="ar"/>
        </w:rPr>
        <w:t>单一</w:t>
      </w:r>
      <w:r>
        <w:rPr>
          <w:rFonts w:hint="eastAsia" w:ascii="宋体" w:hAnsi="宋体" w:eastAsia="宋体" w:cs="宋体"/>
          <w:sz w:val="24"/>
          <w:szCs w:val="24"/>
          <w:lang w:bidi="ar"/>
        </w:rPr>
        <w:t>子公司存在负面清单第（一）条至第（</w:t>
      </w:r>
      <w:r>
        <w:rPr>
          <w:rFonts w:hint="eastAsia" w:ascii="宋体" w:hAnsi="宋体" w:eastAsia="宋体" w:cs="宋体"/>
          <w:sz w:val="24"/>
          <w:szCs w:val="24"/>
          <w:lang w:eastAsia="zh" w:bidi="ar"/>
        </w:rPr>
        <w:t>六</w:t>
      </w:r>
      <w:r>
        <w:rPr>
          <w:rFonts w:hint="eastAsia" w:ascii="宋体" w:hAnsi="宋体" w:eastAsia="宋体" w:cs="宋体"/>
          <w:sz w:val="24"/>
          <w:szCs w:val="24"/>
          <w:lang w:bidi="ar"/>
        </w:rPr>
        <w:t>）条及第（十</w:t>
      </w:r>
      <w:r>
        <w:rPr>
          <w:rFonts w:hint="eastAsia" w:ascii="宋体" w:hAnsi="宋体" w:eastAsia="宋体" w:cs="宋体"/>
          <w:sz w:val="24"/>
          <w:szCs w:val="24"/>
          <w:lang w:eastAsia="zh" w:bidi="ar"/>
        </w:rPr>
        <w:t>一</w:t>
      </w:r>
      <w:r>
        <w:rPr>
          <w:rFonts w:hint="eastAsia" w:ascii="宋体" w:hAnsi="宋体" w:eastAsia="宋体" w:cs="宋体"/>
          <w:sz w:val="24"/>
          <w:szCs w:val="24"/>
          <w:lang w:bidi="ar"/>
        </w:rPr>
        <w:t>）条规定情形的，视同发行人属于负面清单范畴。</w:t>
      </w:r>
      <w:r>
        <w:rPr>
          <w:rFonts w:hint="eastAsia" w:ascii="宋体" w:hAnsi="宋体" w:eastAsia="宋体" w:cs="宋体"/>
          <w:kern w:val="2"/>
          <w:sz w:val="24"/>
          <w:szCs w:val="24"/>
          <w:lang w:val="en-US" w:eastAsia="zh-CN" w:bidi="ar"/>
        </w:rPr>
        <w:t>为防范处置重大风险的需要，发行人对风险企业进行并购重组使其成为子公司，且相关子公司负面情形发生在并购重组实施完毕以前的除外。</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2、经承销商核查，发行人及其重要子公司不存在因严重违法、失信行为被有权部门认定为失信被执行人、失信生产经营单位或其他失信单位，并被暂停或限制发行公司债券的情形。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3、经承销商核查，除《转让服务申请书暨转让条件确认后是否发生重大变化的说明》中列举的重大事项外，自本次债券取得前述《无异议函》至本说明出具日，发行人未发生其他重大事项。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经承销商核查，本期债券发行时募集说明书中的财务数据，披露的发行人最近一期财务报表未超过有效期（或已申请延期），发行人最新经营、财务及现金流情况未出现不利变化，对本期债券偿债能力不存在较大影响及发行人仍符合发行条件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经承销商核查，《转让服务申请书暨转让条件确认后是否发生重大变化的说明》中列举了产品设计全部变化及已履行的决策程序；本期债券全称、简称、简称（短）不存在与其他市场债券全称或简称重复的情形；本期债券发行的相关中介机构业务资质有效；发行人股东会、董事会等有权机构关于债券发行之决议有效。</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sz w:val="24"/>
          <w:szCs w:val="24"/>
          <w:lang w:bidi="ar"/>
        </w:rPr>
        <w:t>6、（如适用）经承销商核查，（房地产、产能过剩行业发行人适用）本期债券符合分类监管函相关要求；（</w:t>
      </w:r>
      <w:r>
        <w:rPr>
          <w:rFonts w:hint="eastAsia" w:ascii="宋体" w:hAnsi="宋体" w:eastAsia="宋体" w:cs="宋体"/>
          <w:kern w:val="0"/>
          <w:sz w:val="24"/>
          <w:szCs w:val="24"/>
          <w:lang w:bidi="ar"/>
        </w:rPr>
        <w:t>公司债券专项品种（短期、可续期、可交换、绿色、低碳转型、科技创新、乡村振兴、“一带一路”、纾困、中小微企业支持等）适用）本期债券符合《深圳证券交易所公司债券发行上市审核业务指引第7号——专项品种公司债券</w:t>
      </w:r>
      <w:r>
        <w:rPr>
          <w:rFonts w:hint="eastAsia" w:ascii="宋体" w:hAnsi="宋体" w:eastAsia="宋体" w:cs="宋体"/>
          <w:kern w:val="0"/>
          <w:sz w:val="24"/>
          <w:szCs w:val="24"/>
          <w:lang w:eastAsia="zh" w:bidi="ar"/>
        </w:rPr>
        <w:t>（2024年修订）</w:t>
      </w:r>
      <w:r>
        <w:rPr>
          <w:rFonts w:hint="eastAsia" w:ascii="宋体" w:hAnsi="宋体" w:eastAsia="宋体" w:cs="宋体"/>
          <w:kern w:val="0"/>
          <w:sz w:val="24"/>
          <w:szCs w:val="24"/>
          <w:lang w:bidi="ar"/>
        </w:rPr>
        <w:t>》等规定的发行/挂牌条件。</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7、经承销商核查，本期债券募集资金用途与封卷稿一致【存在调整】。【如存在调整的，本期债券募集资金用途由【】调整为【】，上述募集资金用途变更已履行【】程序，募集资金用途和调整程序合规】。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lang w:bidi="ar"/>
        </w:rPr>
        <w:t>经承销商核查，发行人前次发行的公司债券募集资金用途与实际使用情况一致。</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五、主承销商承诺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主承销商承诺向贵所提交的全部登记及转让服务申请材料不存在任何虚假记载、误导性陈述或重大遗漏，并对其内容的真实性、准确性和完整性承担连带责任。在债券转让服务开始日前，本公司将对上述影响债券转让条件或偿债能力的事项进行核查，如出现不符合转让条件或对债券偿债能力有重大影响的事项，将及时向深交所汇报。</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特此说明。</w:t>
      </w:r>
    </w:p>
    <w:p>
      <w:pPr>
        <w:adjustRightInd w:val="0"/>
        <w:snapToGrid w:val="0"/>
        <w:spacing w:line="360" w:lineRule="auto"/>
        <w:ind w:firstLine="480" w:firstLineChars="200"/>
        <w:jc w:val="right"/>
        <w:rPr>
          <w:rFonts w:hint="eastAsia" w:ascii="宋体" w:hAnsi="宋体" w:eastAsia="宋体" w:cs="宋体"/>
          <w:sz w:val="24"/>
          <w:szCs w:val="24"/>
          <w:lang w:bidi="ar"/>
        </w:rPr>
      </w:pPr>
    </w:p>
    <w:p>
      <w:pPr>
        <w:adjustRightInd w:val="0"/>
        <w:snapToGrid w:val="0"/>
        <w:spacing w:line="360" w:lineRule="auto"/>
        <w:ind w:firstLine="480" w:firstLineChars="200"/>
        <w:jc w:val="right"/>
        <w:rPr>
          <w:rFonts w:hint="eastAsia" w:ascii="宋体" w:hAnsi="宋体" w:eastAsia="宋体" w:cs="宋体"/>
          <w:sz w:val="24"/>
          <w:szCs w:val="24"/>
          <w:lang w:bidi="ar"/>
        </w:rPr>
      </w:pPr>
    </w:p>
    <w:p>
      <w:pPr>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lang w:bidi="ar"/>
        </w:rPr>
        <w:t>XX证券公司（主承销商/联席主承销商签章）</w:t>
      </w:r>
    </w:p>
    <w:p>
      <w:pPr>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ind w:firstLine="640" w:firstLineChars="200"/>
        <w:rPr>
          <w:rFonts w:hint="eastAsia" w:ascii="仿宋" w:hAnsi="仿宋" w:eastAsia="仿宋" w:cs="仿宋"/>
          <w:sz w:val="32"/>
          <w:szCs w:val="32"/>
        </w:rPr>
      </w:pPr>
    </w:p>
    <w:p>
      <w:pPr>
        <w:adjustRightInd w:val="0"/>
        <w:snapToGrid w:val="0"/>
        <w:rPr>
          <w:rFonts w:hint="eastAsia" w:ascii="仿宋" w:hAnsi="仿宋" w:eastAsia="仿宋" w:cs="仿宋"/>
          <w:sz w:val="32"/>
          <w:szCs w:val="32"/>
        </w:rPr>
      </w:pPr>
      <w:r>
        <w:rPr>
          <w:rFonts w:hint="eastAsia" w:ascii="仿宋" w:hAnsi="仿宋" w:eastAsia="仿宋" w:cs="仿宋"/>
          <w:sz w:val="32"/>
          <w:szCs w:val="32"/>
          <w:lang w:bidi="ar"/>
        </w:rPr>
        <w:br w:type="page"/>
      </w:r>
    </w:p>
    <w:p>
      <w:pPr>
        <w:pStyle w:val="3"/>
        <w:widowControl/>
        <w:adjustRightInd/>
        <w:snapToGrid/>
        <w:outlineLvl w:val="1"/>
        <w:rPr>
          <w:rFonts w:hint="eastAsia" w:ascii="仿宋" w:hAnsi="仿宋" w:eastAsia="仿宋" w:cs="仿宋"/>
          <w:b w:val="0"/>
          <w:bCs w:val="0"/>
          <w:sz w:val="32"/>
          <w:szCs w:val="32"/>
        </w:rPr>
      </w:pPr>
      <w:bookmarkStart w:id="500" w:name="_Toc21309"/>
      <w:bookmarkStart w:id="501" w:name="_Toc14378"/>
      <w:bookmarkStart w:id="502" w:name="_Toc290"/>
      <w:bookmarkStart w:id="503" w:name="_Toc21388"/>
      <w:bookmarkStart w:id="504" w:name="_Toc24423"/>
      <w:bookmarkStart w:id="505" w:name="_Toc20161"/>
      <w:bookmarkStart w:id="506" w:name="_Toc699546869"/>
      <w:bookmarkStart w:id="507" w:name="_Toc24333"/>
      <w:bookmarkStart w:id="508" w:name="_Toc3528"/>
      <w:bookmarkStart w:id="509" w:name="_Toc12098"/>
      <w:bookmarkStart w:id="510" w:name="_Toc1376664408"/>
      <w:bookmarkStart w:id="511" w:name="_Toc4786"/>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 xml:space="preserve"> 票面利率</w:t>
      </w:r>
      <w:r>
        <w:rPr>
          <w:rFonts w:hint="eastAsia" w:ascii="仿宋" w:hAnsi="仿宋" w:eastAsia="仿宋" w:cs="仿宋"/>
          <w:b w:val="0"/>
          <w:bCs w:val="0"/>
          <w:sz w:val="32"/>
          <w:szCs w:val="32"/>
          <w:lang w:eastAsia="zh"/>
        </w:rPr>
        <w:t>/发行价格</w:t>
      </w:r>
      <w:r>
        <w:rPr>
          <w:rFonts w:hint="eastAsia" w:ascii="仿宋" w:hAnsi="仿宋" w:eastAsia="仿宋" w:cs="仿宋"/>
          <w:b w:val="0"/>
          <w:bCs w:val="0"/>
          <w:sz w:val="32"/>
          <w:szCs w:val="32"/>
        </w:rPr>
        <w:t>公告</w:t>
      </w:r>
      <w:bookmarkEnd w:id="500"/>
      <w:bookmarkEnd w:id="501"/>
      <w:bookmarkEnd w:id="502"/>
      <w:bookmarkEnd w:id="503"/>
      <w:bookmarkEnd w:id="504"/>
      <w:bookmarkEnd w:id="505"/>
      <w:bookmarkEnd w:id="506"/>
      <w:bookmarkEnd w:id="507"/>
      <w:bookmarkEnd w:id="508"/>
      <w:bookmarkEnd w:id="509"/>
      <w:bookmarkEnd w:id="510"/>
      <w:bookmarkEnd w:id="511"/>
    </w:p>
    <w:p>
      <w:pPr>
        <w:adjustRightInd w:val="0"/>
        <w:snapToGrid w:val="0"/>
        <w:spacing w:line="360" w:lineRule="auto"/>
        <w:ind w:firstLine="600" w:firstLineChars="250"/>
        <w:rPr>
          <w:rFonts w:hint="eastAsia" w:ascii="仿宋" w:hAnsi="仿宋" w:eastAsia="仿宋" w:cs="仿宋"/>
          <w:kern w:val="0"/>
          <w:sz w:val="21"/>
          <w:szCs w:val="21"/>
        </w:rPr>
      </w:pPr>
      <w:r>
        <w:rPr>
          <w:rFonts w:hint="eastAsia" w:ascii="宋体" w:hAnsi="宋体" w:eastAsia="宋体" w:cs="宋体"/>
          <w:kern w:val="0"/>
          <w:sz w:val="24"/>
          <w:szCs w:val="24"/>
          <w:lang w:eastAsia="zh" w:bidi="ar"/>
        </w:rPr>
        <w:t>债</w:t>
      </w:r>
      <w:r>
        <w:rPr>
          <w:rFonts w:hint="eastAsia" w:ascii="宋体" w:hAnsi="宋体" w:eastAsia="宋体" w:cs="宋体"/>
          <w:kern w:val="0"/>
          <w:sz w:val="24"/>
          <w:szCs w:val="24"/>
          <w:lang w:bidi="ar"/>
        </w:rPr>
        <w:t>券代码：</w:t>
      </w:r>
      <w:r>
        <w:rPr>
          <w:rFonts w:hint="eastAsia" w:ascii="宋体" w:hAnsi="宋体" w:eastAsia="宋体" w:cs="宋体"/>
          <w:sz w:val="24"/>
          <w:szCs w:val="24"/>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eastAsia="zh-CN" w:bidi="ar"/>
        </w:rPr>
        <w:t>证券简称</w:t>
      </w:r>
      <w:r>
        <w:rPr>
          <w:rFonts w:hint="eastAsia" w:ascii="宋体" w:hAnsi="宋体" w:eastAsia="宋体" w:cs="宋体"/>
          <w:kern w:val="0"/>
          <w:sz w:val="24"/>
          <w:szCs w:val="24"/>
          <w:lang w:bidi="ar"/>
        </w:rPr>
        <w:t>：</w:t>
      </w:r>
      <w:r>
        <w:rPr>
          <w:rFonts w:hint="eastAsia" w:ascii="宋体" w:hAnsi="宋体" w:eastAsia="宋体" w:cs="宋体"/>
          <w:sz w:val="24"/>
          <w:szCs w:val="24"/>
          <w:lang w:bidi="ar"/>
        </w:rPr>
        <w:t>【】</w:t>
      </w:r>
      <w:r>
        <w:rPr>
          <w:rFonts w:hint="eastAsia" w:ascii="仿宋" w:hAnsi="仿宋" w:eastAsia="仿宋" w:cs="仿宋"/>
          <w:sz w:val="21"/>
          <w:szCs w:val="21"/>
          <w:lang w:bidi="ar"/>
        </w:rPr>
        <w:t xml:space="preserve"> </w:t>
      </w:r>
    </w:p>
    <w:p>
      <w:pPr>
        <w:adjustRightInd w:val="0"/>
        <w:snapToGrid w:val="0"/>
        <w:spacing w:line="360" w:lineRule="auto"/>
        <w:rPr>
          <w:rFonts w:hint="eastAsia" w:ascii="黑体" w:hAnsi="黑体" w:eastAsia="黑体" w:cs="黑体"/>
          <w:b/>
          <w:kern w:val="0"/>
          <w:sz w:val="44"/>
          <w:szCs w:val="44"/>
        </w:rPr>
      </w:pPr>
    </w:p>
    <w:p>
      <w:pPr>
        <w:adjustRightInd w:val="0"/>
        <w:snapToGrid w:val="0"/>
        <w:spacing w:line="360" w:lineRule="auto"/>
        <w:jc w:val="center"/>
        <w:rPr>
          <w:rFonts w:hint="eastAsia" w:ascii="宋体" w:hAnsi="宋体" w:eastAsia="宋体" w:cs="宋体"/>
          <w:b/>
          <w:kern w:val="2"/>
          <w:sz w:val="28"/>
          <w:szCs w:val="28"/>
          <w:lang w:bidi="ar"/>
        </w:rPr>
      </w:pPr>
      <w:r>
        <w:rPr>
          <w:rFonts w:hint="eastAsia" w:ascii="宋体" w:hAnsi="宋体" w:eastAsia="宋体" w:cs="宋体"/>
          <w:b/>
          <w:kern w:val="2"/>
          <w:sz w:val="28"/>
          <w:szCs w:val="28"/>
          <w:lang w:bidi="ar"/>
        </w:rPr>
        <w:t>【债券全称】票面利率</w:t>
      </w:r>
      <w:r>
        <w:rPr>
          <w:rFonts w:hint="eastAsia" w:ascii="宋体" w:hAnsi="宋体" w:eastAsia="宋体" w:cs="宋体"/>
          <w:b/>
          <w:kern w:val="2"/>
          <w:sz w:val="28"/>
          <w:szCs w:val="28"/>
          <w:lang w:eastAsia="zh" w:bidi="ar"/>
        </w:rPr>
        <w:t>/发行价格</w:t>
      </w:r>
      <w:r>
        <w:rPr>
          <w:rFonts w:hint="eastAsia" w:ascii="宋体" w:hAnsi="宋体" w:eastAsia="宋体" w:cs="宋体"/>
          <w:b/>
          <w:kern w:val="2"/>
          <w:sz w:val="28"/>
          <w:szCs w:val="28"/>
          <w:lang w:bidi="ar"/>
        </w:rPr>
        <w:t>公告</w:t>
      </w:r>
    </w:p>
    <w:p>
      <w:pPr>
        <w:adjustRightInd w:val="0"/>
        <w:snapToGrid w:val="0"/>
        <w:spacing w:line="360" w:lineRule="auto"/>
        <w:jc w:val="center"/>
        <w:rPr>
          <w:rFonts w:hint="eastAsia" w:ascii="宋体" w:hAnsi="宋体" w:eastAsia="宋体" w:cs="宋体"/>
          <w:b/>
          <w:kern w:val="0"/>
          <w:sz w:val="24"/>
          <w:szCs w:val="24"/>
        </w:rPr>
      </w:pPr>
      <w:r>
        <w:rPr>
          <w:rFonts w:hint="eastAsia" w:ascii="隶书" w:hAnsi="隶书" w:eastAsia="隶书" w:cs="隶书"/>
          <w:sz w:val="24"/>
          <w:szCs w:val="22"/>
          <w:lang w:bidi="ar"/>
        </w:rPr>
        <w:t>（本公告至少包括但不限于以下内容）</w:t>
      </w:r>
    </w:p>
    <w:p>
      <w:pPr>
        <w:adjustRightInd w:val="0"/>
        <w:snapToGrid w:val="0"/>
        <w:spacing w:line="360" w:lineRule="auto"/>
        <w:ind w:firstLine="480" w:firstLineChars="200"/>
        <w:rPr>
          <w:rFonts w:hint="eastAsia" w:ascii="宋体" w:hAnsi="宋体" w:eastAsia="宋体" w:cs="宋体"/>
          <w:kern w:val="0"/>
          <w:sz w:val="24"/>
          <w:szCs w:val="24"/>
        </w:rPr>
      </w:pPr>
    </w:p>
    <w:p>
      <w:pPr>
        <w:adjustRightInd w:val="0"/>
        <w:snapToGrid w:val="0"/>
        <w:spacing w:line="360" w:lineRule="auto"/>
        <w:ind w:firstLine="480" w:firstLineChars="200"/>
        <w:rPr>
          <w:rFonts w:hint="eastAsia" w:ascii="宋体" w:hAnsi="宋体" w:eastAsia="宋体" w:cs="宋体"/>
          <w:kern w:val="0"/>
          <w:sz w:val="24"/>
          <w:szCs w:val="24"/>
        </w:rPr>
      </w:pP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w:t>
      </w:r>
      <w:r>
        <w:rPr>
          <w:rFonts w:hint="eastAsia" w:ascii="宋体" w:hAnsi="宋体" w:eastAsia="宋体" w:cs="宋体"/>
          <w:kern w:val="0"/>
          <w:sz w:val="24"/>
          <w:szCs w:val="24"/>
          <w:lang w:bidi="ar"/>
        </w:rPr>
        <w:t>公司（以下简称“发行人”）发行不超过人民币</w:t>
      </w:r>
      <w:r>
        <w:rPr>
          <w:rFonts w:hint="eastAsia" w:ascii="宋体" w:hAnsi="宋体" w:eastAsia="宋体" w:cs="宋体"/>
          <w:sz w:val="24"/>
          <w:szCs w:val="24"/>
          <w:lang w:bidi="ar"/>
        </w:rPr>
        <w:t>【】</w:t>
      </w:r>
      <w:r>
        <w:rPr>
          <w:rFonts w:hint="eastAsia" w:ascii="宋体" w:hAnsi="宋体" w:eastAsia="宋体" w:cs="宋体"/>
          <w:kern w:val="0"/>
          <w:sz w:val="24"/>
          <w:szCs w:val="24"/>
          <w:lang w:bidi="ar"/>
        </w:rPr>
        <w:t>亿元公司债券已获得注册批复等文件。</w:t>
      </w:r>
    </w:p>
    <w:p>
      <w:pPr>
        <w:adjustRightInd w:val="0"/>
        <w:snapToGrid w:val="0"/>
        <w:spacing w:line="360" w:lineRule="auto"/>
        <w:ind w:firstLine="480" w:firstLineChars="200"/>
        <w:rPr>
          <w:rFonts w:hint="eastAsia" w:ascii="宋体" w:hAnsi="宋体" w:eastAsia="宋体" w:cs="宋体"/>
          <w:kern w:val="0"/>
          <w:sz w:val="24"/>
          <w:szCs w:val="24"/>
          <w:lang w:eastAsia="zh"/>
        </w:rPr>
      </w:pPr>
      <w:r>
        <w:rPr>
          <w:rFonts w:hint="eastAsia" w:ascii="宋体" w:hAnsi="宋体" w:eastAsia="宋体" w:cs="宋体"/>
          <w:sz w:val="24"/>
          <w:szCs w:val="24"/>
          <w:lang w:bidi="ar"/>
        </w:rPr>
        <w:t>【】</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日，发行人和主承销商在网下向专业机构投资者进行了票面利率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询价，利率</w:t>
      </w:r>
      <w:r>
        <w:rPr>
          <w:rFonts w:hint="eastAsia" w:ascii="宋体" w:hAnsi="宋体" w:eastAsia="宋体" w:cs="宋体"/>
          <w:kern w:val="0"/>
          <w:sz w:val="24"/>
          <w:szCs w:val="24"/>
          <w:lang w:eastAsia="zh" w:bidi="ar"/>
        </w:rPr>
        <w:t>/价格</w:t>
      </w:r>
      <w:r>
        <w:rPr>
          <w:rFonts w:hint="eastAsia" w:ascii="宋体" w:hAnsi="宋体" w:eastAsia="宋体" w:cs="宋体"/>
          <w:kern w:val="0"/>
          <w:sz w:val="24"/>
          <w:szCs w:val="24"/>
          <w:lang w:bidi="ar"/>
        </w:rPr>
        <w:t>询价区间为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根据网下向专业机构投资者询价结果，经【说明利率</w:t>
      </w:r>
      <w:r>
        <w:rPr>
          <w:rFonts w:hint="eastAsia" w:ascii="宋体" w:hAnsi="宋体" w:eastAsia="宋体" w:cs="宋体"/>
          <w:kern w:val="0"/>
          <w:sz w:val="24"/>
          <w:szCs w:val="24"/>
          <w:lang w:eastAsia="zh" w:bidi="ar"/>
        </w:rPr>
        <w:t>/价格</w:t>
      </w:r>
      <w:r>
        <w:rPr>
          <w:rFonts w:hint="eastAsia" w:ascii="宋体" w:hAnsi="宋体" w:eastAsia="宋体" w:cs="宋体"/>
          <w:kern w:val="0"/>
          <w:sz w:val="24"/>
          <w:szCs w:val="24"/>
          <w:lang w:bidi="ar"/>
        </w:rPr>
        <w:t>确定方式】，最终确定本次债券票面利率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w:t>
      </w:r>
      <w:r>
        <w:rPr>
          <w:rFonts w:hint="eastAsia" w:ascii="宋体" w:hAnsi="宋体" w:eastAsia="宋体" w:cs="宋体"/>
          <w:sz w:val="24"/>
          <w:szCs w:val="24"/>
          <w:lang w:bidi="ar"/>
        </w:rPr>
        <w:t>【】</w:t>
      </w:r>
      <w:r>
        <w:rPr>
          <w:rFonts w:hint="eastAsia" w:ascii="宋体" w:hAnsi="宋体" w:eastAsia="宋体" w:cs="宋体"/>
          <w:kern w:val="0"/>
          <w:sz w:val="24"/>
          <w:szCs w:val="24"/>
          <w:lang w:eastAsia="zh" w:bidi="ar"/>
        </w:rPr>
        <w:t>。</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【如有网上发行】发行人将按上述票面利率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于</w:t>
      </w:r>
      <w:r>
        <w:rPr>
          <w:rFonts w:hint="eastAsia" w:ascii="宋体" w:hAnsi="宋体" w:eastAsia="宋体" w:cs="宋体"/>
          <w:sz w:val="24"/>
          <w:szCs w:val="24"/>
          <w:lang w:bidi="ar"/>
        </w:rPr>
        <w:t>【】</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日面向普通投资者网上公开发行（网上发行代码为“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”，简称为“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”），于</w:t>
      </w:r>
      <w:r>
        <w:rPr>
          <w:rFonts w:hint="eastAsia" w:ascii="宋体" w:hAnsi="宋体" w:eastAsia="宋体" w:cs="宋体"/>
          <w:sz w:val="24"/>
          <w:szCs w:val="24"/>
          <w:lang w:bidi="ar"/>
        </w:rPr>
        <w:t>【】</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日至</w:t>
      </w:r>
      <w:r>
        <w:rPr>
          <w:rFonts w:hint="eastAsia" w:ascii="宋体" w:hAnsi="宋体" w:eastAsia="宋体" w:cs="宋体"/>
          <w:sz w:val="24"/>
          <w:szCs w:val="24"/>
          <w:lang w:bidi="ar"/>
        </w:rPr>
        <w:t>【】</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日面向专业机构投资者网下发行。具体认购方法请参考</w:t>
      </w:r>
      <w:r>
        <w:rPr>
          <w:rFonts w:hint="eastAsia" w:ascii="宋体" w:hAnsi="宋体" w:eastAsia="宋体" w:cs="宋体"/>
          <w:sz w:val="24"/>
          <w:szCs w:val="24"/>
          <w:lang w:bidi="ar"/>
        </w:rPr>
        <w:t>【】</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日刊登在深圳证券交易所网站（http://www.szse.cn）、巨潮资讯网（http://www.cninfo.com.cn）上的《</w:t>
      </w:r>
      <w:r>
        <w:rPr>
          <w:rFonts w:hint="eastAsia" w:ascii="宋体" w:hAnsi="宋体" w:eastAsia="宋体" w:cs="宋体"/>
          <w:sz w:val="24"/>
          <w:szCs w:val="24"/>
          <w:lang w:bidi="ar"/>
        </w:rPr>
        <w:t>【</w:t>
      </w:r>
      <w:r>
        <w:rPr>
          <w:rFonts w:hint="eastAsia" w:ascii="宋体" w:hAnsi="宋体" w:eastAsia="宋体" w:cs="宋体"/>
          <w:kern w:val="0"/>
          <w:sz w:val="24"/>
          <w:szCs w:val="24"/>
          <w:lang w:bidi="ar"/>
        </w:rPr>
        <w:t>债券全称】发行公告》/深圳证券交易所网站固定收益信息平台的《</w:t>
      </w:r>
      <w:r>
        <w:rPr>
          <w:rFonts w:hint="eastAsia" w:ascii="宋体" w:hAnsi="宋体" w:eastAsia="宋体" w:cs="宋体"/>
          <w:sz w:val="24"/>
          <w:szCs w:val="24"/>
          <w:lang w:bidi="ar"/>
        </w:rPr>
        <w:t>【</w:t>
      </w:r>
      <w:r>
        <w:rPr>
          <w:rFonts w:hint="eastAsia" w:ascii="宋体" w:hAnsi="宋体" w:eastAsia="宋体" w:cs="宋体"/>
          <w:kern w:val="0"/>
          <w:sz w:val="24"/>
          <w:szCs w:val="24"/>
          <w:lang w:bidi="ar"/>
        </w:rPr>
        <w:t>债券全称】发行公告》。</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特此公告。</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（本页以下无正文）</w:t>
      </w:r>
    </w:p>
    <w:p>
      <w:pPr>
        <w:adjustRightInd w:val="0"/>
        <w:snapToGrid w:val="0"/>
        <w:spacing w:line="360" w:lineRule="auto"/>
        <w:ind w:firstLine="480" w:firstLineChars="200"/>
        <w:rPr>
          <w:rFonts w:hint="eastAsia" w:ascii="宋体" w:hAnsi="宋体" w:eastAsia="宋体" w:cs="宋体"/>
          <w:kern w:val="0"/>
          <w:sz w:val="24"/>
          <w:szCs w:val="24"/>
        </w:rPr>
      </w:pPr>
    </w:p>
    <w:p>
      <w:pPr>
        <w:adjustRightInd w:val="0"/>
        <w:snapToGrid w:val="0"/>
        <w:rPr>
          <w:rFonts w:hint="eastAsia" w:ascii="宋体" w:hAnsi="宋体" w:eastAsia="宋体" w:cs="宋体"/>
          <w:kern w:val="0"/>
          <w:sz w:val="24"/>
          <w:szCs w:val="24"/>
        </w:rPr>
      </w:pPr>
      <w:r>
        <w:rPr>
          <w:rFonts w:hint="eastAsia" w:ascii="宋体" w:hAnsi="宋体" w:eastAsia="宋体" w:cs="宋体"/>
          <w:sz w:val="24"/>
          <w:szCs w:val="24"/>
          <w:lang w:bidi="ar"/>
        </w:rPr>
        <w:br w:type="page"/>
      </w:r>
    </w:p>
    <w:p>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（本页无正文，为《【债券全称】票面利率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公告》之签章页）</w:t>
      </w:r>
    </w:p>
    <w:p>
      <w:pPr>
        <w:adjustRightInd w:val="0"/>
        <w:snapToGrid w:val="0"/>
        <w:spacing w:line="360" w:lineRule="auto"/>
        <w:jc w:val="right"/>
        <w:rPr>
          <w:rFonts w:hint="eastAsia" w:ascii="宋体" w:hAnsi="宋体" w:eastAsia="宋体" w:cs="宋体"/>
          <w:kern w:val="0"/>
          <w:sz w:val="24"/>
          <w:szCs w:val="24"/>
          <w:lang w:bidi="ar"/>
        </w:rPr>
      </w:pPr>
    </w:p>
    <w:p>
      <w:pPr>
        <w:adjustRightInd w:val="0"/>
        <w:snapToGrid w:val="0"/>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lang w:bidi="ar"/>
        </w:rPr>
        <w:t>发行人（公章）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rPr>
          <w:rFonts w:hint="eastAsia" w:ascii="宋体" w:hAnsi="宋体" w:eastAsia="宋体" w:cs="宋体"/>
          <w:b/>
          <w:bCs/>
          <w:kern w:val="44"/>
          <w:sz w:val="24"/>
          <w:szCs w:val="24"/>
        </w:rPr>
      </w:pPr>
      <w:r>
        <w:rPr>
          <w:rFonts w:hint="eastAsia" w:ascii="宋体" w:hAnsi="宋体" w:eastAsia="宋体" w:cs="宋体"/>
          <w:sz w:val="24"/>
          <w:szCs w:val="24"/>
          <w:lang w:bidi="ar"/>
        </w:rPr>
        <w:br w:type="page"/>
      </w:r>
    </w:p>
    <w:p>
      <w:pPr>
        <w:adjustRightInd w:val="0"/>
        <w:snapToGri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（本页无正文，为《【债券全称】票面利率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公告》之签章页）</w:t>
      </w:r>
    </w:p>
    <w:p>
      <w:pPr>
        <w:adjustRightInd w:val="0"/>
        <w:snapToGrid w:val="0"/>
        <w:spacing w:line="360" w:lineRule="auto"/>
        <w:jc w:val="right"/>
        <w:rPr>
          <w:rFonts w:hint="eastAsia" w:ascii="宋体" w:hAnsi="宋体" w:eastAsia="宋体" w:cs="宋体"/>
          <w:kern w:val="0"/>
          <w:sz w:val="24"/>
          <w:szCs w:val="24"/>
          <w:lang w:bidi="ar"/>
        </w:rPr>
      </w:pPr>
    </w:p>
    <w:p>
      <w:pPr>
        <w:adjustRightInd w:val="0"/>
        <w:snapToGrid w:val="0"/>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lang w:bidi="ar"/>
        </w:rPr>
        <w:t>主承销商（公章）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widowControl/>
        <w:adjustRightInd w:val="0"/>
        <w:snapToGrid w:val="0"/>
        <w:jc w:val="left"/>
        <w:rPr>
          <w:rFonts w:hint="eastAsia" w:ascii="仿宋" w:hAnsi="仿宋" w:eastAsia="仿宋" w:cs="仿宋"/>
          <w:sz w:val="32"/>
          <w:szCs w:val="32"/>
        </w:rPr>
      </w:pPr>
      <w:r>
        <w:rPr>
          <w:rFonts w:hint="eastAsia" w:ascii="仿宋" w:hAnsi="仿宋" w:eastAsia="仿宋" w:cs="仿宋"/>
          <w:sz w:val="32"/>
          <w:szCs w:val="32"/>
          <w:lang w:bidi="ar"/>
        </w:rPr>
        <w:br w:type="page"/>
      </w:r>
    </w:p>
    <w:p>
      <w:pPr>
        <w:pStyle w:val="3"/>
        <w:widowControl/>
        <w:adjustRightInd/>
        <w:snapToGrid/>
        <w:outlineLvl w:val="1"/>
        <w:rPr>
          <w:rFonts w:hint="eastAsia" w:ascii="仿宋" w:hAnsi="仿宋" w:eastAsia="仿宋" w:cs="仿宋"/>
          <w:b w:val="0"/>
          <w:bCs w:val="0"/>
          <w:sz w:val="32"/>
          <w:szCs w:val="32"/>
        </w:rPr>
      </w:pPr>
      <w:bookmarkStart w:id="512" w:name="_Toc28573"/>
      <w:bookmarkStart w:id="513" w:name="_Toc14771"/>
      <w:bookmarkStart w:id="514" w:name="_Toc20176"/>
      <w:bookmarkStart w:id="515" w:name="_Toc873559877"/>
      <w:bookmarkStart w:id="516" w:name="_Toc8263"/>
      <w:bookmarkStart w:id="517" w:name="_Toc759"/>
      <w:bookmarkStart w:id="518" w:name="_Toc474"/>
      <w:bookmarkStart w:id="519" w:name="_Toc1523"/>
      <w:bookmarkStart w:id="520" w:name="_Toc26970"/>
      <w:bookmarkStart w:id="521" w:name="_Toc16389"/>
      <w:bookmarkStart w:id="522" w:name="_Toc30779"/>
      <w:bookmarkStart w:id="523" w:name="_Toc1686364466"/>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 xml:space="preserve"> 发行结果公告</w:t>
      </w:r>
      <w:bookmarkEnd w:id="512"/>
      <w:bookmarkEnd w:id="513"/>
      <w:bookmarkEnd w:id="514"/>
      <w:bookmarkEnd w:id="515"/>
      <w:bookmarkEnd w:id="516"/>
      <w:bookmarkEnd w:id="517"/>
      <w:bookmarkEnd w:id="518"/>
      <w:bookmarkEnd w:id="519"/>
      <w:bookmarkEnd w:id="520"/>
      <w:bookmarkEnd w:id="521"/>
      <w:bookmarkEnd w:id="522"/>
      <w:bookmarkEnd w:id="523"/>
    </w:p>
    <w:p>
      <w:pPr>
        <w:adjustRightInd w:val="0"/>
        <w:snapToGrid w:val="0"/>
        <w:spacing w:line="360" w:lineRule="auto"/>
        <w:ind w:firstLine="1080" w:firstLineChars="450"/>
        <w:rPr>
          <w:rFonts w:hint="eastAsia" w:ascii="宋体" w:hAnsi="宋体" w:eastAsia="宋体" w:cs="宋体"/>
          <w:sz w:val="24"/>
          <w:szCs w:val="24"/>
        </w:rPr>
      </w:pPr>
      <w:r>
        <w:rPr>
          <w:rFonts w:hint="eastAsia" w:ascii="宋体" w:hAnsi="宋体" w:eastAsia="宋体" w:cs="宋体"/>
          <w:kern w:val="0"/>
          <w:sz w:val="24"/>
          <w:szCs w:val="24"/>
          <w:lang w:eastAsia="zh" w:bidi="ar"/>
        </w:rPr>
        <w:t>债</w:t>
      </w:r>
      <w:r>
        <w:rPr>
          <w:rFonts w:hint="eastAsia" w:ascii="宋体" w:hAnsi="宋体" w:eastAsia="宋体" w:cs="宋体"/>
          <w:kern w:val="0"/>
          <w:sz w:val="24"/>
          <w:szCs w:val="24"/>
          <w:lang w:bidi="ar"/>
        </w:rPr>
        <w:t>券代码：</w:t>
      </w:r>
      <w:r>
        <w:rPr>
          <w:rFonts w:hint="eastAsia" w:ascii="宋体" w:hAnsi="宋体" w:eastAsia="宋体" w:cs="宋体"/>
          <w:sz w:val="24"/>
          <w:szCs w:val="24"/>
          <w:lang w:bidi="ar"/>
        </w:rPr>
        <w:t xml:space="preserve">【】                             </w:t>
      </w:r>
      <w:r>
        <w:rPr>
          <w:rFonts w:hint="eastAsia" w:ascii="宋体" w:hAnsi="宋体" w:eastAsia="宋体" w:cs="宋体"/>
          <w:kern w:val="0"/>
          <w:sz w:val="24"/>
          <w:szCs w:val="24"/>
          <w:lang w:bidi="ar"/>
        </w:rPr>
        <w:t xml:space="preserve"> </w:t>
      </w:r>
      <w:r>
        <w:rPr>
          <w:rFonts w:hint="eastAsia" w:ascii="宋体" w:hAnsi="宋体" w:eastAsia="宋体" w:cs="宋体"/>
          <w:kern w:val="0"/>
          <w:sz w:val="24"/>
          <w:szCs w:val="24"/>
          <w:lang w:eastAsia="zh-CN" w:bidi="ar"/>
        </w:rPr>
        <w:t>证券简称</w:t>
      </w:r>
      <w:r>
        <w:rPr>
          <w:rFonts w:hint="eastAsia" w:ascii="宋体" w:hAnsi="宋体" w:eastAsia="宋体" w:cs="宋体"/>
          <w:kern w:val="0"/>
          <w:sz w:val="24"/>
          <w:szCs w:val="24"/>
          <w:lang w:bidi="ar"/>
        </w:rPr>
        <w:t>：</w:t>
      </w:r>
      <w:r>
        <w:rPr>
          <w:rFonts w:hint="eastAsia" w:ascii="宋体" w:hAnsi="宋体" w:eastAsia="宋体" w:cs="宋体"/>
          <w:sz w:val="24"/>
          <w:szCs w:val="24"/>
          <w:lang w:bidi="ar"/>
        </w:rPr>
        <w:t>【】</w:t>
      </w:r>
    </w:p>
    <w:p>
      <w:pPr>
        <w:adjustRightInd w:val="0"/>
        <w:snapToGrid w:val="0"/>
        <w:spacing w:line="360" w:lineRule="auto"/>
        <w:rPr>
          <w:rFonts w:hint="eastAsia" w:ascii="仿宋" w:hAnsi="仿宋" w:eastAsia="仿宋" w:cs="仿宋"/>
          <w:b/>
          <w:kern w:val="0"/>
          <w:sz w:val="21"/>
          <w:szCs w:val="21"/>
        </w:rPr>
      </w:pPr>
    </w:p>
    <w:p>
      <w:pPr>
        <w:adjustRightInd w:val="0"/>
        <w:snapToGrid w:val="0"/>
        <w:spacing w:line="360" w:lineRule="auto"/>
        <w:jc w:val="center"/>
        <w:rPr>
          <w:rFonts w:hint="eastAsia" w:ascii="宋体" w:hAnsi="宋体" w:eastAsia="宋体" w:cs="宋体"/>
          <w:b/>
          <w:kern w:val="2"/>
          <w:sz w:val="28"/>
          <w:szCs w:val="28"/>
          <w:lang w:bidi="ar"/>
        </w:rPr>
      </w:pPr>
      <w:r>
        <w:rPr>
          <w:rFonts w:hint="eastAsia" w:ascii="宋体" w:hAnsi="宋体" w:eastAsia="宋体" w:cs="宋体"/>
          <w:b/>
          <w:kern w:val="2"/>
          <w:sz w:val="28"/>
          <w:szCs w:val="28"/>
          <w:lang w:bidi="ar"/>
        </w:rPr>
        <w:t>【债券全称】发行结果公告</w:t>
      </w:r>
    </w:p>
    <w:p>
      <w:pPr>
        <w:adjustRightInd/>
        <w:snapToGrid/>
        <w:spacing w:line="240" w:lineRule="auto"/>
        <w:jc w:val="center"/>
        <w:rPr>
          <w:rFonts w:hint="eastAsia" w:ascii="隶书" w:hAnsi="隶书" w:eastAsia="隶书" w:cs="隶书"/>
          <w:b w:val="0"/>
          <w:kern w:val="2"/>
          <w:sz w:val="24"/>
          <w:szCs w:val="22"/>
          <w:lang w:bidi="ar"/>
        </w:rPr>
      </w:pPr>
      <w:r>
        <w:rPr>
          <w:rFonts w:hint="eastAsia" w:ascii="隶书" w:hAnsi="隶书" w:eastAsia="隶书" w:cs="隶书"/>
          <w:sz w:val="24"/>
          <w:szCs w:val="22"/>
          <w:lang w:bidi="ar"/>
        </w:rPr>
        <w:t>（本公告至少包括但不限于以下内容）</w:t>
      </w:r>
    </w:p>
    <w:p>
      <w:pPr>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bidi="ar"/>
        </w:rPr>
        <w:t>【】公司（以下简称“发行人”）公开/非公开发行不超过人民币【】亿元公司债券已获得注册批复等文件。根据《【债券全称】发行公告》，【债券全称】（以下简称“本次债券”）发行规模为【】亿元，发行价格为每张【】元，采取【网上面向普通投资者公开发行】和/网下面向专业机构投资者询价配售【相结合】/协议发行的方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本次债券发行时间自【】年【】月【】日至【】年【】月【】日，其中【】年【】月【】日为网上发行日，【】年【】月【】日至【】年【】月【】日为网下发行日，具体发行情况如下：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1、【如适用】网上发行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本次债券网上预设的发行数量占本次债券发行规模的比例为【】%，即【】亿元；最终网上实际发行数量为【】亿元，占本次债券发行规模的【】%。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2、网下发行</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eastAsia="zh"/>
        </w:rPr>
      </w:pPr>
      <w:r>
        <w:rPr>
          <w:rFonts w:hint="eastAsia" w:ascii="宋体" w:hAnsi="宋体" w:eastAsia="宋体" w:cs="宋体"/>
          <w:sz w:val="24"/>
          <w:szCs w:val="24"/>
          <w:lang w:bidi="ar"/>
        </w:rPr>
        <w:t>本次债券网下预设的发行数量占本次债券发行规模的比例为【】%，即【】亿元；最终网下实际发行数量为【】亿元，占本次债券发行规模的【】%。本次债券的</w:t>
      </w:r>
      <w:r>
        <w:rPr>
          <w:rFonts w:hint="eastAsia" w:ascii="宋体" w:hAnsi="宋体" w:eastAsia="宋体" w:cs="宋体"/>
          <w:sz w:val="24"/>
          <w:szCs w:val="24"/>
          <w:lang w:eastAsia="zh-CN" w:bidi="ar"/>
        </w:rPr>
        <w:t>票面利率为【】</w:t>
      </w:r>
      <w:r>
        <w:rPr>
          <w:rFonts w:hint="eastAsia" w:ascii="宋体" w:hAnsi="宋体" w:eastAsia="宋体" w:cs="宋体"/>
          <w:sz w:val="24"/>
          <w:szCs w:val="24"/>
          <w:lang w:val="en-US" w:eastAsia="zh-CN" w:bidi="ar"/>
        </w:rPr>
        <w:t>%</w:t>
      </w:r>
      <w:r>
        <w:rPr>
          <w:rFonts w:hint="eastAsia" w:ascii="宋体" w:hAnsi="宋体" w:eastAsia="宋体" w:cs="宋体"/>
          <w:sz w:val="24"/>
          <w:szCs w:val="24"/>
          <w:lang w:eastAsia="zh-CN" w:bidi="ar"/>
        </w:rPr>
        <w:t>，</w:t>
      </w:r>
      <w:r>
        <w:rPr>
          <w:rFonts w:hint="eastAsia" w:ascii="宋体" w:hAnsi="宋体" w:eastAsia="宋体" w:cs="宋体"/>
          <w:sz w:val="24"/>
          <w:szCs w:val="24"/>
          <w:lang w:bidi="ar"/>
        </w:rPr>
        <w:t>认购倍数为【】。</w:t>
      </w:r>
      <w:r>
        <w:rPr>
          <w:rFonts w:hint="eastAsia" w:ascii="宋体" w:hAnsi="宋体" w:eastAsia="宋体" w:cs="宋体"/>
          <w:kern w:val="2"/>
          <w:sz w:val="24"/>
          <w:szCs w:val="24"/>
          <w:lang w:val="en-US" w:eastAsia="zh-CN" w:bidi="ar"/>
        </w:rPr>
        <w:t>如有未实际发行的品种，发行结果公告中应说明对应品种未实际发行。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3、【发行人的董事、监事、高级管理人员、持股比例超过5%的股东以及其他关联方参与认购情况。】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4、【承销商及其关联方未参与本期债券认购】【承销商及其关联方参与本期债券认购，报价公允、程序合规，披露认购方、认购规模、报价情况】。</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认购本期债券的投资者均符合《公司债券发行与交易管理办法》、《深圳证券交易所公司债券上市规则（2023年修订）》</w:t>
      </w:r>
      <w:r>
        <w:rPr>
          <w:rFonts w:hint="eastAsia" w:ascii="宋体" w:hAnsi="宋体" w:eastAsia="宋体" w:cs="宋体"/>
          <w:sz w:val="24"/>
          <w:szCs w:val="24"/>
          <w:lang w:val="en-US" w:eastAsia="zh-CN" w:bidi="ar"/>
        </w:rPr>
        <w:t>/</w:t>
      </w:r>
      <w:r>
        <w:rPr>
          <w:rFonts w:hint="eastAsia" w:ascii="宋体" w:hAnsi="宋体" w:eastAsia="宋体" w:cs="宋体"/>
          <w:sz w:val="24"/>
          <w:szCs w:val="24"/>
          <w:lang w:eastAsia="zh-CN" w:bidi="ar"/>
        </w:rPr>
        <w:t>《深圳证券交易所</w:t>
      </w:r>
      <w:r>
        <w:rPr>
          <w:rFonts w:hint="eastAsia" w:ascii="宋体" w:hAnsi="宋体" w:eastAsia="宋体" w:cs="宋体"/>
          <w:sz w:val="24"/>
          <w:szCs w:val="24"/>
          <w:lang w:eastAsia="zh" w:bidi="ar"/>
        </w:rPr>
        <w:t>非公开发行</w:t>
      </w:r>
      <w:r>
        <w:rPr>
          <w:rFonts w:hint="eastAsia" w:ascii="宋体" w:hAnsi="宋体" w:eastAsia="宋体" w:cs="宋体"/>
          <w:sz w:val="24"/>
          <w:szCs w:val="24"/>
          <w:lang w:eastAsia="zh-CN" w:bidi="ar"/>
        </w:rPr>
        <w:t>公司债券挂牌规则（2023年修订）》，</w:t>
      </w:r>
      <w:r>
        <w:rPr>
          <w:rFonts w:hint="eastAsia" w:ascii="宋体" w:hAnsi="宋体" w:eastAsia="宋体" w:cs="宋体"/>
          <w:sz w:val="24"/>
          <w:szCs w:val="24"/>
          <w:lang w:bidi="ar"/>
        </w:rPr>
        <w:t>《深圳证券交易所债券市场投资者适当性管理办法（2023年修订）》及《关于进一步规范债券发行业务有关事项的通知》等各项有关要求。</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5、【如发行规模小于拟发行规模，应明确最终的募集资金用途。】</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特此公告</w:t>
      </w:r>
      <w:r>
        <w:rPr>
          <w:rFonts w:hint="eastAsia" w:ascii="宋体" w:hAnsi="宋体" w:eastAsia="宋体" w:cs="宋体"/>
          <w:sz w:val="24"/>
          <w:szCs w:val="24"/>
          <w:lang w:eastAsia="zh-CN" w:bidi="ar"/>
        </w:rPr>
        <w:t>。</w:t>
      </w:r>
    </w:p>
    <w:p>
      <w:pPr>
        <w:adjustRightInd w:val="0"/>
        <w:snapToGrid w:val="0"/>
        <w:spacing w:line="240" w:lineRule="auto"/>
        <w:ind w:firstLine="480" w:firstLineChars="200"/>
        <w:jc w:val="left"/>
        <w:rPr>
          <w:rFonts w:hint="eastAsia" w:ascii="宋体" w:hAnsi="宋体" w:eastAsia="宋体" w:cs="宋体"/>
          <w:sz w:val="24"/>
          <w:szCs w:val="24"/>
          <w:lang w:bidi="ar"/>
        </w:rPr>
        <w:sectPr>
          <w:pgSz w:w="11906" w:h="16838"/>
          <w:pgMar w:top="1440" w:right="1800" w:bottom="1440" w:left="1800" w:header="851" w:footer="992" w:gutter="0"/>
          <w:pgNumType w:fmt="decimal"/>
          <w:cols w:space="720" w:num="1"/>
          <w:formProt w:val="1"/>
          <w:docGrid w:type="lines" w:linePitch="312" w:charSpace="0"/>
        </w:sectPr>
      </w:pPr>
    </w:p>
    <w:p>
      <w:pPr>
        <w:adjustRightInd w:val="0"/>
        <w:snapToGrid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bidi="ar"/>
        </w:rPr>
        <w:t>（本页无正文，为《【债券全称】发行结果公告》之签章页）</w:t>
      </w:r>
    </w:p>
    <w:p>
      <w:pPr>
        <w:adjustRightInd w:val="0"/>
        <w:snapToGrid w:val="0"/>
        <w:spacing w:line="360" w:lineRule="auto"/>
        <w:jc w:val="right"/>
        <w:rPr>
          <w:rFonts w:hint="eastAsia" w:ascii="宋体" w:hAnsi="宋体" w:eastAsia="宋体" w:cs="宋体"/>
          <w:sz w:val="24"/>
          <w:szCs w:val="24"/>
          <w:lang w:bidi="ar"/>
        </w:rPr>
      </w:pP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发行人（公章）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rPr>
          <w:rFonts w:hint="eastAsia" w:ascii="宋体" w:hAnsi="宋体" w:eastAsia="宋体" w:cs="宋体"/>
          <w:sz w:val="24"/>
          <w:szCs w:val="24"/>
        </w:rPr>
      </w:pPr>
    </w:p>
    <w:p>
      <w:pPr>
        <w:widowControl/>
        <w:adjustRightInd w:val="0"/>
        <w:snapToGrid w:val="0"/>
        <w:jc w:val="left"/>
        <w:rPr>
          <w:rFonts w:hint="eastAsia" w:ascii="宋体" w:hAnsi="宋体" w:eastAsia="宋体" w:cs="宋体"/>
          <w:sz w:val="24"/>
          <w:szCs w:val="24"/>
        </w:rPr>
      </w:pPr>
      <w:r>
        <w:rPr>
          <w:rFonts w:hint="eastAsia" w:ascii="宋体" w:hAnsi="宋体" w:eastAsia="宋体" w:cs="宋体"/>
          <w:sz w:val="24"/>
          <w:szCs w:val="24"/>
        </w:rPr>
        <w:br w:type="page"/>
      </w: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（本页无正文，为《【债券全称】发行结果公告》之签章页）</w:t>
      </w:r>
    </w:p>
    <w:p>
      <w:pPr>
        <w:adjustRightInd w:val="0"/>
        <w:snapToGrid w:val="0"/>
        <w:spacing w:line="360" w:lineRule="auto"/>
        <w:jc w:val="right"/>
        <w:rPr>
          <w:rFonts w:hint="eastAsia" w:ascii="宋体" w:hAnsi="宋体" w:eastAsia="宋体" w:cs="宋体"/>
          <w:sz w:val="24"/>
          <w:szCs w:val="24"/>
          <w:lang w:bidi="ar"/>
        </w:rPr>
      </w:pP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主承销商（公章）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【】年【】月【】日</w:t>
      </w:r>
    </w:p>
    <w:p>
      <w:pPr>
        <w:widowControl/>
        <w:adjustRightInd w:val="0"/>
        <w:snapToGrid w:val="0"/>
        <w:jc w:val="left"/>
        <w:rPr>
          <w:rFonts w:hint="eastAsia" w:ascii="仿宋" w:hAnsi="仿宋" w:eastAsia="仿宋" w:cs="仿宋"/>
          <w:sz w:val="32"/>
          <w:szCs w:val="32"/>
        </w:rPr>
      </w:pPr>
      <w:r>
        <w:rPr>
          <w:rFonts w:hint="eastAsia" w:ascii="仿宋" w:hAnsi="仿宋" w:eastAsia="仿宋" w:cs="仿宋"/>
          <w:sz w:val="32"/>
          <w:szCs w:val="32"/>
        </w:rPr>
        <w:br w:type="page"/>
      </w:r>
    </w:p>
    <w:p>
      <w:pPr>
        <w:pStyle w:val="3"/>
        <w:widowControl/>
        <w:adjustRightInd/>
        <w:snapToGrid/>
        <w:outlineLvl w:val="1"/>
        <w:rPr>
          <w:rFonts w:hint="eastAsia" w:ascii="仿宋" w:hAnsi="仿宋" w:eastAsia="仿宋" w:cs="仿宋"/>
          <w:b w:val="0"/>
          <w:bCs w:val="0"/>
          <w:sz w:val="32"/>
          <w:szCs w:val="32"/>
        </w:rPr>
      </w:pPr>
      <w:bookmarkStart w:id="524" w:name="_Toc14813"/>
      <w:bookmarkStart w:id="525" w:name="_Toc29932"/>
      <w:bookmarkStart w:id="526" w:name="_Toc16434"/>
      <w:bookmarkStart w:id="527" w:name="_Toc1919469693"/>
      <w:bookmarkStart w:id="528" w:name="_Toc12783"/>
      <w:bookmarkStart w:id="529" w:name="_Toc32234"/>
      <w:bookmarkStart w:id="530" w:name="_Toc16233"/>
      <w:bookmarkStart w:id="531" w:name="_Toc2706"/>
      <w:bookmarkStart w:id="532" w:name="_Toc2048"/>
      <w:bookmarkStart w:id="533" w:name="_Toc25150"/>
      <w:bookmarkStart w:id="534" w:name="_Toc1122902757"/>
      <w:bookmarkStart w:id="535" w:name="_Toc21769"/>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资金到账及责任承诺（公司债券及企业债券）</w:t>
      </w:r>
      <w:bookmarkEnd w:id="524"/>
      <w:bookmarkEnd w:id="525"/>
      <w:bookmarkEnd w:id="526"/>
      <w:bookmarkEnd w:id="527"/>
      <w:bookmarkEnd w:id="528"/>
      <w:bookmarkEnd w:id="529"/>
      <w:bookmarkEnd w:id="530"/>
      <w:bookmarkEnd w:id="531"/>
      <w:bookmarkEnd w:id="532"/>
      <w:bookmarkEnd w:id="533"/>
      <w:bookmarkEnd w:id="534"/>
      <w:bookmarkEnd w:id="535"/>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jc w:val="center"/>
        <w:rPr>
          <w:rFonts w:hint="eastAsia" w:ascii="黑体" w:hAnsi="黑体" w:eastAsia="黑体" w:cs="黑体"/>
          <w:b/>
          <w:sz w:val="44"/>
          <w:szCs w:val="44"/>
        </w:rPr>
      </w:pPr>
      <w:r>
        <w:rPr>
          <w:rFonts w:hint="eastAsia" w:ascii="宋体" w:hAnsi="宋体" w:eastAsia="宋体" w:cs="宋体"/>
          <w:b/>
          <w:sz w:val="28"/>
          <w:szCs w:val="28"/>
          <w:lang w:bidi="ar"/>
        </w:rPr>
        <w:t>资金到账及责任承诺</w:t>
      </w:r>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rPr>
          <w:rFonts w:hint="eastAsia" w:ascii="宋体" w:hAnsi="宋体" w:eastAsia="宋体" w:cs="宋体"/>
          <w:b/>
          <w:sz w:val="24"/>
          <w:szCs w:val="24"/>
        </w:rPr>
      </w:pPr>
      <w:r>
        <w:rPr>
          <w:rFonts w:hint="eastAsia" w:ascii="宋体" w:hAnsi="宋体" w:eastAsia="宋体" w:cs="宋体"/>
          <w:b/>
          <w:sz w:val="24"/>
          <w:szCs w:val="24"/>
          <w:lang w:bidi="ar"/>
        </w:rPr>
        <w:t>中国证券登记结算有限责任公司深圳分公司：</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我公司本次____</w:t>
      </w:r>
      <w:r>
        <w:rPr>
          <w:rFonts w:hint="eastAsia" w:ascii="宋体" w:hAnsi="宋体" w:eastAsia="宋体" w:cs="宋体"/>
          <w:sz w:val="24"/>
          <w:szCs w:val="24"/>
          <w:u w:val="single"/>
          <w:lang w:bidi="ar"/>
        </w:rPr>
        <w:t>[填写债券名称]</w:t>
      </w:r>
      <w:r>
        <w:rPr>
          <w:rFonts w:hint="eastAsia" w:ascii="宋体" w:hAnsi="宋体" w:eastAsia="宋体" w:cs="宋体"/>
          <w:sz w:val="24"/>
          <w:szCs w:val="24"/>
          <w:lang w:bidi="ar"/>
        </w:rPr>
        <w:t>____债券（证券代码：_____证券简称：_____）发行金额______万元，扣除承销费及保荐费后募集资金人民币______[</w:t>
      </w:r>
      <w:r>
        <w:rPr>
          <w:rFonts w:hint="eastAsia" w:ascii="宋体" w:hAnsi="宋体" w:eastAsia="宋体" w:cs="宋体"/>
          <w:sz w:val="24"/>
          <w:szCs w:val="24"/>
          <w:u w:val="single"/>
          <w:lang w:bidi="ar"/>
        </w:rPr>
        <w:t>填写大写金额]_</w:t>
      </w:r>
      <w:r>
        <w:rPr>
          <w:rFonts w:hint="eastAsia" w:ascii="宋体" w:hAnsi="宋体" w:eastAsia="宋体" w:cs="宋体"/>
          <w:sz w:val="24"/>
          <w:szCs w:val="24"/>
          <w:lang w:bidi="ar"/>
        </w:rPr>
        <w:t>____（￥__[</w:t>
      </w:r>
      <w:r>
        <w:rPr>
          <w:rFonts w:hint="eastAsia" w:ascii="宋体" w:hAnsi="宋体" w:eastAsia="宋体" w:cs="宋体"/>
          <w:sz w:val="24"/>
          <w:szCs w:val="24"/>
          <w:u w:val="single"/>
          <w:lang w:bidi="ar"/>
        </w:rPr>
        <w:t>填写数字金额]</w:t>
      </w:r>
      <w:r>
        <w:rPr>
          <w:rFonts w:hint="eastAsia" w:ascii="宋体" w:hAnsi="宋体" w:eastAsia="宋体" w:cs="宋体"/>
          <w:sz w:val="24"/>
          <w:szCs w:val="24"/>
          <w:lang w:bidi="ar"/>
        </w:rPr>
        <w:t>___元）。募集资金已于______年______月______日足额到位。因募集资金未及时或未足额到位引发的全部法律责任，均由我公司承担，与贵公司无涉。</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exact"/>
        <w:jc w:val="both"/>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exact"/>
        <w:ind w:firstLine="4080" w:firstLineChars="1700"/>
        <w:jc w:val="left"/>
        <w:rPr>
          <w:rFonts w:hint="eastAsia" w:ascii="宋体" w:hAnsi="宋体" w:eastAsia="宋体" w:cs="宋体"/>
          <w:bCs/>
          <w:sz w:val="24"/>
          <w:szCs w:val="24"/>
        </w:rPr>
      </w:pPr>
      <w:r>
        <w:rPr>
          <w:rFonts w:hint="eastAsia" w:ascii="宋体" w:hAnsi="宋体" w:eastAsia="宋体" w:cs="宋体"/>
          <w:bCs/>
          <w:sz w:val="24"/>
          <w:szCs w:val="24"/>
          <w:lang w:bidi="ar"/>
        </w:rPr>
        <w:t>公司（公章）</w:t>
      </w:r>
    </w:p>
    <w:p>
      <w:pPr>
        <w:adjustRightInd w:val="0"/>
        <w:snapToGrid w:val="0"/>
        <w:spacing w:line="360" w:lineRule="exact"/>
        <w:jc w:val="left"/>
        <w:rPr>
          <w:rFonts w:hint="eastAsia" w:ascii="宋体" w:hAnsi="宋体" w:eastAsia="宋体" w:cs="宋体"/>
          <w:bCs/>
          <w:sz w:val="24"/>
          <w:szCs w:val="24"/>
        </w:rPr>
      </w:pPr>
      <w:r>
        <w:rPr>
          <w:rFonts w:hint="eastAsia" w:ascii="宋体" w:hAnsi="宋体" w:eastAsia="宋体" w:cs="宋体"/>
          <w:bCs/>
          <w:sz w:val="24"/>
          <w:szCs w:val="24"/>
          <w:lang w:bidi="ar"/>
        </w:rPr>
        <w:t xml:space="preserve"> </w:t>
      </w:r>
    </w:p>
    <w:p>
      <w:pPr>
        <w:adjustRightInd w:val="0"/>
        <w:snapToGrid w:val="0"/>
        <w:ind w:firstLine="4108" w:firstLineChars="1705"/>
        <w:rPr>
          <w:rFonts w:hint="eastAsia" w:ascii="宋体" w:hAnsi="宋体" w:eastAsia="宋体" w:cs="宋体"/>
          <w:b/>
          <w:bCs/>
          <w:sz w:val="24"/>
          <w:szCs w:val="24"/>
          <w:u w:val="single"/>
        </w:rPr>
      </w:pPr>
      <w:r>
        <w:rPr>
          <w:rFonts w:hint="eastAsia" w:ascii="宋体" w:hAnsi="宋体" w:eastAsia="宋体" w:cs="宋体"/>
          <w:b/>
          <w:bCs/>
          <w:sz w:val="24"/>
          <w:szCs w:val="24"/>
          <w:lang w:bidi="ar"/>
        </w:rPr>
        <w:t>法定代表人或授权代表签字：</w:t>
      </w:r>
    </w:p>
    <w:p>
      <w:pPr>
        <w:adjustRightInd w:val="0"/>
        <w:snapToGrid w:val="0"/>
        <w:rPr>
          <w:rFonts w:hint="eastAsia" w:ascii="宋体" w:hAnsi="宋体" w:eastAsia="宋体" w:cs="宋体"/>
          <w:b/>
          <w:bCs/>
          <w:sz w:val="24"/>
          <w:szCs w:val="24"/>
          <w:u w:val="single"/>
        </w:rPr>
      </w:pPr>
    </w:p>
    <w:p>
      <w:pPr>
        <w:adjustRightInd w:val="0"/>
        <w:snapToGrid w:val="0"/>
        <w:ind w:firstLine="4595" w:firstLineChars="1907"/>
        <w:rPr>
          <w:rFonts w:hint="eastAsia" w:ascii="宋体" w:hAnsi="宋体" w:eastAsia="宋体" w:cs="宋体"/>
          <w:sz w:val="24"/>
          <w:szCs w:val="24"/>
        </w:rPr>
      </w:pPr>
      <w:r>
        <w:rPr>
          <w:rFonts w:hint="eastAsia" w:ascii="宋体" w:hAnsi="宋体" w:eastAsia="宋体" w:cs="宋体"/>
          <w:b/>
          <w:bCs/>
          <w:sz w:val="24"/>
          <w:szCs w:val="24"/>
          <w:lang w:bidi="ar"/>
        </w:rPr>
        <w:t>日期：    年    月    日</w:t>
      </w:r>
      <w:r>
        <w:rPr>
          <w:rFonts w:hint="eastAsia" w:ascii="宋体" w:hAnsi="宋体" w:eastAsia="宋体" w:cs="宋体"/>
          <w:bCs/>
          <w:sz w:val="24"/>
          <w:szCs w:val="24"/>
          <w:lang w:bidi="ar"/>
        </w:rPr>
        <w:tab/>
      </w:r>
    </w:p>
    <w:p>
      <w:pPr>
        <w:widowControl/>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bidi="ar"/>
        </w:rPr>
        <w:t xml:space="preserve"> </w:t>
      </w:r>
    </w:p>
    <w:p>
      <w:pPr>
        <w:widowControl/>
        <w:adjustRightInd w:val="0"/>
        <w:snapToGrid w:val="0"/>
        <w:jc w:val="left"/>
        <w:rPr>
          <w:rFonts w:hint="eastAsia" w:ascii="仿宋" w:hAnsi="仿宋" w:eastAsia="仿宋" w:cs="仿宋"/>
          <w:sz w:val="32"/>
          <w:szCs w:val="32"/>
        </w:rPr>
      </w:pPr>
      <w:r>
        <w:rPr>
          <w:rFonts w:hint="eastAsia" w:ascii="仿宋" w:hAnsi="仿宋" w:eastAsia="仿宋" w:cs="仿宋"/>
          <w:sz w:val="32"/>
          <w:szCs w:val="32"/>
          <w:lang w:bidi="ar"/>
        </w:rPr>
        <w:br w:type="page"/>
      </w:r>
    </w:p>
    <w:p>
      <w:pPr>
        <w:pStyle w:val="3"/>
        <w:widowControl/>
        <w:adjustRightInd/>
        <w:snapToGrid/>
        <w:outlineLvl w:val="1"/>
        <w:rPr>
          <w:rFonts w:hint="eastAsia" w:ascii="仿宋" w:hAnsi="仿宋" w:eastAsia="仿宋" w:cs="仿宋"/>
          <w:b w:val="0"/>
          <w:bCs w:val="0"/>
          <w:sz w:val="32"/>
          <w:szCs w:val="32"/>
        </w:rPr>
      </w:pPr>
      <w:bookmarkStart w:id="536" w:name="_Toc11136"/>
      <w:bookmarkStart w:id="537" w:name="_Toc4658"/>
      <w:bookmarkStart w:id="538" w:name="_Toc26370"/>
      <w:bookmarkStart w:id="539" w:name="_Toc15486"/>
      <w:bookmarkStart w:id="540" w:name="_Toc21603"/>
      <w:bookmarkStart w:id="541" w:name="_Toc18630"/>
      <w:bookmarkStart w:id="542" w:name="_Toc15480"/>
      <w:bookmarkStart w:id="543" w:name="_Toc21665"/>
      <w:bookmarkStart w:id="544" w:name="_Toc1245"/>
      <w:bookmarkStart w:id="545" w:name="_Toc25211"/>
      <w:bookmarkStart w:id="546" w:name="_Toc1157244304"/>
      <w:bookmarkStart w:id="547" w:name="_Toc284155763"/>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CN"/>
        </w:rPr>
        <w:t>1</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 xml:space="preserve"> 授权委托书</w:t>
      </w:r>
      <w:bookmarkEnd w:id="536"/>
      <w:bookmarkEnd w:id="537"/>
      <w:bookmarkEnd w:id="538"/>
      <w:bookmarkEnd w:id="539"/>
      <w:bookmarkEnd w:id="540"/>
      <w:bookmarkEnd w:id="541"/>
      <w:bookmarkEnd w:id="542"/>
      <w:bookmarkEnd w:id="543"/>
      <w:bookmarkEnd w:id="544"/>
      <w:bookmarkEnd w:id="545"/>
      <w:bookmarkEnd w:id="546"/>
      <w:bookmarkEnd w:id="547"/>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jc w:val="center"/>
        <w:rPr>
          <w:rFonts w:hint="eastAsia" w:ascii="黑体" w:hAnsi="黑体" w:eastAsia="黑体" w:cs="黑体"/>
          <w:b/>
          <w:sz w:val="44"/>
          <w:szCs w:val="44"/>
        </w:rPr>
      </w:pPr>
      <w:r>
        <w:rPr>
          <w:rFonts w:hint="eastAsia" w:ascii="宋体" w:hAnsi="宋体" w:eastAsia="宋体" w:cs="宋体"/>
          <w:b/>
          <w:sz w:val="28"/>
          <w:szCs w:val="28"/>
          <w:lang w:bidi="ar"/>
        </w:rPr>
        <w:t>授权委托书</w:t>
      </w:r>
    </w:p>
    <w:p>
      <w:pPr>
        <w:adjustRightInd w:val="0"/>
        <w:snapToGrid w:val="0"/>
        <w:rPr>
          <w:rFonts w:hint="eastAsia" w:ascii="仿宋" w:hAnsi="仿宋" w:eastAsia="仿宋" w:cs="仿宋"/>
          <w:b/>
          <w:sz w:val="21"/>
          <w:szCs w:val="21"/>
        </w:rPr>
      </w:pPr>
      <w:r>
        <w:rPr>
          <w:rFonts w:hint="eastAsia" w:ascii="仿宋" w:hAnsi="仿宋" w:eastAsia="仿宋" w:cs="仿宋"/>
          <w:b/>
          <w:sz w:val="21"/>
          <w:szCs w:val="21"/>
          <w:lang w:bidi="ar"/>
        </w:rPr>
        <w:t xml:space="preserve"> </w:t>
      </w:r>
    </w:p>
    <w:p>
      <w:pPr>
        <w:adjustRightInd w:val="0"/>
        <w:snapToGrid w:val="0"/>
        <w:rPr>
          <w:rFonts w:hint="eastAsia" w:ascii="宋体" w:hAnsi="宋体" w:eastAsia="宋体" w:cs="宋体"/>
          <w:b/>
          <w:sz w:val="24"/>
          <w:szCs w:val="24"/>
        </w:rPr>
      </w:pPr>
      <w:r>
        <w:rPr>
          <w:rFonts w:hint="eastAsia" w:ascii="仿宋" w:hAnsi="仿宋" w:eastAsia="仿宋" w:cs="仿宋"/>
          <w:b/>
          <w:sz w:val="21"/>
          <w:szCs w:val="21"/>
          <w:lang w:bidi="ar"/>
        </w:rPr>
        <w:t>中</w:t>
      </w:r>
      <w:r>
        <w:rPr>
          <w:rFonts w:hint="eastAsia" w:ascii="宋体" w:hAnsi="宋体" w:eastAsia="宋体" w:cs="宋体"/>
          <w:b/>
          <w:sz w:val="24"/>
          <w:szCs w:val="24"/>
          <w:lang w:bidi="ar"/>
        </w:rPr>
        <w:t>国证券登记结算有限责任公司深圳分公司：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lang w:bidi="ar"/>
        </w:rPr>
        <w:t xml:space="preserve">        （发行人公司全称）</w:t>
      </w:r>
      <w:r>
        <w:rPr>
          <w:rFonts w:hint="eastAsia" w:ascii="宋体" w:hAnsi="宋体" w:eastAsia="宋体" w:cs="宋体"/>
          <w:sz w:val="24"/>
          <w:szCs w:val="24"/>
          <w:lang w:bidi="ar"/>
        </w:rPr>
        <w:t>本次发行证券信息如下：</w:t>
      </w:r>
    </w:p>
    <w:tbl>
      <w:tblPr>
        <w:tblStyle w:val="30"/>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160"/>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证券代码</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证券简称</w:t>
            </w:r>
          </w:p>
        </w:tc>
        <w:tc>
          <w:tcPr>
            <w:tcW w:w="3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3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3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r>
    </w:tbl>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我公司就上述证券的发行登记和后续存续期业务等事项授权如下</w:t>
      </w:r>
      <w:r>
        <w:rPr>
          <w:rStyle w:val="38"/>
          <w:rFonts w:hint="eastAsia" w:ascii="宋体" w:hAnsi="宋体" w:eastAsia="宋体" w:cs="宋体"/>
          <w:sz w:val="24"/>
          <w:szCs w:val="24"/>
          <w:lang w:bidi="ar"/>
        </w:rPr>
        <w:footnoteReference w:id="0"/>
      </w:r>
      <w:r>
        <w:rPr>
          <w:rFonts w:hint="eastAsia" w:ascii="宋体" w:hAnsi="宋体" w:eastAsia="宋体" w:cs="宋体"/>
          <w:sz w:val="24"/>
          <w:szCs w:val="24"/>
          <w:lang w:bidi="ar"/>
        </w:rPr>
        <w:t>：</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一、授权我公司</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【身份证明文件号码：</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；联系电话：</w:t>
      </w:r>
      <w:r>
        <w:rPr>
          <w:rFonts w:hint="eastAsia" w:ascii="宋体" w:hAnsi="宋体" w:eastAsia="宋体" w:cs="宋体"/>
          <w:sz w:val="24"/>
          <w:szCs w:val="24"/>
          <w:u w:val="single"/>
          <w:lang w:bidi="ar"/>
        </w:rPr>
        <w:t xml:space="preserve">    (固定电话号码)/    （移动电话号码）</w:t>
      </w:r>
      <w:r>
        <w:rPr>
          <w:rFonts w:hint="eastAsia" w:ascii="宋体" w:hAnsi="宋体" w:eastAsia="宋体" w:cs="宋体"/>
          <w:sz w:val="24"/>
          <w:szCs w:val="24"/>
          <w:lang w:bidi="ar"/>
        </w:rPr>
        <w:t>；电子邮箱：</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】代表我公司根据贵公司相关业务规则办理有关证券登记业务及其他相关事宜，并作为我公司与贵公司之间的指定联络人，由此产生的任何法律责任，均由我公司承担。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二、授权</w:t>
      </w:r>
      <w:r>
        <w:rPr>
          <w:rFonts w:hint="eastAsia" w:ascii="宋体" w:hAnsi="宋体" w:eastAsia="宋体" w:cs="宋体"/>
          <w:sz w:val="24"/>
          <w:szCs w:val="24"/>
          <w:u w:val="single"/>
          <w:lang w:bidi="ar"/>
        </w:rPr>
        <w:t xml:space="preserve">        （受托管理人全称）</w:t>
      </w:r>
      <w:r>
        <w:rPr>
          <w:rFonts w:hint="eastAsia" w:ascii="宋体" w:hAnsi="宋体" w:eastAsia="宋体" w:cs="宋体"/>
          <w:sz w:val="24"/>
          <w:szCs w:val="24"/>
          <w:lang w:bidi="ar"/>
        </w:rPr>
        <w:t>代理我公司根据贵公司相关业务规则向贵公司申请办理有关证券的存续期业务，包括但不限于兑付、兑息、回售、赎回、转股、换股、信息服务（持有人名册等）、退出登记等业务，我公司认可该机构提交的业务申报，并承担因该申请而引起的所有相关义务和责任，受托人发生变更的，我公司将及时向贵公司进行说明。</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ind w:right="480" w:firstLine="240" w:firstLineChars="100"/>
        <w:jc w:val="center"/>
        <w:rPr>
          <w:rFonts w:hint="eastAsia" w:ascii="宋体" w:hAnsi="宋体" w:eastAsia="宋体" w:cs="宋体"/>
          <w:sz w:val="24"/>
          <w:szCs w:val="24"/>
        </w:rPr>
      </w:pPr>
      <w:r>
        <w:rPr>
          <w:rFonts w:hint="eastAsia" w:ascii="宋体" w:hAnsi="宋体" w:eastAsia="宋体" w:cs="宋体"/>
          <w:sz w:val="24"/>
          <w:szCs w:val="24"/>
          <w:lang w:bidi="ar"/>
        </w:rPr>
        <w:t xml:space="preserve">                             法定代表人签章：  </w:t>
      </w:r>
    </w:p>
    <w:p>
      <w:pPr>
        <w:adjustRightInd w:val="0"/>
        <w:snapToGrid w:val="0"/>
        <w:ind w:right="480"/>
        <w:jc w:val="right"/>
        <w:rPr>
          <w:rFonts w:hint="eastAsia" w:ascii="宋体" w:hAnsi="宋体" w:eastAsia="宋体" w:cs="宋体"/>
          <w:sz w:val="24"/>
          <w:szCs w:val="24"/>
        </w:rPr>
      </w:pPr>
      <w:r>
        <w:rPr>
          <w:rFonts w:hint="eastAsia" w:ascii="宋体" w:hAnsi="宋体" w:eastAsia="宋体" w:cs="宋体"/>
          <w:sz w:val="24"/>
          <w:szCs w:val="24"/>
          <w:lang w:bidi="ar"/>
        </w:rPr>
        <w:t xml:space="preserve">         （发行人公司全称）</w:t>
      </w:r>
    </w:p>
    <w:p>
      <w:pPr>
        <w:adjustRightInd w:val="0"/>
        <w:snapToGrid w:val="0"/>
        <w:ind w:right="480" w:firstLine="240" w:firstLineChars="100"/>
        <w:jc w:val="right"/>
        <w:rPr>
          <w:rFonts w:hint="eastAsia" w:ascii="宋体" w:hAnsi="宋体" w:eastAsia="宋体" w:cs="宋体"/>
          <w:sz w:val="24"/>
          <w:szCs w:val="24"/>
        </w:rPr>
      </w:pPr>
      <w:r>
        <w:rPr>
          <w:rFonts w:hint="eastAsia" w:ascii="宋体" w:hAnsi="宋体" w:eastAsia="宋体" w:cs="宋体"/>
          <w:sz w:val="24"/>
          <w:szCs w:val="24"/>
          <w:lang w:bidi="ar"/>
        </w:rPr>
        <w:t>（公司公章）</w:t>
      </w:r>
    </w:p>
    <w:p>
      <w:pPr>
        <w:adjustRightInd w:val="0"/>
        <w:snapToGrid w:val="0"/>
        <w:ind w:firstLine="240" w:firstLineChars="100"/>
        <w:jc w:val="right"/>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ind w:firstLine="720" w:firstLineChars="300"/>
        <w:jc w:val="right"/>
        <w:rPr>
          <w:rFonts w:hint="eastAsia" w:ascii="宋体" w:hAnsi="宋体" w:eastAsia="宋体" w:cs="宋体"/>
          <w:sz w:val="24"/>
          <w:szCs w:val="24"/>
        </w:rPr>
      </w:pPr>
      <w:r>
        <w:rPr>
          <w:rFonts w:hint="eastAsia" w:ascii="宋体" w:hAnsi="宋体" w:eastAsia="宋体" w:cs="宋体"/>
          <w:sz w:val="24"/>
          <w:szCs w:val="24"/>
          <w:lang w:bidi="ar"/>
        </w:rPr>
        <w:t>年   月    日</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ind w:firstLine="720" w:firstLineChars="300"/>
        <w:jc w:val="right"/>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br w:type="page"/>
      </w:r>
    </w:p>
    <w:p>
      <w:pPr>
        <w:pStyle w:val="3"/>
        <w:widowControl/>
        <w:adjustRightInd/>
        <w:snapToGrid/>
        <w:outlineLvl w:val="1"/>
        <w:rPr>
          <w:rFonts w:hint="eastAsia" w:ascii="仿宋" w:hAnsi="仿宋" w:eastAsia="仿宋" w:cs="仿宋"/>
          <w:b w:val="0"/>
          <w:bCs w:val="0"/>
          <w:sz w:val="32"/>
          <w:szCs w:val="32"/>
        </w:rPr>
      </w:pPr>
      <w:bookmarkStart w:id="548" w:name="_Toc2758"/>
      <w:bookmarkStart w:id="549" w:name="_Toc21992"/>
      <w:bookmarkStart w:id="550" w:name="_Toc267"/>
      <w:bookmarkStart w:id="551" w:name="_Toc6105"/>
      <w:bookmarkStart w:id="552" w:name="_Toc20529"/>
      <w:bookmarkStart w:id="553" w:name="_Toc26601"/>
      <w:bookmarkStart w:id="554" w:name="_Toc2079027157"/>
      <w:bookmarkStart w:id="555" w:name="_Toc8179"/>
      <w:bookmarkStart w:id="556" w:name="_Toc2061547349"/>
      <w:bookmarkStart w:id="557" w:name="_Toc17006"/>
      <w:bookmarkStart w:id="558" w:name="_Toc15621"/>
      <w:bookmarkStart w:id="559" w:name="_Toc17860"/>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11</w:t>
      </w:r>
      <w:r>
        <w:rPr>
          <w:rFonts w:hint="eastAsia" w:ascii="仿宋" w:hAnsi="仿宋" w:eastAsia="仿宋" w:cs="仿宋"/>
          <w:b w:val="0"/>
          <w:bCs w:val="0"/>
          <w:sz w:val="32"/>
          <w:szCs w:val="32"/>
        </w:rPr>
        <w:t xml:space="preserve"> 可交换公司债券发行人证券账户信息备案表</w:t>
      </w:r>
      <w:bookmarkEnd w:id="548"/>
      <w:bookmarkEnd w:id="549"/>
      <w:bookmarkEnd w:id="550"/>
      <w:bookmarkEnd w:id="551"/>
      <w:bookmarkEnd w:id="552"/>
      <w:bookmarkEnd w:id="553"/>
      <w:bookmarkEnd w:id="554"/>
      <w:bookmarkEnd w:id="555"/>
      <w:bookmarkEnd w:id="556"/>
      <w:bookmarkEnd w:id="557"/>
      <w:bookmarkEnd w:id="558"/>
      <w:bookmarkEnd w:id="559"/>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spacing w:line="360" w:lineRule="auto"/>
        <w:jc w:val="center"/>
        <w:rPr>
          <w:rFonts w:hint="eastAsia" w:ascii="宋体" w:hAnsi="宋体" w:eastAsia="宋体" w:cs="宋体"/>
          <w:b/>
          <w:sz w:val="28"/>
          <w:szCs w:val="28"/>
          <w:lang w:bidi="ar"/>
        </w:rPr>
      </w:pPr>
      <w:r>
        <w:rPr>
          <w:rFonts w:hint="eastAsia" w:ascii="宋体" w:hAnsi="宋体" w:eastAsia="宋体" w:cs="宋体"/>
          <w:b/>
          <w:sz w:val="28"/>
          <w:szCs w:val="28"/>
          <w:lang w:bidi="ar"/>
        </w:rPr>
        <w:t>可交换公司债券发行人证券账户信息备案表</w:t>
      </w:r>
    </w:p>
    <w:tbl>
      <w:tblPr>
        <w:tblStyle w:val="30"/>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1559"/>
        <w:gridCol w:w="466"/>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债券代码</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eastAsia="zh-CN" w:bidi="ar"/>
              </w:rPr>
              <w:t>证券简称</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债券发行人全称</w:t>
            </w:r>
          </w:p>
        </w:tc>
        <w:tc>
          <w:tcPr>
            <w:tcW w:w="628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发行人A股账户信息</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账户号码</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账户名称</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注册信息</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质押专用账户或信托登记账户信息</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账户号码</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账户名称</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注册信息</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质押或信托（换股）标的股票信息</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证券代码</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证券简称</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41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质押数量</w:t>
            </w:r>
          </w:p>
        </w:tc>
        <w:tc>
          <w:tcPr>
            <w:tcW w:w="4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jc w:val="center"/>
        </w:trPr>
        <w:tc>
          <w:tcPr>
            <w:tcW w:w="8698"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宋体"/>
                <w:b/>
                <w:sz w:val="24"/>
                <w:szCs w:val="24"/>
              </w:rPr>
            </w:pPr>
            <w:r>
              <w:rPr>
                <w:rFonts w:hint="eastAsia" w:ascii="宋体" w:hAnsi="宋体" w:eastAsia="宋体" w:cs="宋体"/>
                <w:b/>
                <w:sz w:val="24"/>
                <w:szCs w:val="24"/>
                <w:lang w:bidi="ar"/>
              </w:rPr>
              <w:t>申请人声明：</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4"/>
                <w:szCs w:val="24"/>
              </w:rPr>
            </w:pPr>
            <w:r>
              <w:rPr>
                <w:rFonts w:hint="eastAsia" w:ascii="宋体" w:hAnsi="宋体" w:eastAsia="宋体" w:cs="宋体"/>
                <w:sz w:val="24"/>
                <w:szCs w:val="24"/>
                <w:lang w:bidi="ar"/>
              </w:rPr>
              <w:t>中国证券登记结算有限责任公司深圳分公司：</w:t>
            </w:r>
          </w:p>
          <w:p>
            <w:pPr>
              <w:pStyle w:val="11"/>
              <w:keepNext w:val="0"/>
              <w:keepLines w:val="0"/>
              <w:widowControl/>
              <w:suppressLineNumbers w:val="0"/>
              <w:adjustRightInd w:val="0"/>
              <w:snapToGrid w:val="0"/>
              <w:spacing w:before="0" w:beforeAutospacing="1" w:afterAutospacing="0" w:line="360" w:lineRule="auto"/>
              <w:ind w:right="0"/>
              <w:jc w:val="left"/>
              <w:rPr>
                <w:rFonts w:hint="default" w:ascii="宋体" w:hAnsi="宋体" w:eastAsia="宋体" w:cs="宋体"/>
                <w:sz w:val="24"/>
                <w:szCs w:val="24"/>
              </w:rPr>
            </w:pPr>
            <w:r>
              <w:rPr>
                <w:rFonts w:hint="eastAsia" w:ascii="宋体" w:hAnsi="宋体" w:eastAsia="宋体" w:cs="宋体"/>
                <w:sz w:val="24"/>
                <w:szCs w:val="24"/>
              </w:rPr>
              <w:t>我公司向贵公司有效送达证券数据的方式为经我公司确认的书面和电子文件。我公司确保提供资料的真实、准确、完整与合法，因提供资料有误而引起的一切法律责任，均由我公司承担。</w:t>
            </w:r>
          </w:p>
          <w:p>
            <w:pPr>
              <w:keepNext w:val="0"/>
              <w:keepLines w:val="0"/>
              <w:suppressLineNumbers w:val="0"/>
              <w:adjustRightInd w:val="0"/>
              <w:snapToGrid w:val="0"/>
              <w:spacing w:before="0" w:beforeAutospacing="0" w:after="0" w:afterAutospacing="0" w:line="360" w:lineRule="auto"/>
              <w:ind w:left="0" w:right="0" w:firstLine="5040" w:firstLineChars="2100"/>
              <w:jc w:val="left"/>
              <w:rPr>
                <w:rFonts w:hint="default" w:ascii="宋体" w:hAnsi="宋体" w:eastAsia="宋体" w:cs="宋体"/>
                <w:sz w:val="24"/>
                <w:szCs w:val="24"/>
              </w:rPr>
            </w:pP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r>
              <w:rPr>
                <w:rFonts w:hint="eastAsia" w:ascii="宋体" w:hAnsi="宋体" w:eastAsia="宋体" w:cs="宋体"/>
                <w:sz w:val="24"/>
                <w:szCs w:val="24"/>
                <w:lang w:bidi="ar"/>
              </w:rPr>
              <w:t>经办人：</w:t>
            </w: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r>
              <w:rPr>
                <w:rFonts w:hint="eastAsia" w:ascii="宋体" w:hAnsi="宋体" w:eastAsia="宋体" w:cs="宋体"/>
                <w:sz w:val="24"/>
                <w:szCs w:val="24"/>
                <w:lang w:bidi="ar"/>
              </w:rPr>
              <w:t>联系电话：</w:t>
            </w: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r>
              <w:rPr>
                <w:rFonts w:hint="eastAsia" w:ascii="宋体" w:hAnsi="宋体" w:eastAsia="宋体" w:cs="宋体"/>
                <w:sz w:val="24"/>
                <w:szCs w:val="24"/>
                <w:lang w:bidi="ar"/>
              </w:rPr>
              <w:t>传真：</w:t>
            </w: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p>
          <w:p>
            <w:pPr>
              <w:keepNext w:val="0"/>
              <w:keepLines w:val="0"/>
              <w:suppressLineNumbers w:val="0"/>
              <w:adjustRightInd w:val="0"/>
              <w:snapToGrid w:val="0"/>
              <w:spacing w:before="0" w:beforeAutospacing="0" w:after="0" w:afterAutospacing="0" w:line="360" w:lineRule="auto"/>
              <w:ind w:left="0" w:right="2642" w:firstLine="480" w:firstLineChars="200"/>
              <w:rPr>
                <w:rFonts w:hint="default" w:ascii="宋体" w:hAnsi="宋体" w:eastAsia="宋体" w:cs="宋体"/>
                <w:sz w:val="24"/>
                <w:szCs w:val="24"/>
              </w:rPr>
            </w:pPr>
          </w:p>
          <w:p>
            <w:pPr>
              <w:keepNext w:val="0"/>
              <w:keepLines w:val="0"/>
              <w:suppressLineNumbers w:val="0"/>
              <w:adjustRightInd w:val="0"/>
              <w:snapToGrid w:val="0"/>
              <w:spacing w:before="0" w:beforeAutospacing="0" w:after="0" w:afterAutospacing="0" w:line="360" w:lineRule="auto"/>
              <w:ind w:left="0" w:right="2642" w:firstLine="480" w:firstLineChars="200"/>
              <w:jc w:val="right"/>
              <w:rPr>
                <w:rFonts w:hint="default" w:ascii="宋体" w:hAnsi="宋体" w:eastAsia="宋体" w:cs="宋体"/>
                <w:sz w:val="24"/>
                <w:szCs w:val="24"/>
              </w:rPr>
            </w:pPr>
            <w:r>
              <w:rPr>
                <w:rFonts w:hint="eastAsia" w:ascii="宋体" w:hAnsi="宋体" w:eastAsia="宋体" w:cs="宋体"/>
                <w:sz w:val="24"/>
                <w:szCs w:val="24"/>
                <w:lang w:bidi="ar"/>
              </w:rPr>
              <w:t>债券发行人（盖章）：</w:t>
            </w:r>
          </w:p>
          <w:p>
            <w:pPr>
              <w:keepNext w:val="0"/>
              <w:keepLines w:val="0"/>
              <w:suppressLineNumbers w:val="0"/>
              <w:wordWrap w:val="0"/>
              <w:adjustRightInd w:val="0"/>
              <w:snapToGrid w:val="0"/>
              <w:spacing w:before="0" w:beforeAutospacing="0" w:after="0" w:afterAutospacing="0" w:line="360" w:lineRule="auto"/>
              <w:ind w:left="0" w:right="2642" w:firstLine="480" w:firstLineChars="200"/>
              <w:jc w:val="right"/>
              <w:rPr>
                <w:rFonts w:hint="default" w:ascii="宋体" w:hAnsi="宋体" w:eastAsia="宋体" w:cs="宋体"/>
                <w:sz w:val="24"/>
                <w:szCs w:val="24"/>
              </w:rPr>
            </w:pPr>
            <w:r>
              <w:rPr>
                <w:rFonts w:hint="eastAsia" w:ascii="宋体" w:hAnsi="宋体" w:eastAsia="宋体" w:cs="宋体"/>
                <w:sz w:val="24"/>
                <w:szCs w:val="24"/>
                <w:lang w:bidi="ar"/>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698" w:type="dxa"/>
            <w:gridSpan w:val="5"/>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sz w:val="21"/>
                <w:szCs w:val="21"/>
              </w:rPr>
            </w:pPr>
            <w:r>
              <w:rPr>
                <w:rFonts w:hint="eastAsia" w:ascii="仿宋" w:hAnsi="仿宋" w:eastAsia="仿宋" w:cs="仿宋"/>
                <w:sz w:val="21"/>
                <w:szCs w:val="21"/>
                <w:lang w:bidi="ar"/>
              </w:rPr>
              <w:t>备注：</w:t>
            </w:r>
          </w:p>
        </w:tc>
      </w:tr>
    </w:tbl>
    <w:p>
      <w:pPr>
        <w:pStyle w:val="2"/>
        <w:widowControl/>
        <w:adjustRightInd w:val="0"/>
        <w:snapToGrid w:val="0"/>
        <w:outlineLvl w:val="9"/>
        <w:rPr>
          <w:rFonts w:hint="eastAsia" w:ascii="宋体" w:hAnsi="宋体" w:eastAsia="宋体" w:cs="宋体"/>
          <w:b w:val="0"/>
          <w:bCs w:val="0"/>
          <w:sz w:val="24"/>
          <w:szCs w:val="24"/>
        </w:rPr>
        <w:sectPr>
          <w:pgSz w:w="11906" w:h="16838"/>
          <w:pgMar w:top="1440" w:right="1800" w:bottom="1440" w:left="1800" w:header="851" w:footer="992" w:gutter="0"/>
          <w:pgNumType w:fmt="decimal"/>
          <w:cols w:space="720" w:num="1"/>
          <w:formProt w:val="1"/>
          <w:docGrid w:type="lines" w:linePitch="312" w:charSpace="0"/>
        </w:sectPr>
      </w:pPr>
      <w:bookmarkStart w:id="560" w:name="_Toc1114825668"/>
      <w:bookmarkStart w:id="561" w:name="_Toc464898771"/>
      <w:bookmarkStart w:id="562" w:name="_Toc11342"/>
    </w:p>
    <w:p>
      <w:pPr>
        <w:pStyle w:val="3"/>
        <w:rPr>
          <w:rFonts w:hint="eastAsia" w:ascii="仿宋" w:hAnsi="仿宋" w:eastAsia="仿宋" w:cs="仿宋"/>
          <w:b w:val="0"/>
          <w:bCs w:val="0"/>
          <w:sz w:val="32"/>
          <w:szCs w:val="32"/>
        </w:rPr>
      </w:pPr>
      <w:bookmarkStart w:id="563" w:name="_Toc26736"/>
      <w:bookmarkStart w:id="564" w:name="_Toc17873"/>
      <w:bookmarkStart w:id="565" w:name="_Toc29994"/>
      <w:bookmarkStart w:id="566" w:name="_Toc6470"/>
      <w:bookmarkStart w:id="567" w:name="_Toc9279"/>
      <w:bookmarkStart w:id="568" w:name="_Toc8248"/>
      <w:bookmarkStart w:id="569" w:name="_Toc19950"/>
      <w:bookmarkStart w:id="570" w:name="_Toc21985"/>
      <w:bookmarkStart w:id="571" w:name="_Toc24205"/>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 xml:space="preserve"> 民企承诺函</w:t>
      </w:r>
      <w:bookmarkEnd w:id="560"/>
      <w:bookmarkEnd w:id="561"/>
      <w:bookmarkEnd w:id="562"/>
      <w:bookmarkEnd w:id="563"/>
      <w:bookmarkEnd w:id="564"/>
      <w:bookmarkEnd w:id="565"/>
      <w:bookmarkEnd w:id="566"/>
      <w:bookmarkEnd w:id="567"/>
      <w:bookmarkEnd w:id="568"/>
      <w:bookmarkEnd w:id="569"/>
      <w:bookmarkEnd w:id="570"/>
      <w:bookmarkEnd w:id="571"/>
    </w:p>
    <w:p>
      <w:pPr>
        <w:adjustRightInd w:val="0"/>
        <w:snapToGrid w:val="0"/>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lang w:bidi="ar"/>
        </w:rPr>
        <w:t>承诺函</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中国证券登记结算有限责任公司深圳分公司：</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本公司/单位是民营企业，属于贵公司《中国结算关于暂免收取部分债券登记结算费用的通知》规定的暂免收取费用对象。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本公司保证以上内容真实、准确、完整、合法、有效，由此产生的任何法律责任，均由本公司承担，与中国证券登记结算有限责任公司深圳分公司无关。</w:t>
      </w:r>
    </w:p>
    <w:p>
      <w:pPr>
        <w:adjustRightInd w:val="0"/>
        <w:snapToGrid w:val="0"/>
        <w:spacing w:line="360" w:lineRule="auto"/>
        <w:jc w:val="right"/>
        <w:rPr>
          <w:rFonts w:hint="eastAsia" w:ascii="宋体" w:hAnsi="宋体" w:eastAsia="宋体" w:cs="宋体"/>
          <w:sz w:val="24"/>
          <w:szCs w:val="24"/>
          <w:lang w:bidi="ar"/>
        </w:rPr>
      </w:pPr>
    </w:p>
    <w:p>
      <w:pPr>
        <w:adjustRightInd w:val="0"/>
        <w:snapToGrid w:val="0"/>
        <w:spacing w:line="360" w:lineRule="auto"/>
        <w:jc w:val="right"/>
        <w:rPr>
          <w:rFonts w:hint="eastAsia" w:ascii="宋体" w:hAnsi="宋体" w:eastAsia="宋体" w:cs="宋体"/>
          <w:sz w:val="24"/>
          <w:szCs w:val="24"/>
          <w:lang w:bidi="ar"/>
        </w:rPr>
      </w:pPr>
    </w:p>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发行人全称</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（发行人公章）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 xml:space="preserve">    年  月  日</w:t>
      </w:r>
    </w:p>
    <w:p>
      <w:pPr>
        <w:adjustRightInd w:val="0"/>
        <w:snapToGrid w:val="0"/>
        <w:spacing w:line="360" w:lineRule="auto"/>
        <w:rPr>
          <w:rFonts w:hint="eastAsia" w:ascii="仿宋" w:hAnsi="仿宋" w:eastAsia="仿宋" w:cs="仿宋"/>
          <w:sz w:val="32"/>
          <w:szCs w:val="32"/>
        </w:rPr>
        <w:sectPr>
          <w:pgSz w:w="11906" w:h="16838"/>
          <w:pgMar w:top="1440" w:right="1800" w:bottom="1440" w:left="1800" w:header="851" w:footer="992" w:gutter="0"/>
          <w:pgNumType w:fmt="decimal"/>
          <w:cols w:space="720" w:num="1"/>
          <w:formProt w:val="1"/>
          <w:docGrid w:type="lines" w:linePitch="312" w:charSpace="0"/>
        </w:sectPr>
      </w:pPr>
    </w:p>
    <w:p>
      <w:pPr>
        <w:pStyle w:val="3"/>
        <w:widowControl/>
        <w:adjustRightInd/>
        <w:snapToGrid/>
        <w:outlineLvl w:val="1"/>
        <w:rPr>
          <w:rFonts w:hint="eastAsia" w:ascii="仿宋" w:hAnsi="仿宋" w:eastAsia="仿宋" w:cs="仿宋"/>
          <w:b w:val="0"/>
          <w:bCs w:val="0"/>
          <w:sz w:val="32"/>
          <w:szCs w:val="32"/>
        </w:rPr>
      </w:pPr>
      <w:bookmarkStart w:id="572" w:name="_Toc17832"/>
      <w:bookmarkStart w:id="573" w:name="_Toc657"/>
      <w:bookmarkStart w:id="574" w:name="_Toc17515"/>
      <w:bookmarkStart w:id="575" w:name="_Toc27294"/>
      <w:bookmarkStart w:id="576" w:name="_Toc16149"/>
      <w:bookmarkStart w:id="577" w:name="_Toc2014325257"/>
      <w:bookmarkStart w:id="578" w:name="_Toc18465"/>
      <w:bookmarkStart w:id="579" w:name="_Toc1949600806"/>
      <w:bookmarkStart w:id="580" w:name="_Toc4294"/>
      <w:bookmarkStart w:id="581" w:name="_Toc18040"/>
      <w:bookmarkStart w:id="582" w:name="_Toc462"/>
      <w:bookmarkStart w:id="583" w:name="_Toc18720"/>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 xml:space="preserve"> 上市公告</w:t>
      </w:r>
      <w:bookmarkEnd w:id="572"/>
      <w:bookmarkEnd w:id="573"/>
      <w:bookmarkEnd w:id="574"/>
      <w:bookmarkEnd w:id="575"/>
      <w:bookmarkEnd w:id="576"/>
      <w:bookmarkEnd w:id="577"/>
      <w:bookmarkEnd w:id="578"/>
      <w:bookmarkEnd w:id="579"/>
      <w:bookmarkEnd w:id="580"/>
      <w:bookmarkEnd w:id="581"/>
      <w:bookmarkEnd w:id="582"/>
      <w:bookmarkEnd w:id="583"/>
    </w:p>
    <w:p>
      <w:pPr>
        <w:adjustRightInd w:val="0"/>
        <w:snapToGrid w:val="0"/>
        <w:spacing w:line="360" w:lineRule="auto"/>
        <w:jc w:val="center"/>
        <w:rPr>
          <w:rFonts w:hint="eastAsia" w:ascii="宋体" w:hAnsi="宋体" w:eastAsia="宋体" w:cs="宋体"/>
          <w:b/>
          <w:sz w:val="32"/>
          <w:szCs w:val="32"/>
          <w:lang w:bidi="ar"/>
        </w:rPr>
      </w:pPr>
      <w:r>
        <w:rPr>
          <w:rFonts w:hint="eastAsia" w:ascii="宋体" w:hAnsi="宋体" w:eastAsia="宋体" w:cs="宋体"/>
          <w:b/>
          <w:sz w:val="32"/>
          <w:szCs w:val="32"/>
          <w:lang w:bidi="ar"/>
        </w:rPr>
        <w:t>【债券全称】</w:t>
      </w:r>
    </w:p>
    <w:p>
      <w:pPr>
        <w:adjustRightInd w:val="0"/>
        <w:snapToGrid w:val="0"/>
        <w:spacing w:line="360" w:lineRule="auto"/>
        <w:ind w:firstLine="0" w:firstLineChars="0"/>
        <w:jc w:val="center"/>
        <w:rPr>
          <w:rFonts w:hint="eastAsia" w:ascii="宋体" w:hAnsi="宋体" w:eastAsia="宋体" w:cs="宋体"/>
          <w:b/>
          <w:sz w:val="28"/>
          <w:szCs w:val="28"/>
          <w:lang w:bidi="ar"/>
        </w:rPr>
      </w:pPr>
      <w:r>
        <w:rPr>
          <w:rFonts w:hint="eastAsia" w:ascii="宋体" w:hAnsi="宋体" w:eastAsia="宋体" w:cs="宋体"/>
          <w:b/>
          <w:sz w:val="32"/>
          <w:szCs w:val="32"/>
          <w:lang w:bidi="ar"/>
        </w:rPr>
        <w:t>在深圳证券交易所上市的公告</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根据深圳证券交易所债券上市的有关规定，【债券全称】符合深圳证券交易所债券上市条件，将于【】年【】月【】日起在深圳证券交易所上市，并面向【普通投资者/专业投资者/专业投资者中的机构投资者】交易，交易方式包括匹配成交、点击成交、询价成交、竞买成交和协商成交。债券相关要素如下： </w:t>
      </w:r>
    </w:p>
    <w:tbl>
      <w:tblPr>
        <w:tblStyle w:val="3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债券名称</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eastAsia="zh-CN" w:bidi="ar"/>
              </w:rPr>
              <w:t>证券简称</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债券代码</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信用评级</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评级机构</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发行总额（亿元）</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债券期限</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票面年利率（％）</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利率形式</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付息频率</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发行日</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起息日</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上市日</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到期日</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债券面值</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r>
              <w:rPr>
                <w:rFonts w:hint="eastAsia" w:ascii="宋体" w:hAnsi="宋体" w:eastAsia="宋体" w:cs="宋体"/>
                <w:sz w:val="24"/>
                <w:szCs w:val="24"/>
                <w:lang w:bidi="ar"/>
              </w:rPr>
              <w:t>开盘参考价</w:t>
            </w:r>
          </w:p>
        </w:tc>
        <w:tc>
          <w:tcPr>
            <w:tcW w:w="58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36" w:lineRule="auto"/>
              <w:ind w:left="0" w:right="0"/>
              <w:rPr>
                <w:rFonts w:hint="default" w:ascii="宋体" w:hAnsi="宋体" w:eastAsia="宋体" w:cs="宋体"/>
                <w:sz w:val="24"/>
                <w:szCs w:val="24"/>
              </w:rPr>
            </w:pPr>
          </w:p>
        </w:tc>
      </w:tr>
    </w:tbl>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（以下无正文）</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snapToGrid/>
        <w:spacing w:line="240" w:lineRule="auto"/>
        <w:ind w:firstLine="0" w:firstLineChars="0"/>
        <w:jc w:val="left"/>
        <w:rPr>
          <w:rFonts w:hint="eastAsia" w:ascii="宋体" w:hAnsi="宋体" w:eastAsia="宋体" w:cs="宋体"/>
          <w:sz w:val="24"/>
          <w:szCs w:val="24"/>
          <w:lang w:bidi="ar"/>
        </w:rPr>
      </w:pPr>
      <w:r>
        <w:rPr>
          <w:rFonts w:hint="eastAsia" w:ascii="宋体" w:hAnsi="宋体" w:eastAsia="宋体" w:cs="宋体"/>
          <w:sz w:val="24"/>
          <w:szCs w:val="24"/>
          <w:lang w:bidi="ar"/>
        </w:rPr>
        <w:br w:type="page"/>
      </w:r>
    </w:p>
    <w:p>
      <w:pPr>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lang w:bidi="ar"/>
        </w:rPr>
        <w:t xml:space="preserve">XX公司（签章） </w:t>
      </w:r>
    </w:p>
    <w:p>
      <w:pPr>
        <w:adjustRightInd w:val="0"/>
        <w:snapToGrid w:val="0"/>
        <w:spacing w:line="360" w:lineRule="auto"/>
        <w:jc w:val="right"/>
        <w:rPr>
          <w:rFonts w:hint="eastAsia"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jc w:val="right"/>
        <w:rPr>
          <w:rFonts w:hint="eastAsia" w:ascii="宋体" w:hAnsi="宋体" w:eastAsia="宋体" w:cs="宋体"/>
          <w:sz w:val="24"/>
          <w:szCs w:val="24"/>
          <w:lang w:bidi="ar"/>
        </w:rPr>
      </w:pPr>
    </w:p>
    <w:p>
      <w:pPr>
        <w:rPr>
          <w:rFonts w:hint="eastAsia" w:ascii="仿宋" w:hAnsi="仿宋" w:eastAsia="仿宋" w:cs="仿宋"/>
          <w:b w:val="0"/>
          <w:bCs w:val="0"/>
          <w:sz w:val="32"/>
          <w:szCs w:val="32"/>
        </w:rPr>
      </w:pPr>
      <w:bookmarkStart w:id="584" w:name="_Toc14844"/>
      <w:bookmarkStart w:id="585" w:name="_Toc16383"/>
      <w:bookmarkStart w:id="586" w:name="_Toc7415"/>
      <w:bookmarkStart w:id="587" w:name="_Toc29880"/>
      <w:bookmarkStart w:id="588" w:name="_Toc32381"/>
      <w:bookmarkStart w:id="589" w:name="_Toc1569588442"/>
      <w:bookmarkStart w:id="590" w:name="_Toc9057"/>
      <w:bookmarkStart w:id="591" w:name="_Toc1115927193"/>
      <w:bookmarkStart w:id="592" w:name="_Toc25092"/>
      <w:bookmarkStart w:id="593" w:name="_Toc7376"/>
      <w:bookmarkStart w:id="594" w:name="_Toc31315"/>
      <w:r>
        <w:rPr>
          <w:rFonts w:hint="eastAsia" w:ascii="仿宋" w:hAnsi="仿宋" w:eastAsia="仿宋" w:cs="仿宋"/>
          <w:b w:val="0"/>
          <w:bCs w:val="0"/>
          <w:sz w:val="32"/>
          <w:szCs w:val="32"/>
        </w:rPr>
        <w:br w:type="page"/>
      </w:r>
    </w:p>
    <w:p>
      <w:pPr>
        <w:pStyle w:val="3"/>
        <w:widowControl/>
        <w:adjustRightInd/>
        <w:snapToGrid/>
        <w:outlineLvl w:val="1"/>
        <w:rPr>
          <w:rFonts w:hint="eastAsia" w:ascii="仿宋" w:hAnsi="仿宋" w:eastAsia="仿宋" w:cs="仿宋"/>
          <w:b w:val="0"/>
          <w:bCs w:val="0"/>
          <w:sz w:val="32"/>
          <w:szCs w:val="32"/>
        </w:rPr>
      </w:pPr>
      <w:bookmarkStart w:id="595" w:name="_Toc32476"/>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 xml:space="preserve"> 完成证券业协会备案事项承诺函</w:t>
      </w:r>
      <w:bookmarkEnd w:id="584"/>
      <w:bookmarkEnd w:id="585"/>
      <w:bookmarkEnd w:id="586"/>
      <w:bookmarkEnd w:id="587"/>
      <w:bookmarkEnd w:id="588"/>
      <w:bookmarkEnd w:id="589"/>
      <w:bookmarkEnd w:id="590"/>
      <w:bookmarkEnd w:id="591"/>
      <w:bookmarkEnd w:id="592"/>
      <w:bookmarkEnd w:id="593"/>
      <w:bookmarkEnd w:id="594"/>
      <w:bookmarkEnd w:id="595"/>
    </w:p>
    <w:p>
      <w:pPr>
        <w:adjustRightInd w:val="0"/>
        <w:snapToGrid w:val="0"/>
        <w:rPr>
          <w:rFonts w:hint="eastAsia" w:ascii="方正小标宋_GBK" w:hAnsi="方正小标宋_GBK" w:eastAsia="方正小标宋_GBK" w:cs="方正小标宋_GBK"/>
          <w:sz w:val="32"/>
          <w:szCs w:val="32"/>
        </w:rPr>
      </w:pPr>
      <w:r>
        <w:rPr>
          <w:rFonts w:hint="eastAsia" w:ascii="仿宋" w:hAnsi="仿宋" w:eastAsia="仿宋" w:cs="仿宋"/>
          <w:sz w:val="21"/>
          <w:szCs w:val="21"/>
          <w:lang w:bidi="ar"/>
        </w:rPr>
        <w:t xml:space="preserve"> </w:t>
      </w:r>
    </w:p>
    <w:p>
      <w:pPr>
        <w:adjustRightInd w:val="0"/>
        <w:snapToGrid w:val="0"/>
        <w:jc w:val="center"/>
        <w:rPr>
          <w:rFonts w:hint="eastAsia" w:ascii="宋体" w:hAnsi="宋体" w:eastAsia="宋体" w:cs="Times New Roman"/>
          <w:b/>
          <w:sz w:val="28"/>
          <w:szCs w:val="28"/>
          <w:lang w:bidi="ar"/>
        </w:rPr>
      </w:pPr>
      <w:r>
        <w:rPr>
          <w:rFonts w:hint="eastAsia" w:ascii="宋体" w:hAnsi="宋体" w:eastAsia="宋体" w:cs="Times New Roman"/>
          <w:b/>
          <w:sz w:val="28"/>
          <w:szCs w:val="28"/>
          <w:lang w:bidi="ar"/>
        </w:rPr>
        <w:t>关于XX公司20XX年非公开发行公司债券（第X期）</w:t>
      </w:r>
    </w:p>
    <w:p>
      <w:pPr>
        <w:adjustRightInd w:val="0"/>
        <w:snapToGrid w:val="0"/>
        <w:jc w:val="center"/>
        <w:rPr>
          <w:rFonts w:hint="eastAsia" w:ascii="宋体" w:hAnsi="宋体" w:eastAsia="宋体" w:cs="Times New Roman"/>
          <w:b/>
          <w:sz w:val="28"/>
          <w:szCs w:val="28"/>
          <w:lang w:bidi="ar"/>
        </w:rPr>
      </w:pPr>
      <w:r>
        <w:rPr>
          <w:rFonts w:hint="eastAsia" w:ascii="宋体" w:hAnsi="宋体" w:eastAsia="宋体" w:cs="Times New Roman"/>
          <w:b/>
          <w:sz w:val="28"/>
          <w:szCs w:val="28"/>
          <w:lang w:bidi="ar"/>
        </w:rPr>
        <w:t>完成证券业协会备案事项的承诺书</w:t>
      </w:r>
    </w:p>
    <w:p>
      <w:pPr>
        <w:adjustRightInd w:val="0"/>
        <w:snapToGrid w:val="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sz w:val="32"/>
          <w:szCs w:val="32"/>
          <w:lang w:bidi="ar"/>
        </w:rPr>
        <w:t xml:space="preserve"> </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lang w:bidi="ar"/>
        </w:rPr>
        <w:t>深圳证券交易所、中国证券登记结算有限责任公司深圳分公司：</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XX公司20XX年非公开发行公司债券（第X期）（</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“（不超过15个汉字或30个字符）”，</w:t>
      </w:r>
      <w:r>
        <w:rPr>
          <w:rFonts w:hint="eastAsia" w:ascii="宋体" w:hAnsi="宋体" w:eastAsia="宋体" w:cs="宋体"/>
          <w:sz w:val="24"/>
          <w:szCs w:val="24"/>
          <w:lang w:eastAsia="zh-CN" w:bidi="ar"/>
        </w:rPr>
        <w:t>证券简称</w:t>
      </w:r>
      <w:r>
        <w:rPr>
          <w:rFonts w:hint="eastAsia" w:ascii="宋体" w:hAnsi="宋体" w:eastAsia="宋体" w:cs="宋体"/>
          <w:sz w:val="24"/>
          <w:szCs w:val="24"/>
          <w:lang w:bidi="ar"/>
        </w:rPr>
        <w:t>（短）为“（不超过4个汉字或8个字符）”，证券代码“XX”，以下简称“本期债券”）已完成发行。发行结束后，我公司根据《公司债券发行与交易管理办法》等的规定，于20XX年X月X日向中国证券业协会指定备案机构备案并未收到异议反馈/承诺将于20XX年X月X日前（发行结束5日内）向中国证券业协会指定备案机构备案，并及时跟进相关反馈。因未能及时按规定办理备案手续所引起的任何法律后果，均由我司承担，与贵所、贵司无关。</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特此承诺。</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 xml:space="preserve">XX公司（签章） </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rPr>
          <w:rFonts w:hint="eastAsia" w:ascii="宋体" w:hAnsi="宋体" w:eastAsia="宋体" w:cs="宋体"/>
          <w:sz w:val="24"/>
          <w:szCs w:val="24"/>
        </w:rPr>
        <w:sectPr>
          <w:pgSz w:w="11906" w:h="16838"/>
          <w:pgMar w:top="1440" w:right="1800" w:bottom="1440" w:left="1800" w:header="851" w:footer="992" w:gutter="0"/>
          <w:pgNumType w:fmt="decimal"/>
          <w:cols w:space="720" w:num="1"/>
          <w:formProt w:val="1"/>
          <w:docGrid w:type="lines" w:linePitch="312" w:charSpace="0"/>
        </w:sectPr>
      </w:pPr>
    </w:p>
    <w:bookmarkEnd w:id="463"/>
    <w:p>
      <w:pPr>
        <w:pStyle w:val="3"/>
        <w:widowControl/>
        <w:adjustRightInd/>
        <w:snapToGrid/>
        <w:outlineLvl w:val="1"/>
        <w:rPr>
          <w:rFonts w:hint="eastAsia" w:ascii="仿宋" w:hAnsi="仿宋" w:eastAsia="仿宋" w:cs="仿宋"/>
          <w:b w:val="0"/>
          <w:bCs w:val="0"/>
          <w:sz w:val="32"/>
          <w:szCs w:val="32"/>
        </w:rPr>
      </w:pPr>
      <w:bookmarkStart w:id="596" w:name="_Toc23718"/>
      <w:bookmarkStart w:id="597" w:name="_Toc10671"/>
      <w:bookmarkStart w:id="598" w:name="_Toc5200"/>
      <w:bookmarkStart w:id="599" w:name="_Toc32371"/>
      <w:bookmarkStart w:id="600" w:name="_Toc9597"/>
      <w:bookmarkStart w:id="601" w:name="_Toc14629"/>
      <w:bookmarkStart w:id="602" w:name="_Toc20225"/>
      <w:bookmarkStart w:id="603" w:name="_Toc6210"/>
      <w:bookmarkStart w:id="604" w:name="_Toc16744"/>
      <w:bookmarkStart w:id="605" w:name="_Toc1960408469"/>
      <w:bookmarkStart w:id="606" w:name="_Toc1949209325"/>
      <w:bookmarkStart w:id="607" w:name="_Toc29968"/>
      <w:bookmarkStart w:id="608" w:name="_Toc16355"/>
      <w:r>
        <w:rPr>
          <w:rFonts w:hint="eastAsia" w:ascii="仿宋" w:hAnsi="仿宋" w:eastAsia="仿宋" w:cs="仿宋"/>
          <w:b w:val="0"/>
          <w:bCs w:val="0"/>
          <w:sz w:val="32"/>
          <w:szCs w:val="32"/>
        </w:rPr>
        <w:t>附件1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 xml:space="preserve"> 转让服务公告</w:t>
      </w:r>
    </w:p>
    <w:p>
      <w:pPr>
        <w:adjustRightInd w:val="0"/>
        <w:snapToGrid w:val="0"/>
        <w:jc w:val="center"/>
        <w:rPr>
          <w:rFonts w:hint="eastAsia" w:ascii="宋体" w:hAnsi="宋体" w:eastAsia="宋体" w:cs="Times New Roman"/>
          <w:b/>
          <w:sz w:val="28"/>
          <w:szCs w:val="28"/>
          <w:lang w:bidi="ar"/>
        </w:rPr>
      </w:pPr>
      <w:r>
        <w:rPr>
          <w:rFonts w:hint="eastAsia" w:ascii="宋体" w:hAnsi="宋体" w:eastAsia="宋体" w:cs="Times New Roman"/>
          <w:b/>
          <w:sz w:val="28"/>
          <w:szCs w:val="28"/>
          <w:lang w:bidi="ar"/>
        </w:rPr>
        <w:t>【债券全称】</w:t>
      </w:r>
    </w:p>
    <w:p>
      <w:pPr>
        <w:adjustRightInd w:val="0"/>
        <w:snapToGrid w:val="0"/>
        <w:jc w:val="center"/>
        <w:rPr>
          <w:rFonts w:hint="eastAsia" w:ascii="黑体" w:hAnsi="黑体" w:eastAsia="黑体" w:cs="黑体"/>
          <w:b/>
          <w:sz w:val="44"/>
          <w:szCs w:val="44"/>
        </w:rPr>
      </w:pPr>
      <w:r>
        <w:rPr>
          <w:rFonts w:hint="eastAsia" w:ascii="宋体" w:hAnsi="宋体" w:eastAsia="宋体" w:cs="Times New Roman"/>
          <w:b/>
          <w:sz w:val="28"/>
          <w:szCs w:val="28"/>
          <w:lang w:bidi="ar"/>
        </w:rPr>
        <w:t>在深圳证券交易所开始转让服务的公告</w:t>
      </w:r>
    </w:p>
    <w:p>
      <w:pPr>
        <w:adjustRightInd w:val="0"/>
        <w:snapToGrid w:val="0"/>
        <w:ind w:firstLine="420" w:firstLineChars="20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ind w:firstLine="420" w:firstLineChars="20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根据深圳证券交易所债券挂牌转让的有关规定，【债券全称】符合深圳证券交易所债券挂牌转让条件，将于【】年【】月【】日起在深圳证券交易所转让，并面向【专业机构投资者】交易，交易方式包括点击成交、询价成交、竞买成交和协商成交。根据《深圳证券交易所债券交易规则》的规定，采用点击成交方式的，申报数量应当为10万元面额或者其整数倍；采用询价成交、竞买成交方式的，申报数量应当不低于10万元面额，且为1000元面额整数倍；采用协商成交方式的，申报数量应当不低于1000元面额，且为100元面额整数倍，请投资者关注相关交易申报数量要求。【债券全称】相关要素如下：</w:t>
      </w:r>
    </w:p>
    <w:tbl>
      <w:tblPr>
        <w:tblStyle w:val="31"/>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5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债券名称</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eastAsia="zh-CN" w:bidi="ar"/>
              </w:rPr>
              <w:t>证券简称</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债券代码</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信用评级</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评级机构</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发行总额（亿元）</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债券期限</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票面年利率（％）</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利率形式</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付息频率</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发行日</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起息日</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转让服务开始日</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到期日</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债券面值</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44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r>
              <w:rPr>
                <w:rFonts w:hint="eastAsia" w:ascii="宋体" w:hAnsi="宋体" w:eastAsia="宋体" w:cs="宋体"/>
                <w:sz w:val="24"/>
                <w:szCs w:val="24"/>
                <w:lang w:bidi="ar"/>
              </w:rPr>
              <w:t>开盘参考价</w:t>
            </w:r>
          </w:p>
        </w:tc>
        <w:tc>
          <w:tcPr>
            <w:tcW w:w="599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adjustRightInd w:val="0"/>
              <w:snapToGrid w:val="0"/>
              <w:spacing w:before="0" w:beforeAutospacing="0" w:after="0" w:afterAutospacing="0"/>
              <w:ind w:left="0" w:right="0"/>
              <w:rPr>
                <w:rFonts w:hint="default" w:ascii="宋体" w:hAnsi="宋体" w:eastAsia="宋体" w:cs="宋体"/>
                <w:sz w:val="24"/>
                <w:szCs w:val="24"/>
              </w:rPr>
            </w:pPr>
          </w:p>
        </w:tc>
      </w:tr>
    </w:tbl>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（以下无正文）</w:t>
      </w:r>
    </w:p>
    <w:p>
      <w:pPr>
        <w:adjustRightInd w:val="0"/>
        <w:snapToGrid w:val="0"/>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XX公司（签章）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keepNext w:val="0"/>
        <w:keepLines w:val="0"/>
        <w:widowControl/>
        <w:suppressLineNumbers w:val="0"/>
        <w:adjustRightInd w:val="0"/>
        <w:snapToGrid w:val="0"/>
        <w:outlineLvl w:val="9"/>
        <w:rPr>
          <w:rFonts w:hint="eastAsia" w:ascii="仿宋" w:hAnsi="仿宋" w:eastAsia="仿宋" w:cs="仿宋"/>
          <w:b w:val="0"/>
          <w:bCs w:val="0"/>
          <w:szCs w:val="21"/>
        </w:rPr>
        <w:sectPr>
          <w:footerReference r:id="rId9" w:type="default"/>
          <w:pgSz w:w="11910" w:h="16840"/>
          <w:pgMar w:top="1420" w:right="1660" w:bottom="1780" w:left="1660" w:header="852" w:footer="1583" w:gutter="0"/>
          <w:pgNumType w:fmt="decimal"/>
          <w:cols w:space="720" w:num="1"/>
          <w:formProt w:val="1"/>
          <w:docGrid w:linePitch="286" w:charSpace="0"/>
        </w:sectPr>
      </w:pPr>
    </w:p>
    <w:p>
      <w:pPr>
        <w:pStyle w:val="3"/>
        <w:outlineLvl w:val="1"/>
        <w:rPr>
          <w:rFonts w:hint="eastAsia" w:ascii="仿宋" w:hAnsi="仿宋" w:eastAsia="仿宋" w:cs="仿宋"/>
          <w:b w:val="0"/>
          <w:bCs w:val="0"/>
          <w:sz w:val="32"/>
          <w:szCs w:val="32"/>
          <w:lang w:eastAsia="zh"/>
        </w:rPr>
      </w:pPr>
      <w:r>
        <w:rPr>
          <w:rFonts w:hint="eastAsia" w:ascii="仿宋" w:hAnsi="仿宋" w:eastAsia="仿宋" w:cs="仿宋"/>
          <w:b w:val="0"/>
          <w:bCs w:val="0"/>
          <w:sz w:val="32"/>
          <w:szCs w:val="32"/>
          <w:lang w:eastAsia="zh"/>
        </w:rPr>
        <w:t>附件1</w:t>
      </w:r>
      <w:r>
        <w:rPr>
          <w:rFonts w:hint="eastAsia" w:ascii="仿宋" w:hAnsi="仿宋" w:eastAsia="仿宋" w:cs="仿宋"/>
          <w:b w:val="0"/>
          <w:bCs w:val="0"/>
          <w:sz w:val="32"/>
          <w:szCs w:val="32"/>
          <w:lang w:val="en-US" w:eastAsia="zh"/>
        </w:rPr>
        <w:t>6</w:t>
      </w:r>
      <w:r>
        <w:rPr>
          <w:rFonts w:hint="eastAsia" w:ascii="仿宋" w:hAnsi="仿宋" w:eastAsia="仿宋" w:cs="仿宋"/>
          <w:b w:val="0"/>
          <w:bCs w:val="0"/>
          <w:sz w:val="32"/>
          <w:szCs w:val="32"/>
          <w:lang w:eastAsia="zh"/>
        </w:rPr>
        <w:t xml:space="preserve"> 信用债券簿记建档发行承诺函</w:t>
      </w:r>
      <w:bookmarkEnd w:id="596"/>
      <w:bookmarkEnd w:id="597"/>
      <w:bookmarkEnd w:id="598"/>
      <w:bookmarkEnd w:id="599"/>
      <w:bookmarkEnd w:id="600"/>
      <w:bookmarkEnd w:id="601"/>
      <w:bookmarkEnd w:id="602"/>
      <w:bookmarkEnd w:id="603"/>
      <w:bookmarkEnd w:id="604"/>
    </w:p>
    <w:p>
      <w:pPr>
        <w:keepNext w:val="0"/>
        <w:keepLines w:val="0"/>
        <w:widowControl/>
        <w:suppressLineNumbers w:val="0"/>
        <w:adjustRightInd w:val="0"/>
        <w:snapToGrid w:val="0"/>
        <w:spacing w:before="0" w:beforeAutospacing="1" w:after="0" w:afterAutospacing="1" w:line="520" w:lineRule="exact"/>
        <w:ind w:left="0" w:right="0" w:firstLine="0" w:firstLineChars="0"/>
        <w:jc w:val="center"/>
        <w:rPr>
          <w:rFonts w:hint="eastAsia" w:ascii="方正小标宋_GBK" w:hAnsi="方正小标宋_GBK" w:eastAsia="方正小标宋_GBK" w:cs="方正小标宋_GBK"/>
          <w:b/>
          <w:bCs/>
          <w:kern w:val="2"/>
          <w:sz w:val="44"/>
          <w:szCs w:val="44"/>
          <w:lang w:val="en-US" w:eastAsia="zh-CN" w:bidi="ar"/>
        </w:rPr>
      </w:pPr>
    </w:p>
    <w:p>
      <w:pPr>
        <w:keepNext w:val="0"/>
        <w:keepLines w:val="0"/>
        <w:widowControl/>
        <w:suppressLineNumbers w:val="0"/>
        <w:adjustRightInd w:val="0"/>
        <w:snapToGrid w:val="0"/>
        <w:spacing w:before="0" w:beforeAutospacing="1" w:after="0" w:afterAutospacing="1" w:line="240" w:lineRule="auto"/>
        <w:ind w:left="0" w:right="0" w:firstLine="0" w:firstLineChars="0"/>
        <w:jc w:val="center"/>
        <w:rPr>
          <w:rFonts w:hint="eastAsia" w:ascii="黑体" w:hAnsi="黑体" w:eastAsia="黑体" w:cs="黑体"/>
          <w:b/>
          <w:sz w:val="44"/>
          <w:szCs w:val="44"/>
          <w:lang w:bidi="ar"/>
        </w:rPr>
      </w:pPr>
      <w:r>
        <w:rPr>
          <w:rFonts w:hint="eastAsia" w:ascii="黑体" w:hAnsi="黑体" w:eastAsia="黑体" w:cs="黑体"/>
          <w:b/>
          <w:bCs w:val="0"/>
          <w:kern w:val="2"/>
          <w:sz w:val="44"/>
          <w:szCs w:val="44"/>
          <w:lang w:val="en-US" w:eastAsia="zh-CN" w:bidi="ar"/>
        </w:rPr>
        <w:t>承  诺  函</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rPr>
      </w:pPr>
      <w:r>
        <w:rPr>
          <w:rFonts w:hint="eastAsia" w:ascii="宋体" w:hAnsi="宋体" w:eastAsia="宋体" w:cs="宋体"/>
          <w:kern w:val="2"/>
          <w:sz w:val="24"/>
          <w:szCs w:val="24"/>
          <w:u w:val="single"/>
          <w:lang w:val="en-US" w:eastAsia="zh-CN" w:bidi="ar"/>
        </w:rPr>
        <w:t xml:space="preserve">（我机构）  </w:t>
      </w:r>
      <w:r>
        <w:rPr>
          <w:rFonts w:hint="eastAsia" w:ascii="宋体" w:hAnsi="宋体" w:eastAsia="宋体" w:cs="宋体"/>
          <w:kern w:val="2"/>
          <w:sz w:val="24"/>
          <w:szCs w:val="24"/>
          <w:lang w:val="en-US" w:eastAsia="zh-CN" w:bidi="ar"/>
        </w:rPr>
        <w:t>计划</w:t>
      </w:r>
      <w:r>
        <w:rPr>
          <w:rFonts w:hint="eastAsia" w:ascii="宋体" w:hAnsi="宋体" w:eastAsia="宋体" w:cs="宋体"/>
          <w:kern w:val="2"/>
          <w:sz w:val="24"/>
          <w:szCs w:val="24"/>
          <w:lang w:val="en-US" w:eastAsia="zh-CN" w:bidi="ar"/>
        </w:rPr>
        <w:softHyphen/>
      </w:r>
      <w:r>
        <w:rPr>
          <w:rFonts w:hint="eastAsia" w:ascii="宋体" w:hAnsi="宋体" w:eastAsia="宋体" w:cs="宋体"/>
          <w:kern w:val="2"/>
          <w:sz w:val="24"/>
          <w:szCs w:val="24"/>
          <w:lang w:val="en-US" w:eastAsia="zh-CN" w:bidi="ar"/>
        </w:rPr>
        <w:softHyphen/>
      </w:r>
      <w:r>
        <w:rPr>
          <w:rFonts w:hint="eastAsia" w:ascii="宋体" w:hAnsi="宋体" w:eastAsia="宋体" w:cs="宋体"/>
          <w:kern w:val="2"/>
          <w:sz w:val="24"/>
          <w:szCs w:val="24"/>
          <w:lang w:val="en-US" w:eastAsia="zh-CN" w:bidi="ar"/>
        </w:rPr>
        <w:softHyphen/>
      </w:r>
      <w:r>
        <w:rPr>
          <w:rFonts w:hint="eastAsia" w:ascii="宋体" w:hAnsi="宋体" w:eastAsia="宋体" w:cs="宋体"/>
          <w:kern w:val="2"/>
          <w:sz w:val="24"/>
          <w:szCs w:val="24"/>
          <w:lang w:val="en-US" w:eastAsia="zh-CN" w:bidi="ar"/>
        </w:rPr>
        <w:softHyphen/>
      </w:r>
      <w:r>
        <w:rPr>
          <w:rFonts w:hint="eastAsia" w:ascii="宋体" w:hAnsi="宋体" w:eastAsia="宋体" w:cs="宋体"/>
          <w:kern w:val="2"/>
          <w:sz w:val="24"/>
          <w:szCs w:val="24"/>
          <w:lang w:val="en-US" w:eastAsia="zh-CN" w:bidi="ar"/>
        </w:rPr>
        <w:softHyphen/>
      </w:r>
      <w:r>
        <w:rPr>
          <w:rFonts w:hint="eastAsia" w:ascii="宋体" w:hAnsi="宋体" w:eastAsia="宋体" w:cs="宋体"/>
          <w:kern w:val="2"/>
          <w:sz w:val="24"/>
          <w:szCs w:val="24"/>
          <w:lang w:val="en-US" w:eastAsia="zh-CN" w:bidi="ar"/>
        </w:rPr>
        <w:t>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使用深圳证券交易所信用债券簿记建档专门场所进行（债券全称）簿记建档，我机构承诺严格遵守深交所《关于进一步规范债券发行业务有关事项的通知》、《深圳证券交易所公司债券发行承销业务指引第2号——簿记建档》等相关规定，并要求所属相关工作人员严格遵守相关规定。债券簿记建档期间，如果我机构及所属相关工作人员有违反有关法律法规的行为，深圳证券交易所不承担由此行为产生的法律责任。</w:t>
      </w:r>
    </w:p>
    <w:p>
      <w:pPr>
        <w:keepNext w:val="0"/>
        <w:keepLines w:val="0"/>
        <w:widowControl/>
        <w:suppressLineNumbers w:val="0"/>
        <w:adjustRightInd w:val="0"/>
        <w:snapToGrid w:val="0"/>
        <w:spacing w:before="0" w:beforeAutospacing="0" w:after="0" w:afterAutospacing="0" w:line="360" w:lineRule="auto"/>
        <w:ind w:left="0" w:right="0" w:firstLine="453" w:firstLineChars="189"/>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特此承诺。</w:t>
      </w:r>
    </w:p>
    <w:p>
      <w:pPr>
        <w:keepNext w:val="0"/>
        <w:keepLines w:val="0"/>
        <w:widowControl/>
        <w:suppressLineNumbers w:val="0"/>
        <w:adjustRightInd w:val="0"/>
        <w:snapToGrid w:val="0"/>
        <w:spacing w:before="0" w:beforeAutospacing="0" w:after="0" w:afterAutospacing="0" w:line="360" w:lineRule="auto"/>
        <w:ind w:left="0" w:right="0" w:firstLine="453" w:firstLineChars="189"/>
        <w:jc w:val="lef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453" w:firstLineChars="189"/>
        <w:jc w:val="righ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453" w:firstLineChars="189"/>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（单位法人公章或授权签章）</w:t>
      </w:r>
    </w:p>
    <w:p>
      <w:pPr>
        <w:adjustRightInd w:val="0"/>
        <w:snapToGrid w:val="0"/>
        <w:spacing w:line="360" w:lineRule="auto"/>
        <w:jc w:val="right"/>
        <w:rPr>
          <w:rFonts w:hint="eastAsia" w:ascii="仿宋" w:hAnsi="仿宋" w:eastAsia="仿宋" w:cs="仿宋"/>
          <w:sz w:val="21"/>
          <w:szCs w:val="21"/>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pStyle w:val="3"/>
        <w:keepNext w:val="0"/>
        <w:keepLines w:val="0"/>
        <w:widowControl/>
        <w:suppressLineNumbers w:val="0"/>
        <w:adjustRightInd w:val="0"/>
        <w:snapToGrid w:val="0"/>
        <w:outlineLvl w:val="1"/>
        <w:rPr>
          <w:rFonts w:hint="eastAsia" w:ascii="仿宋" w:hAnsi="仿宋" w:eastAsia="仿宋" w:cs="仿宋"/>
          <w:b w:val="0"/>
          <w:bCs w:val="0"/>
          <w:kern w:val="2"/>
          <w:sz w:val="21"/>
          <w:szCs w:val="21"/>
          <w:lang w:eastAsia="zh"/>
        </w:rPr>
      </w:pPr>
      <w:r>
        <w:rPr>
          <w:rFonts w:hint="eastAsia" w:ascii="仿宋" w:hAnsi="仿宋" w:eastAsia="仿宋" w:cs="仿宋"/>
          <w:kern w:val="2"/>
          <w:sz w:val="32"/>
          <w:szCs w:val="32"/>
        </w:rPr>
        <w:br w:type="page"/>
      </w:r>
      <w:bookmarkStart w:id="609" w:name="_Toc29589"/>
      <w:bookmarkStart w:id="610" w:name="_Toc14563"/>
      <w:bookmarkStart w:id="611" w:name="_Toc3812"/>
      <w:bookmarkStart w:id="612" w:name="_Toc4166"/>
      <w:bookmarkStart w:id="613" w:name="_Toc20044"/>
      <w:bookmarkStart w:id="614" w:name="_Toc16135"/>
      <w:bookmarkStart w:id="615" w:name="_Toc1782"/>
      <w:bookmarkStart w:id="616" w:name="_Toc17096"/>
      <w:bookmarkStart w:id="617" w:name="_Toc14172"/>
      <w:r>
        <w:rPr>
          <w:rFonts w:hint="eastAsia" w:ascii="仿宋" w:hAnsi="仿宋" w:eastAsia="仿宋" w:cs="仿宋"/>
          <w:b w:val="0"/>
          <w:bCs w:val="0"/>
          <w:kern w:val="2"/>
          <w:sz w:val="32"/>
          <w:szCs w:val="32"/>
          <w:lang w:eastAsia="zh"/>
        </w:rPr>
        <w:t>附件1</w:t>
      </w:r>
      <w:r>
        <w:rPr>
          <w:rFonts w:hint="eastAsia" w:ascii="仿宋" w:hAnsi="仿宋" w:eastAsia="仿宋" w:cs="仿宋"/>
          <w:b w:val="0"/>
          <w:bCs w:val="0"/>
          <w:kern w:val="2"/>
          <w:sz w:val="32"/>
          <w:szCs w:val="32"/>
          <w:lang w:val="en-US" w:eastAsia="zh-CN"/>
        </w:rPr>
        <w:t>7</w:t>
      </w:r>
      <w:r>
        <w:rPr>
          <w:rFonts w:hint="eastAsia" w:ascii="仿宋" w:hAnsi="仿宋" w:eastAsia="仿宋" w:cs="仿宋"/>
          <w:b w:val="0"/>
          <w:bCs w:val="0"/>
          <w:kern w:val="2"/>
          <w:sz w:val="32"/>
          <w:szCs w:val="32"/>
          <w:lang w:eastAsia="zh"/>
        </w:rPr>
        <w:t xml:space="preserve"> 信用债券簿记现场工作人员名单</w:t>
      </w:r>
      <w:bookmarkEnd w:id="609"/>
      <w:bookmarkEnd w:id="610"/>
      <w:bookmarkEnd w:id="611"/>
      <w:bookmarkEnd w:id="612"/>
      <w:bookmarkEnd w:id="613"/>
      <w:bookmarkEnd w:id="614"/>
      <w:bookmarkEnd w:id="615"/>
      <w:bookmarkEnd w:id="616"/>
      <w:bookmarkEnd w:id="617"/>
    </w:p>
    <w:p>
      <w:pPr>
        <w:keepNext w:val="0"/>
        <w:keepLines w:val="0"/>
        <w:widowControl/>
        <w:suppressLineNumbers w:val="0"/>
        <w:adjustRightInd w:val="0"/>
        <w:snapToGrid w:val="0"/>
        <w:spacing w:before="0" w:beforeAutospacing="1" w:after="0" w:afterAutospacing="1"/>
        <w:ind w:left="0" w:right="0"/>
        <w:jc w:val="center"/>
        <w:rPr>
          <w:rFonts w:hint="eastAsia" w:ascii="方正小标宋_GBK" w:hAnsi="方正小标宋_GBK" w:eastAsia="方正小标宋_GBK" w:cs="方正小标宋_GBK"/>
          <w:sz w:val="44"/>
          <w:szCs w:val="44"/>
        </w:rPr>
      </w:pPr>
      <w:r>
        <w:rPr>
          <w:rFonts w:hint="eastAsia" w:ascii="宋体" w:hAnsi="宋体" w:eastAsia="宋体" w:cs="宋体"/>
          <w:b/>
          <w:bCs w:val="0"/>
          <w:kern w:val="2"/>
          <w:sz w:val="28"/>
          <w:szCs w:val="28"/>
          <w:lang w:val="en-US" w:eastAsia="zh-CN" w:bidi="ar"/>
        </w:rPr>
        <w:t>信用债券簿记现场工作人员名单样例</w:t>
      </w:r>
    </w:p>
    <w:p>
      <w:pPr>
        <w:keepNext w:val="0"/>
        <w:keepLines w:val="0"/>
        <w:widowControl/>
        <w:suppressLineNumbers w:val="0"/>
        <w:adjustRightInd w:val="0"/>
        <w:snapToGrid w:val="0"/>
        <w:spacing w:before="0" w:beforeAutospacing="1" w:after="0" w:afterAutospacing="1" w:line="360" w:lineRule="auto"/>
        <w:ind w:left="0" w:right="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（债券全称）债券簿记现场工作人员名单</w:t>
      </w:r>
    </w:p>
    <w:tbl>
      <w:tblPr>
        <w:tblStyle w:val="30"/>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30" w:type="dxa"/>
          <w:bottom w:w="0" w:type="dxa"/>
          <w:right w:w="30" w:type="dxa"/>
        </w:tblCellMar>
      </w:tblPr>
      <w:tblGrid>
        <w:gridCol w:w="1154"/>
        <w:gridCol w:w="1366"/>
        <w:gridCol w:w="1763"/>
        <w:gridCol w:w="1197"/>
        <w:gridCol w:w="1629"/>
        <w:gridCol w:w="15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30" w:type="dxa"/>
            <w:bottom w:w="0" w:type="dxa"/>
            <w:right w:w="30" w:type="dxa"/>
          </w:tblCellMar>
        </w:tblPrEx>
        <w:trPr>
          <w:trHeight w:val="680"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序号</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姓名</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单位</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职务</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身份证号</w:t>
            </w:r>
          </w:p>
        </w:tc>
        <w:tc>
          <w:tcPr>
            <w:tcW w:w="881"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30" w:type="dxa"/>
            <w:bottom w:w="0" w:type="dxa"/>
            <w:right w:w="30" w:type="dxa"/>
          </w:tblCellMar>
        </w:tblPrEx>
        <w:trPr>
          <w:trHeight w:val="4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1</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2</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3</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4</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5</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6</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7</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30" w:type="dxa"/>
            <w:bottom w:w="0" w:type="dxa"/>
            <w:right w:w="30" w:type="dxa"/>
          </w:tblCellMar>
        </w:tblPrEx>
        <w:trPr>
          <w:trHeight w:val="12" w:hRule="atLeast"/>
          <w:jc w:val="center"/>
        </w:trPr>
        <w:tc>
          <w:tcPr>
            <w:tcW w:w="668" w:type="pct"/>
            <w:tcBorders>
              <w:top w:val="single" w:color="auto" w:sz="2" w:space="0"/>
              <w:left w:val="single" w:color="auto" w:sz="2" w:space="0"/>
              <w:bottom w:val="single" w:color="auto" w:sz="2"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8</w:t>
            </w:r>
          </w:p>
        </w:tc>
        <w:tc>
          <w:tcPr>
            <w:tcW w:w="79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021"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693" w:type="pct"/>
            <w:tcBorders>
              <w:top w:val="single" w:color="auto" w:sz="2" w:space="0"/>
              <w:left w:val="nil"/>
              <w:bottom w:val="single" w:color="auto" w:sz="2" w:space="0"/>
              <w:right w:val="single" w:color="auto" w:sz="2" w:space="0"/>
            </w:tcBorders>
            <w:shd w:val="clear" w:color="auto" w:fill="auto"/>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943" w:type="pct"/>
            <w:tcBorders>
              <w:top w:val="single" w:color="auto" w:sz="2" w:space="0"/>
              <w:left w:val="nil"/>
              <w:bottom w:val="single" w:color="auto" w:sz="2" w:space="0"/>
              <w:right w:val="single" w:color="auto" w:sz="2" w:space="0"/>
            </w:tcBorders>
            <w:shd w:val="clear" w:color="auto" w:fill="auto"/>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881" w:type="pct"/>
            <w:tcBorders>
              <w:top w:val="single" w:color="auto" w:sz="2" w:space="0"/>
              <w:left w:val="nil"/>
              <w:bottom w:val="single" w:color="auto" w:sz="2" w:space="0"/>
              <w:right w:val="single" w:color="auto" w:sz="2" w:space="0"/>
            </w:tcBorders>
            <w:shd w:val="clear" w:color="auto" w:fill="auto"/>
            <w:vAlign w:val="top"/>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bl>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仿宋" w:hAnsi="仿宋" w:eastAsia="仿宋" w:cs="仿宋"/>
          <w:kern w:val="2"/>
          <w:sz w:val="22"/>
          <w:szCs w:val="22"/>
          <w:lang w:val="en-US" w:eastAsia="zh-CN" w:bidi="ar"/>
        </w:rPr>
      </w:pPr>
      <w:r>
        <w:rPr>
          <w:rFonts w:hint="eastAsia" w:ascii="仿宋" w:hAnsi="仿宋" w:eastAsia="仿宋" w:cs="仿宋"/>
          <w:kern w:val="2"/>
          <w:sz w:val="22"/>
          <w:szCs w:val="22"/>
          <w:lang w:val="en-US" w:eastAsia="zh-CN" w:bidi="ar"/>
        </w:rPr>
        <w:t>注：</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仿宋" w:hAnsi="仿宋" w:eastAsia="仿宋" w:cs="仿宋"/>
          <w:sz w:val="22"/>
          <w:szCs w:val="22"/>
        </w:rPr>
      </w:pPr>
      <w:r>
        <w:rPr>
          <w:rFonts w:hint="eastAsia" w:ascii="仿宋" w:hAnsi="仿宋" w:eastAsia="仿宋" w:cs="仿宋"/>
          <w:kern w:val="2"/>
          <w:sz w:val="22"/>
          <w:szCs w:val="22"/>
          <w:lang w:val="en-US" w:eastAsia="zh-CN" w:bidi="ar"/>
        </w:rPr>
        <w:t>1、簿记建档现场的参与人员包括发行人相关工作人员、簿记管理人的发行工作人员和内部监督人员、律师及经簿记管理人同意的其他与发行相关的人员。</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仿宋" w:hAnsi="仿宋" w:eastAsia="仿宋" w:cs="仿宋"/>
          <w:sz w:val="22"/>
          <w:szCs w:val="22"/>
        </w:rPr>
      </w:pPr>
      <w:r>
        <w:rPr>
          <w:rFonts w:hint="eastAsia" w:ascii="仿宋" w:hAnsi="仿宋" w:eastAsia="仿宋" w:cs="仿宋"/>
          <w:kern w:val="2"/>
          <w:sz w:val="22"/>
          <w:szCs w:val="22"/>
          <w:lang w:val="en-US" w:eastAsia="zh-CN" w:bidi="ar"/>
        </w:rPr>
        <w:t>2、簿记建档参与主体及其工作人员根据所属单位依次列举。</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仿宋" w:hAnsi="仿宋" w:eastAsia="仿宋" w:cs="仿宋"/>
          <w:sz w:val="21"/>
          <w:szCs w:val="21"/>
        </w:rPr>
      </w:pPr>
      <w:r>
        <w:rPr>
          <w:rFonts w:hint="eastAsia" w:ascii="仿宋" w:hAnsi="仿宋" w:eastAsia="仿宋" w:cs="仿宋"/>
          <w:kern w:val="2"/>
          <w:sz w:val="22"/>
          <w:szCs w:val="22"/>
          <w:lang w:val="en-US" w:eastAsia="zh-CN" w:bidi="ar"/>
        </w:rPr>
        <w:t>3、如现场工作人员调整，请尽早告知。</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（簿记管理人名称）</w:t>
      </w:r>
    </w:p>
    <w:p>
      <w:pPr>
        <w:keepNext w:val="0"/>
        <w:keepLines w:val="0"/>
        <w:widowControl/>
        <w:suppressLineNumbers w:val="0"/>
        <w:wordWrap w:val="0"/>
        <w:adjustRightInd w:val="0"/>
        <w:snapToGrid w:val="0"/>
        <w:spacing w:before="0" w:beforeLines="0" w:beforeAutospacing="0" w:after="0" w:afterLines="0" w:afterAutospacing="0" w:line="360" w:lineRule="auto"/>
        <w:ind w:left="0" w:right="0"/>
        <w:jc w:val="center"/>
        <w:rPr>
          <w:rFonts w:hint="eastAsia" w:ascii="宋体" w:hAnsi="宋体" w:eastAsia="宋体" w:cs="宋体"/>
          <w:sz w:val="24"/>
          <w:szCs w:val="24"/>
          <w:lang w:eastAsia="zh"/>
        </w:rPr>
      </w:pPr>
      <w:r>
        <w:rPr>
          <w:rFonts w:hint="eastAsia" w:ascii="宋体" w:hAnsi="宋体" w:eastAsia="宋体" w:cs="宋体"/>
          <w:kern w:val="2"/>
          <w:sz w:val="24"/>
          <w:szCs w:val="24"/>
          <w:lang w:val="en-US" w:eastAsia="zh-CN" w:bidi="ar"/>
        </w:rPr>
        <w:t xml:space="preserve">                                                 联系人：</w:t>
      </w:r>
      <w:r>
        <w:rPr>
          <w:rFonts w:hint="eastAsia" w:ascii="宋体" w:hAnsi="宋体" w:eastAsia="宋体" w:cs="宋体"/>
          <w:kern w:val="2"/>
          <w:sz w:val="24"/>
          <w:szCs w:val="24"/>
          <w:lang w:val="en-US" w:eastAsia="zh" w:bidi="ar"/>
        </w:rPr>
        <w:t xml:space="preserve">          </w:t>
      </w:r>
    </w:p>
    <w:p>
      <w:pPr>
        <w:keepNext w:val="0"/>
        <w:keepLines w:val="0"/>
        <w:widowControl/>
        <w:suppressLineNumbers w:val="0"/>
        <w:wordWrap w:val="0"/>
        <w:adjustRightInd w:val="0"/>
        <w:snapToGrid w:val="0"/>
        <w:spacing w:before="0" w:beforeLines="0" w:beforeAutospacing="0" w:after="0" w:afterLines="0" w:afterAutospacing="0" w:line="360" w:lineRule="auto"/>
        <w:ind w:left="0" w:right="0"/>
        <w:jc w:val="right"/>
        <w:rPr>
          <w:rFonts w:hint="eastAsia" w:ascii="宋体" w:hAnsi="宋体" w:eastAsia="宋体" w:cs="宋体"/>
          <w:sz w:val="24"/>
          <w:szCs w:val="24"/>
          <w:lang w:eastAsia="zh"/>
        </w:rPr>
      </w:pPr>
      <w:r>
        <w:rPr>
          <w:rFonts w:hint="eastAsia" w:ascii="宋体" w:hAnsi="宋体" w:eastAsia="宋体" w:cs="宋体"/>
          <w:kern w:val="2"/>
          <w:sz w:val="24"/>
          <w:szCs w:val="24"/>
          <w:lang w:val="en-US" w:eastAsia="zh-CN" w:bidi="ar"/>
        </w:rPr>
        <w:t>联系电话：</w:t>
      </w:r>
      <w:r>
        <w:rPr>
          <w:rFonts w:hint="eastAsia" w:ascii="宋体" w:hAnsi="宋体" w:eastAsia="宋体" w:cs="宋体"/>
          <w:kern w:val="2"/>
          <w:sz w:val="24"/>
          <w:szCs w:val="24"/>
          <w:lang w:val="en-US" w:eastAsia="zh" w:bidi="ar"/>
        </w:rPr>
        <w:t xml:space="preserve">          </w:t>
      </w:r>
    </w:p>
    <w:p>
      <w:pPr>
        <w:adjustRightInd w:val="0"/>
        <w:snapToGrid w:val="0"/>
        <w:spacing w:beforeLines="0" w:afterLines="0"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keepNext w:val="0"/>
        <w:keepLines w:val="0"/>
        <w:widowControl/>
        <w:suppressLineNumbers w:val="0"/>
        <w:adjustRightInd w:val="0"/>
        <w:snapToGrid w:val="0"/>
        <w:outlineLvl w:val="9"/>
        <w:rPr>
          <w:rFonts w:hint="eastAsia" w:ascii="宋体" w:hAnsi="宋体" w:eastAsia="宋体" w:cs="宋体"/>
          <w:b w:val="0"/>
          <w:bCs w:val="0"/>
          <w:szCs w:val="24"/>
        </w:rPr>
        <w:sectPr>
          <w:pgSz w:w="11910" w:h="16840"/>
          <w:pgMar w:top="1420" w:right="1660" w:bottom="1780" w:left="1660" w:header="852" w:footer="1583" w:gutter="0"/>
          <w:pgNumType w:fmt="decimal"/>
          <w:cols w:space="720" w:num="1"/>
          <w:formProt w:val="1"/>
          <w:docGrid w:linePitch="286" w:charSpace="0"/>
        </w:sectPr>
      </w:pPr>
    </w:p>
    <w:p>
      <w:pPr>
        <w:pStyle w:val="3"/>
        <w:outlineLvl w:val="1"/>
        <w:rPr>
          <w:rFonts w:hint="eastAsia" w:ascii="仿宋" w:hAnsi="仿宋" w:eastAsia="仿宋" w:cs="仿宋"/>
          <w:b w:val="0"/>
          <w:bCs w:val="0"/>
          <w:sz w:val="32"/>
          <w:szCs w:val="32"/>
          <w:lang w:eastAsia="zh"/>
        </w:rPr>
      </w:pPr>
      <w:bookmarkStart w:id="618" w:name="_Toc3139"/>
      <w:bookmarkStart w:id="619" w:name="_Toc6483"/>
      <w:bookmarkStart w:id="620" w:name="_Toc30044"/>
      <w:bookmarkStart w:id="621" w:name="_Toc4794"/>
      <w:bookmarkStart w:id="622" w:name="_Toc259"/>
      <w:bookmarkStart w:id="623" w:name="_Toc6556"/>
      <w:bookmarkStart w:id="624" w:name="_Toc17922"/>
      <w:bookmarkStart w:id="625" w:name="_Toc21950"/>
      <w:bookmarkStart w:id="626" w:name="_Toc27321"/>
      <w:r>
        <w:rPr>
          <w:rFonts w:hint="eastAsia" w:ascii="仿宋" w:hAnsi="仿宋" w:eastAsia="仿宋" w:cs="仿宋"/>
          <w:b w:val="0"/>
          <w:bCs w:val="0"/>
          <w:sz w:val="32"/>
          <w:szCs w:val="32"/>
          <w:lang w:eastAsia="zh"/>
        </w:rPr>
        <w:t>附件1</w:t>
      </w:r>
      <w:r>
        <w:rPr>
          <w:rFonts w:hint="eastAsia" w:ascii="仿宋" w:hAnsi="仿宋" w:eastAsia="仿宋" w:cs="仿宋"/>
          <w:b w:val="0"/>
          <w:bCs w:val="0"/>
          <w:sz w:val="32"/>
          <w:szCs w:val="32"/>
          <w:lang w:val="en-US" w:eastAsia="zh"/>
        </w:rPr>
        <w:t>8</w:t>
      </w:r>
      <w:r>
        <w:rPr>
          <w:rFonts w:hint="eastAsia" w:ascii="仿宋" w:hAnsi="仿宋" w:eastAsia="仿宋" w:cs="仿宋"/>
          <w:b w:val="0"/>
          <w:bCs w:val="0"/>
          <w:sz w:val="32"/>
          <w:szCs w:val="32"/>
          <w:lang w:eastAsia="zh"/>
        </w:rPr>
        <w:t xml:space="preserve"> 外部信息设备备案申请表</w:t>
      </w:r>
      <w:bookmarkEnd w:id="618"/>
      <w:bookmarkEnd w:id="619"/>
      <w:bookmarkEnd w:id="620"/>
      <w:bookmarkEnd w:id="621"/>
      <w:bookmarkEnd w:id="622"/>
      <w:bookmarkEnd w:id="623"/>
      <w:bookmarkEnd w:id="624"/>
      <w:bookmarkEnd w:id="625"/>
      <w:bookmarkEnd w:id="626"/>
    </w:p>
    <w:p>
      <w:pPr>
        <w:keepNext w:val="0"/>
        <w:keepLines w:val="0"/>
        <w:widowControl/>
        <w:suppressLineNumbers w:val="0"/>
        <w:adjustRightInd w:val="0"/>
        <w:snapToGrid w:val="0"/>
        <w:spacing w:before="0" w:beforeAutospacing="1" w:after="0" w:afterAutospacing="1"/>
        <w:ind w:left="0" w:right="0"/>
        <w:jc w:val="center"/>
        <w:rPr>
          <w:rFonts w:hint="eastAsia" w:ascii="黑体" w:hAnsi="黑体" w:eastAsia="黑体" w:cs="黑体"/>
          <w:sz w:val="44"/>
          <w:szCs w:val="44"/>
        </w:rPr>
      </w:pPr>
      <w:r>
        <w:rPr>
          <w:rFonts w:hint="eastAsia" w:ascii="宋体" w:hAnsi="宋体" w:eastAsia="宋体" w:cs="宋体"/>
          <w:b/>
          <w:bCs w:val="0"/>
          <w:kern w:val="2"/>
          <w:sz w:val="28"/>
          <w:szCs w:val="28"/>
          <w:lang w:val="en-US" w:eastAsia="zh-CN" w:bidi="ar"/>
        </w:rPr>
        <w:t>外部信息设备备案申请表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04"/>
        <w:gridCol w:w="3173"/>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申请机构名称</w:t>
            </w:r>
          </w:p>
        </w:tc>
        <w:tc>
          <w:tcPr>
            <w:tcW w:w="6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申请机构身份</w:t>
            </w:r>
          </w:p>
        </w:tc>
        <w:tc>
          <w:tcPr>
            <w:tcW w:w="6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□发行人  □簿记管理人及内部监督人员</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xml:space="preserve">□律师 </w:t>
            </w:r>
            <w:r>
              <w:rPr>
                <w:rFonts w:hint="eastAsia" w:ascii="宋体" w:hAnsi="宋体" w:eastAsia="宋体" w:cs="宋体"/>
                <w:kern w:val="2"/>
                <w:sz w:val="24"/>
                <w:szCs w:val="24"/>
                <w:lang w:val="en-US" w:eastAsia="zh" w:bidi="ar"/>
              </w:rPr>
              <w:t xml:space="preserve"> </w:t>
            </w:r>
            <w:r>
              <w:rPr>
                <w:rFonts w:hint="eastAsia" w:ascii="宋体" w:hAnsi="宋体" w:eastAsia="宋体" w:cs="宋体"/>
                <w:kern w:val="2"/>
                <w:sz w:val="24"/>
                <w:szCs w:val="24"/>
                <w:lang w:val="en-US" w:eastAsia="zh-CN" w:bidi="ar"/>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0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备案设备1</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□智能手机</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□笔记本电脑</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□移动存储介质</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□其他：</w:t>
            </w:r>
            <w:r>
              <w:rPr>
                <w:rFonts w:hint="eastAsia" w:ascii="宋体" w:hAnsi="宋体" w:eastAsia="宋体" w:cs="宋体"/>
                <w:kern w:val="2"/>
                <w:sz w:val="24"/>
                <w:szCs w:val="24"/>
                <w:u w:val="single"/>
                <w:lang w:val="en-US" w:eastAsia="zh-CN" w:bidi="ar"/>
              </w:rPr>
              <w:t xml:space="preserve">       </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持有人姓名</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Lines="0" w:beforeAutospacing="0" w:after="0" w:afterAutospacing="0"/>
              <w:ind w:left="0" w:right="0"/>
              <w:rPr>
                <w:rFonts w:hint="eastAsia" w:ascii="宋体" w:hAnsi="宋体" w:eastAsia="宋体" w:cs="宋体"/>
                <w:sz w:val="24"/>
                <w:szCs w:val="24"/>
              </w:rPr>
            </w:pP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持有人所在部门</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25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Lines="0" w:beforeAutospacing="0" w:after="0" w:afterAutospacing="0"/>
              <w:ind w:left="0" w:right="0"/>
              <w:rPr>
                <w:rFonts w:hint="eastAsia" w:ascii="宋体" w:hAnsi="宋体" w:eastAsia="宋体" w:cs="宋体"/>
                <w:sz w:val="24"/>
                <w:szCs w:val="24"/>
              </w:rPr>
            </w:pP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设备号码或ID</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备案设备2</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□智能手机</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□笔记本电脑</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□移动存储介质</w:t>
            </w:r>
          </w:p>
          <w:p>
            <w:pPr>
              <w:keepNext w:val="0"/>
              <w:keepLines w:val="0"/>
              <w:widowControl/>
              <w:suppressLineNumbers w:val="0"/>
              <w:adjustRightInd w:val="0"/>
              <w:snapToGrid w:val="0"/>
              <w:spacing w:before="0" w:beforeLines="0" w:beforeAutospacing="0" w:after="0" w:afterLines="0" w:afterAutospacing="0"/>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□其他：</w:t>
            </w:r>
            <w:r>
              <w:rPr>
                <w:rFonts w:hint="eastAsia" w:ascii="宋体" w:hAnsi="宋体" w:eastAsia="宋体" w:cs="宋体"/>
                <w:kern w:val="2"/>
                <w:sz w:val="24"/>
                <w:szCs w:val="24"/>
                <w:u w:val="single"/>
                <w:lang w:val="en-US" w:eastAsia="zh-CN" w:bidi="ar"/>
              </w:rPr>
              <w:t xml:space="preserve">       </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持有人姓名</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Lines="0" w:beforeAutospacing="0" w:after="0" w:afterAutospacing="0"/>
              <w:ind w:left="0" w:right="0"/>
              <w:rPr>
                <w:rFonts w:hint="eastAsia" w:ascii="宋体" w:hAnsi="宋体" w:eastAsia="宋体" w:cs="宋体"/>
                <w:sz w:val="24"/>
                <w:szCs w:val="24"/>
              </w:rPr>
            </w:pP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持有人所在部门</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Lines="0" w:beforeAutospacing="0" w:after="0" w:afterAutospacing="0"/>
              <w:ind w:left="0" w:right="0"/>
              <w:rPr>
                <w:rFonts w:hint="eastAsia" w:ascii="宋体" w:hAnsi="宋体" w:eastAsia="宋体" w:cs="宋体"/>
                <w:sz w:val="24"/>
                <w:szCs w:val="24"/>
              </w:rPr>
            </w:pP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设备号码或ID</w:t>
            </w:r>
          </w:p>
        </w:tc>
        <w:tc>
          <w:tcPr>
            <w:tcW w:w="2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w:t>
            </w:r>
          </w:p>
        </w:tc>
        <w:tc>
          <w:tcPr>
            <w:tcW w:w="6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line="240" w:lineRule="auto"/>
              <w:ind w:left="0" w:right="0" w:firstLine="480" w:firstLineChars="20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Autospacing="1"/>
              <w:ind w:left="0" w:right="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机构承诺</w:t>
            </w:r>
          </w:p>
        </w:tc>
        <w:tc>
          <w:tcPr>
            <w:tcW w:w="60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24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我机构承诺，以上设备受簿记管理人认可，在簿记建档现场监督人员的监督下，专用于在簿记建档发行期间使用。</w:t>
            </w:r>
          </w:p>
          <w:p>
            <w:pPr>
              <w:keepNext w:val="0"/>
              <w:keepLines w:val="0"/>
              <w:widowControl/>
              <w:suppressLineNumbers w:val="0"/>
              <w:adjustRightInd w:val="0"/>
              <w:snapToGrid w:val="0"/>
              <w:spacing w:before="0" w:beforeLines="0" w:beforeAutospacing="0" w:after="0" w:afterLines="0" w:afterAutospacing="0" w:line="240" w:lineRule="auto"/>
              <w:ind w:left="0" w:right="0" w:firstLine="480" w:firstLineChars="20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我机构承诺，因工作需要获得的深圳证券交易所信息系统和网络资源的访问权限只用于工作目的，不利用获得的访问权限危害深圳证券交易所信息安全。</w:t>
            </w:r>
          </w:p>
          <w:p>
            <w:pPr>
              <w:keepNext w:val="0"/>
              <w:keepLines w:val="0"/>
              <w:widowControl/>
              <w:suppressLineNumbers w:val="0"/>
              <w:adjustRightInd w:val="0"/>
              <w:snapToGrid w:val="0"/>
              <w:spacing w:before="0" w:beforeLines="0" w:beforeAutospacing="0" w:after="0" w:afterLines="0" w:afterAutospacing="0" w:line="240" w:lineRule="auto"/>
              <w:ind w:left="0" w:right="0" w:firstLine="480" w:firstLineChars="200"/>
              <w:jc w:val="both"/>
              <w:rPr>
                <w:rFonts w:hint="default" w:ascii="宋体" w:hAnsi="宋体" w:eastAsia="宋体" w:cs="宋体"/>
                <w:sz w:val="24"/>
                <w:szCs w:val="24"/>
              </w:rPr>
            </w:pPr>
            <w:r>
              <w:rPr>
                <w:rFonts w:hint="eastAsia" w:ascii="宋体" w:hAnsi="宋体" w:eastAsia="宋体" w:cs="宋体"/>
                <w:kern w:val="2"/>
                <w:sz w:val="24"/>
                <w:szCs w:val="24"/>
                <w:lang w:val="en-US" w:eastAsia="zh-CN" w:bidi="ar"/>
              </w:rPr>
              <w:t>我机构承诺，备案的移动存储介质在使用前已进行病毒检测和扫描，确认安全无毒后方可申请拷贝本场簿记建档的录音、录像。</w:t>
            </w:r>
          </w:p>
        </w:tc>
      </w:tr>
    </w:tbl>
    <w:p>
      <w:pPr>
        <w:keepNext w:val="0"/>
        <w:keepLines w:val="0"/>
        <w:widowControl/>
        <w:suppressLineNumbers w:val="0"/>
        <w:adjustRightInd w:val="0"/>
        <w:snapToGrid w:val="0"/>
        <w:spacing w:before="0" w:beforeAutospacing="1" w:after="0" w:afterAutospacing="1"/>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Autospacing="1" w:after="0" w:afterAutospacing="1"/>
        <w:ind w:left="0" w:right="0"/>
        <w:jc w:val="left"/>
        <w:rPr>
          <w:rFonts w:hint="eastAsia" w:ascii="宋体" w:hAnsi="宋体" w:eastAsia="宋体" w:cs="宋体"/>
          <w:sz w:val="24"/>
          <w:szCs w:val="24"/>
          <w:lang w:bidi="ar"/>
        </w:rPr>
      </w:pPr>
    </w:p>
    <w:p>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申请机构：   （单位公章）</w:t>
      </w:r>
    </w:p>
    <w:p>
      <w:pPr>
        <w:adjustRightInd w:val="0"/>
        <w:snapToGrid w:val="0"/>
        <w:spacing w:line="360" w:lineRule="auto"/>
        <w:jc w:val="right"/>
        <w:rPr>
          <w:rFonts w:hint="eastAsia" w:ascii="仿宋" w:hAnsi="仿宋" w:eastAsia="仿宋" w:cs="仿宋"/>
          <w:sz w:val="21"/>
          <w:szCs w:val="21"/>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pStyle w:val="3"/>
        <w:keepNext w:val="0"/>
        <w:keepLines w:val="0"/>
        <w:widowControl/>
        <w:suppressLineNumbers w:val="0"/>
        <w:adjustRightInd w:val="0"/>
        <w:snapToGrid w:val="0"/>
        <w:outlineLvl w:val="1"/>
        <w:rPr>
          <w:rFonts w:hint="eastAsia" w:ascii="宋体" w:hAnsi="宋体" w:eastAsia="宋体" w:cs="宋体"/>
          <w:sz w:val="24"/>
          <w:szCs w:val="24"/>
        </w:rPr>
      </w:pPr>
      <w:r>
        <w:rPr>
          <w:rFonts w:hint="eastAsia" w:ascii="仿宋" w:hAnsi="仿宋" w:eastAsia="仿宋" w:cs="仿宋"/>
          <w:b w:val="0"/>
          <w:bCs w:val="0"/>
        </w:rPr>
        <w:br w:type="page"/>
      </w:r>
      <w:bookmarkStart w:id="627" w:name="_Toc25542"/>
      <w:bookmarkStart w:id="628" w:name="_Toc2054"/>
      <w:bookmarkStart w:id="629" w:name="_Toc2348"/>
      <w:bookmarkStart w:id="630" w:name="_Toc25031"/>
      <w:bookmarkStart w:id="631" w:name="_Toc29019"/>
      <w:bookmarkStart w:id="632" w:name="_Toc7673"/>
      <w:bookmarkStart w:id="633" w:name="_Toc4893"/>
      <w:bookmarkStart w:id="634" w:name="_Toc16577"/>
      <w:bookmarkStart w:id="635" w:name="_Toc28569"/>
      <w:r>
        <w:rPr>
          <w:rFonts w:hint="eastAsia" w:ascii="仿宋" w:hAnsi="仿宋" w:eastAsia="仿宋" w:cs="仿宋"/>
          <w:b w:val="0"/>
          <w:bCs w:val="0"/>
          <w:kern w:val="2"/>
          <w:sz w:val="32"/>
          <w:szCs w:val="32"/>
        </w:rPr>
        <w:t>附件</w:t>
      </w:r>
      <w:r>
        <w:rPr>
          <w:rFonts w:hint="eastAsia" w:ascii="仿宋" w:hAnsi="仿宋" w:eastAsia="仿宋" w:cs="仿宋"/>
          <w:b w:val="0"/>
          <w:bCs w:val="0"/>
          <w:kern w:val="2"/>
          <w:sz w:val="32"/>
          <w:szCs w:val="32"/>
          <w:lang w:val="en-US" w:eastAsia="zh-CN"/>
        </w:rPr>
        <w:t>19</w:t>
      </w:r>
      <w:r>
        <w:rPr>
          <w:rFonts w:hint="eastAsia" w:ascii="仿宋" w:hAnsi="仿宋" w:eastAsia="仿宋" w:cs="仿宋"/>
          <w:b w:val="0"/>
          <w:bCs w:val="0"/>
          <w:kern w:val="2"/>
          <w:sz w:val="32"/>
          <w:szCs w:val="32"/>
          <w:lang w:eastAsia="zh"/>
        </w:rPr>
        <w:t xml:space="preserve"> </w:t>
      </w:r>
      <w:r>
        <w:rPr>
          <w:rFonts w:hint="eastAsia" w:ascii="仿宋" w:hAnsi="仿宋" w:eastAsia="仿宋" w:cs="仿宋"/>
          <w:b w:val="0"/>
          <w:bCs w:val="0"/>
          <w:kern w:val="2"/>
          <w:sz w:val="32"/>
          <w:szCs w:val="32"/>
        </w:rPr>
        <w:t>债券招标发行承诺函</w:t>
      </w:r>
      <w:bookmarkEnd w:id="627"/>
      <w:bookmarkEnd w:id="628"/>
      <w:bookmarkEnd w:id="629"/>
      <w:bookmarkEnd w:id="630"/>
      <w:bookmarkEnd w:id="631"/>
      <w:bookmarkEnd w:id="632"/>
      <w:bookmarkEnd w:id="633"/>
      <w:bookmarkEnd w:id="634"/>
      <w:bookmarkEnd w:id="635"/>
    </w:p>
    <w:p>
      <w:pPr>
        <w:keepNext w:val="0"/>
        <w:keepLines w:val="0"/>
        <w:widowControl/>
        <w:suppressLineNumbers w:val="0"/>
        <w:adjustRightInd w:val="0"/>
        <w:snapToGrid w:val="0"/>
        <w:spacing w:before="0" w:beforeAutospacing="1" w:after="0" w:afterAutospacing="1" w:line="240" w:lineRule="auto"/>
        <w:ind w:left="0" w:right="0" w:firstLine="0" w:firstLineChars="0"/>
        <w:jc w:val="center"/>
        <w:rPr>
          <w:rFonts w:hint="eastAsia" w:ascii="黑体" w:hAnsi="黑体" w:eastAsia="黑体" w:cs="黑体"/>
          <w:b/>
          <w:bCs/>
          <w:kern w:val="2"/>
          <w:sz w:val="44"/>
          <w:szCs w:val="44"/>
          <w:lang w:val="en-US" w:eastAsia="zh-CN" w:bidi="ar"/>
        </w:rPr>
      </w:pPr>
      <w:r>
        <w:rPr>
          <w:rFonts w:hint="eastAsia" w:ascii="黑体" w:hAnsi="黑体" w:eastAsia="黑体" w:cs="黑体"/>
          <w:b/>
          <w:bCs/>
          <w:kern w:val="2"/>
          <w:sz w:val="44"/>
          <w:szCs w:val="44"/>
          <w:lang w:val="en-US" w:eastAsia="zh-CN" w:bidi="ar"/>
        </w:rPr>
        <w:t>承 诺 函</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我机构)于XXXX年度使用深圳证券交易所(以下简称“深交所”)债券招标发行系统招标发行债券，承诺严格遵守《深圳证券交易所债券招标发行业务指引》等相关规定，并要求所属相关工作人员严格遵守相关规定，服从观察员监督，不违规泄露任何债券发行信息。债券招标期间，若我机构及所属相关工作人员有违反有关法律法规的行为，我机构承担个别和连带的法律责任。</w:t>
      </w:r>
    </w:p>
    <w:p>
      <w:pPr>
        <w:keepNext w:val="0"/>
        <w:keepLines w:val="0"/>
        <w:widowControl/>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特此承诺。</w:t>
      </w:r>
    </w:p>
    <w:p>
      <w:pPr>
        <w:keepNext w:val="0"/>
        <w:keepLines w:val="0"/>
        <w:widowControl/>
        <w:suppressLineNumbers w:val="0"/>
        <w:adjustRightInd w:val="0"/>
        <w:snapToGrid w:val="0"/>
        <w:spacing w:before="0" w:beforeAutospacing="0" w:after="0" w:afterAutospacing="0" w:line="360" w:lineRule="auto"/>
        <w:ind w:left="0" w:right="0" w:firstLine="0" w:firstLineChars="0"/>
        <w:jc w:val="righ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righ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Autospacing="0" w:after="0" w:afterAutospacing="0" w:line="360" w:lineRule="auto"/>
        <w:ind w:left="0" w:right="0" w:firstLine="0" w:firstLineChars="0"/>
        <w:jc w:val="right"/>
        <w:rPr>
          <w:rFonts w:hint="eastAsia" w:ascii="宋体" w:hAnsi="宋体" w:eastAsia="宋体" w:cs="宋体"/>
          <w:sz w:val="24"/>
          <w:szCs w:val="24"/>
          <w:lang w:bidi="ar"/>
        </w:rPr>
      </w:pPr>
      <w:r>
        <w:rPr>
          <w:rFonts w:hint="eastAsia" w:ascii="宋体" w:hAnsi="宋体" w:eastAsia="宋体" w:cs="宋体"/>
          <w:kern w:val="2"/>
          <w:sz w:val="24"/>
          <w:szCs w:val="24"/>
          <w:lang w:val="en-US" w:eastAsia="zh-CN" w:bidi="ar"/>
        </w:rPr>
        <w:t>(单位法人公章或授权签章）</w:t>
      </w:r>
    </w:p>
    <w:p>
      <w:pPr>
        <w:widowControl/>
        <w:adjustRightInd w:val="0"/>
        <w:snapToGrid w:val="0"/>
        <w:spacing w:line="360" w:lineRule="auto"/>
        <w:jc w:val="right"/>
        <w:rPr>
          <w:rFonts w:hint="eastAsia"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pStyle w:val="3"/>
        <w:keepNext w:val="0"/>
        <w:keepLines w:val="0"/>
        <w:widowControl/>
        <w:suppressLineNumbers w:val="0"/>
        <w:adjustRightInd w:val="0"/>
        <w:snapToGrid w:val="0"/>
        <w:outlineLvl w:val="9"/>
        <w:rPr>
          <w:rFonts w:hint="eastAsia" w:ascii="宋体" w:hAnsi="宋体" w:eastAsia="宋体" w:cs="宋体"/>
          <w:b w:val="0"/>
          <w:bCs w:val="0"/>
          <w:sz w:val="24"/>
          <w:szCs w:val="24"/>
        </w:rPr>
        <w:sectPr>
          <w:pgSz w:w="11910" w:h="16840"/>
          <w:pgMar w:top="1420" w:right="1660" w:bottom="1780" w:left="1660" w:header="852" w:footer="1583" w:gutter="0"/>
          <w:pgNumType w:fmt="decimal"/>
          <w:cols w:space="720" w:num="1"/>
          <w:formProt w:val="1"/>
          <w:docGrid w:linePitch="286" w:charSpace="0"/>
        </w:sectPr>
      </w:pPr>
    </w:p>
    <w:p>
      <w:pPr>
        <w:pStyle w:val="3"/>
        <w:keepNext w:val="0"/>
        <w:keepLines w:val="0"/>
        <w:widowControl/>
        <w:suppressLineNumbers w:val="0"/>
        <w:adjustRightInd/>
        <w:snapToGrid/>
        <w:outlineLvl w:val="1"/>
        <w:rPr>
          <w:rFonts w:hint="eastAsia" w:ascii="仿宋" w:hAnsi="仿宋" w:eastAsia="仿宋" w:cs="仿宋"/>
          <w:b w:val="0"/>
          <w:bCs w:val="0"/>
          <w:sz w:val="32"/>
          <w:szCs w:val="32"/>
        </w:rPr>
      </w:pPr>
      <w:bookmarkStart w:id="636" w:name="_Toc13937"/>
      <w:bookmarkStart w:id="637" w:name="_Toc27087"/>
      <w:bookmarkStart w:id="638" w:name="_Toc11482"/>
      <w:bookmarkStart w:id="639" w:name="_Toc30750"/>
      <w:bookmarkStart w:id="640" w:name="_Toc31664"/>
      <w:bookmarkStart w:id="641" w:name="_Toc24495"/>
      <w:bookmarkStart w:id="642" w:name="_Toc14979"/>
      <w:bookmarkStart w:id="643" w:name="_Toc24842"/>
      <w:bookmarkStart w:id="644" w:name="_Toc6293"/>
      <w:r>
        <w:rPr>
          <w:rFonts w:hint="eastAsia" w:ascii="仿宋" w:hAnsi="仿宋" w:eastAsia="仿宋" w:cs="仿宋"/>
          <w:b w:val="0"/>
          <w:bCs w:val="0"/>
          <w:kern w:val="2"/>
          <w:sz w:val="32"/>
          <w:szCs w:val="32"/>
        </w:rPr>
        <w:t>附件</w:t>
      </w:r>
      <w:r>
        <w:rPr>
          <w:rFonts w:hint="eastAsia" w:ascii="仿宋" w:hAnsi="仿宋" w:eastAsia="仿宋" w:cs="仿宋"/>
          <w:b w:val="0"/>
          <w:bCs w:val="0"/>
          <w:kern w:val="2"/>
          <w:sz w:val="32"/>
          <w:szCs w:val="32"/>
          <w:lang w:val="en-US" w:eastAsia="zh-CN"/>
        </w:rPr>
        <w:t>20</w:t>
      </w:r>
      <w:r>
        <w:rPr>
          <w:rFonts w:hint="eastAsia" w:ascii="仿宋" w:hAnsi="仿宋" w:eastAsia="仿宋" w:cs="仿宋"/>
          <w:b w:val="0"/>
          <w:bCs w:val="0"/>
          <w:kern w:val="2"/>
          <w:sz w:val="32"/>
          <w:szCs w:val="32"/>
          <w:lang w:eastAsia="zh"/>
        </w:rPr>
        <w:t xml:space="preserve"> </w:t>
      </w:r>
      <w:r>
        <w:rPr>
          <w:rFonts w:hint="eastAsia" w:ascii="仿宋" w:hAnsi="仿宋" w:eastAsia="仿宋" w:cs="仿宋"/>
          <w:b w:val="0"/>
          <w:bCs w:val="0"/>
          <w:kern w:val="2"/>
          <w:sz w:val="32"/>
          <w:szCs w:val="32"/>
        </w:rPr>
        <w:t>债券额度调整申请表</w:t>
      </w:r>
      <w:bookmarkEnd w:id="636"/>
      <w:bookmarkEnd w:id="637"/>
      <w:bookmarkEnd w:id="638"/>
      <w:bookmarkEnd w:id="639"/>
      <w:bookmarkEnd w:id="640"/>
      <w:bookmarkEnd w:id="641"/>
      <w:bookmarkEnd w:id="642"/>
      <w:bookmarkEnd w:id="643"/>
      <w:bookmarkEnd w:id="644"/>
    </w:p>
    <w:p>
      <w:pPr>
        <w:keepNext w:val="0"/>
        <w:keepLines w:val="0"/>
        <w:widowControl/>
        <w:suppressLineNumbers w:val="0"/>
        <w:adjustRightInd w:val="0"/>
        <w:snapToGrid w:val="0"/>
        <w:spacing w:before="0" w:beforeAutospacing="1" w:after="0" w:afterAutospacing="1" w:line="560" w:lineRule="exact"/>
        <w:ind w:left="0" w:right="0"/>
        <w:jc w:val="center"/>
        <w:rPr>
          <w:rFonts w:hint="eastAsia" w:ascii="黑体" w:hAnsi="黑体" w:eastAsia="黑体" w:cs="黑体"/>
          <w:sz w:val="44"/>
          <w:szCs w:val="44"/>
        </w:rPr>
      </w:pPr>
      <w:r>
        <w:rPr>
          <w:rFonts w:hint="eastAsia" w:ascii="宋体" w:hAnsi="宋体" w:eastAsia="宋体" w:cs="宋体"/>
          <w:b/>
          <w:bCs w:val="0"/>
          <w:kern w:val="2"/>
          <w:sz w:val="28"/>
          <w:szCs w:val="28"/>
          <w:lang w:val="en-US" w:eastAsia="zh-CN" w:bidi="ar"/>
        </w:rPr>
        <w:t>债券额度调整申请表</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深圳证券交易所：</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我公司承销/认购的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（深交所证券简称：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；债券代码：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）已于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日开始发行。由于</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，现向深圳证券交易所申请将</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预计在</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销售部分中的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亿元调整至</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pPr>
        <w:keepNext w:val="0"/>
        <w:keepLines w:val="0"/>
        <w:widowControl/>
        <w:suppressLineNumbers w:val="0"/>
        <w:adjustRightInd w:val="0"/>
        <w:snapToGrid w:val="0"/>
        <w:spacing w:before="0" w:beforeLines="0" w:beforeAutospacing="0" w:after="0" w:afterAutospacing="1" w:line="360" w:lineRule="auto"/>
        <w:ind w:left="0" w:right="0" w:firstLine="480" w:firstLineChars="20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本次调整的承销额度明细如下：</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28"/>
        <w:gridCol w:w="1536"/>
        <w:gridCol w:w="1516"/>
        <w:gridCol w:w="1247"/>
        <w:gridCol w:w="124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70"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（XX机构名称</w:t>
            </w:r>
            <w:r>
              <w:rPr>
                <w:rStyle w:val="38"/>
                <w:rFonts w:hint="eastAsia" w:ascii="宋体" w:hAnsi="宋体" w:eastAsia="宋体" w:cs="宋体"/>
                <w:kern w:val="2"/>
                <w:sz w:val="24"/>
                <w:szCs w:val="24"/>
                <w:lang w:val="en-US" w:eastAsia="zh-CN" w:bidi="ar"/>
              </w:rPr>
              <w:footnoteReference w:id="1"/>
            </w:r>
            <w:r>
              <w:rPr>
                <w:rFonts w:hint="eastAsia" w:ascii="宋体" w:hAnsi="宋体" w:eastAsia="宋体" w:cs="宋体"/>
                <w:kern w:val="2"/>
                <w:sz w:val="24"/>
                <w:szCs w:val="24"/>
                <w:lang w:val="en-US" w:eastAsia="zh-CN" w:bidi="ar"/>
              </w:rPr>
              <w:t>）</w:t>
            </w:r>
          </w:p>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（机构代码</w:t>
            </w:r>
            <w:r>
              <w:rPr>
                <w:rStyle w:val="38"/>
                <w:rFonts w:hint="eastAsia" w:ascii="宋体" w:hAnsi="宋体" w:eastAsia="宋体" w:cs="宋体"/>
                <w:kern w:val="2"/>
                <w:sz w:val="24"/>
                <w:szCs w:val="24"/>
                <w:lang w:val="en-US" w:eastAsia="zh-CN" w:bidi="ar"/>
              </w:rPr>
              <w:footnoteReference w:id="2"/>
            </w:r>
            <w:r>
              <w:rPr>
                <w:rFonts w:hint="eastAsia" w:ascii="宋体" w:hAnsi="宋体" w:eastAsia="宋体" w:cs="宋体"/>
                <w:kern w:val="2"/>
                <w:sz w:val="24"/>
                <w:szCs w:val="24"/>
                <w:lang w:val="en-US" w:eastAsia="zh-CN" w:bidi="ar"/>
              </w:rPr>
              <w:t>：XX）</w:t>
            </w:r>
          </w:p>
        </w:tc>
        <w:tc>
          <w:tcPr>
            <w:tcW w:w="8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托管账户</w:t>
            </w:r>
          </w:p>
        </w:tc>
        <w:tc>
          <w:tcPr>
            <w:tcW w:w="8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原托管额度（亿元）</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调增额度（亿元）</w:t>
            </w:r>
          </w:p>
        </w:tc>
        <w:tc>
          <w:tcPr>
            <w:tcW w:w="7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调减额度（亿元）</w:t>
            </w:r>
          </w:p>
        </w:tc>
        <w:tc>
          <w:tcPr>
            <w:tcW w:w="87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调整后额度</w:t>
            </w:r>
          </w:p>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深圳证券交易所</w:t>
            </w:r>
          </w:p>
        </w:tc>
        <w:tc>
          <w:tcPr>
            <w:tcW w:w="826"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XXXXXXXXXXX</w:t>
            </w:r>
          </w:p>
        </w:tc>
        <w:tc>
          <w:tcPr>
            <w:tcW w:w="87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717"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717"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876"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1"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中央国债登记结算有限责任公司</w:t>
            </w:r>
          </w:p>
        </w:tc>
        <w:tc>
          <w:tcPr>
            <w:tcW w:w="826"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XXXXXXXXXXX</w:t>
            </w:r>
          </w:p>
        </w:tc>
        <w:tc>
          <w:tcPr>
            <w:tcW w:w="87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717"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717"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c>
          <w:tcPr>
            <w:tcW w:w="876"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XXXXXX</w:t>
            </w:r>
          </w:p>
        </w:tc>
      </w:tr>
    </w:tbl>
    <w:p>
      <w:pPr>
        <w:keepNext w:val="0"/>
        <w:keepLines w:val="0"/>
        <w:widowControl/>
        <w:suppressLineNumbers w:val="0"/>
        <w:adjustRightInd w:val="0"/>
        <w:snapToGrid w:val="0"/>
        <w:spacing w:before="0" w:beforeAutospacing="1" w:after="0" w:afterAutospacing="1" w:line="360" w:lineRule="auto"/>
        <w:ind w:left="0" w:right="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机构名称（签章）</w:t>
      </w:r>
      <w:r>
        <w:rPr>
          <w:rStyle w:val="38"/>
          <w:rFonts w:hint="eastAsia" w:ascii="宋体" w:hAnsi="宋体" w:eastAsia="宋体" w:cs="宋体"/>
          <w:kern w:val="2"/>
          <w:sz w:val="24"/>
          <w:szCs w:val="24"/>
          <w:lang w:val="en-US" w:eastAsia="zh-CN" w:bidi="ar"/>
        </w:rPr>
        <w:footnoteReference w:id="3"/>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pStyle w:val="3"/>
        <w:rPr>
          <w:rFonts w:hint="eastAsia" w:ascii="仿宋" w:hAnsi="仿宋" w:eastAsia="仿宋" w:cs="仿宋"/>
          <w:sz w:val="21"/>
          <w:szCs w:val="21"/>
        </w:rPr>
      </w:pPr>
      <w:r>
        <w:rPr>
          <w:rFonts w:hint="eastAsia" w:ascii="宋体" w:hAnsi="宋体" w:eastAsia="宋体" w:cs="宋体"/>
          <w:kern w:val="2"/>
          <w:sz w:val="24"/>
          <w:szCs w:val="24"/>
          <w:lang w:val="en-US" w:eastAsia="zh-CN" w:bidi="ar"/>
        </w:rPr>
        <w:br w:type="page"/>
      </w:r>
      <w:bookmarkStart w:id="645" w:name="_Toc15786"/>
      <w:bookmarkStart w:id="646" w:name="_Toc29479"/>
      <w:bookmarkStart w:id="647" w:name="_Toc15527"/>
      <w:bookmarkStart w:id="648" w:name="_Toc18872"/>
      <w:bookmarkStart w:id="649" w:name="_Toc23906"/>
      <w:bookmarkStart w:id="650" w:name="_Toc10668"/>
      <w:bookmarkStart w:id="651" w:name="_Toc18581"/>
      <w:bookmarkStart w:id="652" w:name="_Toc1378"/>
      <w:bookmarkStart w:id="653" w:name="_Toc30129"/>
      <w:r>
        <w:rPr>
          <w:rFonts w:hint="eastAsia" w:ascii="仿宋" w:hAnsi="仿宋" w:eastAsia="仿宋" w:cs="仿宋"/>
          <w:b w:val="0"/>
          <w:bCs w:val="0"/>
          <w:kern w:val="2"/>
          <w:sz w:val="32"/>
          <w:szCs w:val="32"/>
        </w:rPr>
        <w:t>附件</w:t>
      </w:r>
      <w:r>
        <w:rPr>
          <w:rFonts w:hint="eastAsia" w:ascii="仿宋" w:hAnsi="仿宋" w:eastAsia="仿宋" w:cs="仿宋"/>
          <w:b w:val="0"/>
          <w:bCs w:val="0"/>
          <w:kern w:val="2"/>
          <w:sz w:val="32"/>
          <w:szCs w:val="32"/>
          <w:lang w:val="en-US" w:eastAsia="zh-CN"/>
        </w:rPr>
        <w:t>21</w:t>
      </w:r>
      <w:r>
        <w:rPr>
          <w:rFonts w:hint="eastAsia" w:ascii="仿宋" w:hAnsi="仿宋" w:eastAsia="仿宋" w:cs="仿宋"/>
          <w:b w:val="0"/>
          <w:bCs w:val="0"/>
          <w:kern w:val="2"/>
          <w:sz w:val="32"/>
          <w:szCs w:val="32"/>
          <w:lang w:eastAsia="zh-CN"/>
        </w:rPr>
        <w:t xml:space="preserve"> </w:t>
      </w:r>
      <w:r>
        <w:rPr>
          <w:rFonts w:hint="eastAsia" w:ascii="仿宋" w:hAnsi="仿宋" w:eastAsia="仿宋" w:cs="仿宋"/>
          <w:b w:val="0"/>
          <w:bCs w:val="0"/>
          <w:kern w:val="2"/>
          <w:sz w:val="32"/>
          <w:szCs w:val="32"/>
        </w:rPr>
        <w:t>中国铁路建设债券托管汇总表</w:t>
      </w:r>
      <w:bookmarkEnd w:id="645"/>
      <w:bookmarkEnd w:id="646"/>
      <w:bookmarkEnd w:id="647"/>
      <w:bookmarkEnd w:id="648"/>
      <w:bookmarkEnd w:id="649"/>
      <w:bookmarkEnd w:id="650"/>
      <w:bookmarkEnd w:id="651"/>
      <w:bookmarkEnd w:id="652"/>
      <w:bookmarkEnd w:id="653"/>
    </w:p>
    <w:p>
      <w:pPr>
        <w:keepNext w:val="0"/>
        <w:keepLines w:val="0"/>
        <w:widowControl/>
        <w:suppressLineNumbers w:val="0"/>
        <w:adjustRightInd/>
        <w:snapToGrid/>
        <w:spacing w:before="0" w:beforeLines="-2147483648" w:beforeAutospacing="0" w:after="0" w:afterLines="-2147483648" w:afterAutospacing="0"/>
        <w:ind w:left="0" w:right="0"/>
        <w:jc w:val="center"/>
        <w:rPr>
          <w:rFonts w:hint="eastAsia" w:ascii="宋体" w:hAnsi="宋体" w:eastAsia="宋体" w:cs="宋体"/>
          <w:b/>
          <w:bCs w:val="0"/>
          <w:kern w:val="2"/>
          <w:sz w:val="28"/>
          <w:szCs w:val="28"/>
          <w:lang w:val="en-US" w:eastAsia="zh-CN" w:bidi="ar"/>
        </w:rPr>
      </w:pPr>
      <w:r>
        <w:rPr>
          <w:rFonts w:hint="eastAsia" w:ascii="宋体" w:hAnsi="宋体" w:eastAsia="宋体" w:cs="宋体"/>
          <w:b/>
          <w:bCs w:val="0"/>
          <w:kern w:val="2"/>
          <w:sz w:val="28"/>
          <w:szCs w:val="28"/>
          <w:lang w:val="en-US" w:eastAsia="zh-CN" w:bidi="ar"/>
        </w:rPr>
        <w:t>中国国家铁路集团有限公司 XXXX年第X期</w:t>
      </w:r>
    </w:p>
    <w:p>
      <w:pPr>
        <w:keepNext w:val="0"/>
        <w:keepLines w:val="0"/>
        <w:widowControl/>
        <w:suppressLineNumbers w:val="0"/>
        <w:adjustRightInd/>
        <w:snapToGrid/>
        <w:spacing w:before="0" w:beforeLines="-2147483648" w:beforeAutospacing="0" w:after="0" w:afterLines="-2147483648" w:afterAutospacing="0"/>
        <w:ind w:left="0" w:right="0"/>
        <w:jc w:val="center"/>
        <w:rPr>
          <w:rFonts w:hint="eastAsia" w:ascii="方正小标宋_GBK" w:hAnsi="方正小标宋_GBK" w:eastAsia="方正小标宋_GBK" w:cs="方正小标宋_GBK"/>
          <w:sz w:val="44"/>
          <w:szCs w:val="44"/>
        </w:rPr>
      </w:pPr>
      <w:r>
        <w:rPr>
          <w:rFonts w:hint="eastAsia" w:ascii="宋体" w:hAnsi="宋体" w:eastAsia="宋体" w:cs="宋体"/>
          <w:b/>
          <w:bCs w:val="0"/>
          <w:kern w:val="2"/>
          <w:sz w:val="28"/>
          <w:szCs w:val="28"/>
          <w:lang w:val="en-US" w:eastAsia="zh-CN" w:bidi="ar"/>
        </w:rPr>
        <w:t>中国铁路建设债券（X年期）托管汇总表</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kern w:val="2"/>
          <w:sz w:val="24"/>
          <w:szCs w:val="24"/>
          <w:lang w:val="en-US" w:eastAsia="zh-CN" w:bidi="ar"/>
        </w:rPr>
      </w:pP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深圳证券交易所：</w:t>
      </w:r>
    </w:p>
    <w:p>
      <w:pPr>
        <w:keepNext w:val="0"/>
        <w:keepLines w:val="0"/>
        <w:widowControl/>
        <w:suppressLineNumbers w:val="0"/>
        <w:adjustRightInd w:val="0"/>
        <w:snapToGrid w:val="0"/>
        <w:spacing w:before="0" w:beforeLines="0" w:beforeAutospacing="0" w:after="0" w:afterLines="0" w:afterAutospacing="0" w:line="360" w:lineRule="auto"/>
        <w:ind w:left="0" w:right="0" w:firstLine="48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就我单位发行的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债券</w:t>
      </w:r>
      <w:r>
        <w:rPr>
          <w:rFonts w:hint="eastAsia" w:ascii="宋体" w:hAnsi="宋体" w:eastAsia="宋体" w:cs="宋体"/>
          <w:kern w:val="0"/>
          <w:sz w:val="24"/>
          <w:szCs w:val="24"/>
          <w:lang w:val="en-US" w:eastAsia="zh-CN" w:bidi="ar"/>
        </w:rPr>
        <w:t>（交易所市场债券代码为：      证券简称为：       银行间市场债券代码为：     ）</w:t>
      </w:r>
      <w:r>
        <w:rPr>
          <w:rFonts w:hint="eastAsia" w:ascii="宋体" w:hAnsi="宋体" w:eastAsia="宋体" w:cs="宋体"/>
          <w:kern w:val="2"/>
          <w:sz w:val="24"/>
          <w:szCs w:val="24"/>
          <w:lang w:val="en-US" w:eastAsia="zh-CN" w:bidi="ar"/>
        </w:rPr>
        <w:t>，现将本期债券承销团承销额度分配结果通知如下，请贵所据此为相关承销商办理交易所市场托管注册：</w:t>
      </w:r>
    </w:p>
    <w:tbl>
      <w:tblPr>
        <w:tblStyle w:val="3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57"/>
        <w:gridCol w:w="1619"/>
        <w:gridCol w:w="1615"/>
        <w:gridCol w:w="1608"/>
        <w:gridCol w:w="1609"/>
        <w:gridCol w:w="1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7" w:hRule="atLeast"/>
          <w:jc w:val="center"/>
        </w:trPr>
        <w:tc>
          <w:tcPr>
            <w:tcW w:w="323" w:type="pc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序号</w:t>
            </w:r>
          </w:p>
        </w:tc>
        <w:tc>
          <w:tcPr>
            <w:tcW w:w="939"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承销商名称</w:t>
            </w:r>
          </w:p>
        </w:tc>
        <w:tc>
          <w:tcPr>
            <w:tcW w:w="935"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承销商托管账号（中证登深圳分公司）</w:t>
            </w:r>
          </w:p>
        </w:tc>
        <w:tc>
          <w:tcPr>
            <w:tcW w:w="933"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中标数量</w:t>
            </w:r>
          </w:p>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（亿元面值）</w:t>
            </w:r>
          </w:p>
        </w:tc>
        <w:tc>
          <w:tcPr>
            <w:tcW w:w="933"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托管数量（中证登深圳分公司</w:t>
            </w:r>
          </w:p>
        </w:tc>
        <w:tc>
          <w:tcPr>
            <w:tcW w:w="933" w:type="pct"/>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Lines="0" w:beforeAutospacing="0" w:after="0" w:afterLines="0" w:afterAutospacing="0"/>
              <w:ind w:left="0" w:right="0"/>
              <w:jc w:val="center"/>
              <w:textAlignment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托管数量（中债登）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1</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2</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3</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4</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5</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6</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7</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8</w:t>
            </w:r>
          </w:p>
        </w:tc>
        <w:tc>
          <w:tcPr>
            <w:tcW w:w="939"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5"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199" w:type="pct"/>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合计</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0"/>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center"/>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c>
          <w:tcPr>
            <w:tcW w:w="933" w:type="pct"/>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adjustRightInd w:val="0"/>
              <w:snapToGrid w:val="0"/>
              <w:spacing w:before="0" w:beforeAutospacing="1" w:after="0" w:afterAutospacing="1"/>
              <w:ind w:left="0" w:right="0"/>
              <w:jc w:val="left"/>
              <w:rPr>
                <w:rFonts w:hint="default" w:ascii="宋体" w:hAnsi="宋体" w:eastAsia="宋体" w:cs="宋体"/>
                <w:sz w:val="24"/>
                <w:szCs w:val="24"/>
              </w:rPr>
            </w:pPr>
            <w:r>
              <w:rPr>
                <w:rFonts w:hint="eastAsia" w:ascii="宋体" w:hAnsi="宋体" w:eastAsia="宋体" w:cs="宋体"/>
                <w:color w:val="000000"/>
                <w:kern w:val="2"/>
                <w:sz w:val="24"/>
                <w:szCs w:val="24"/>
                <w:lang w:val="en-US" w:eastAsia="zh-CN" w:bidi="ar"/>
              </w:rPr>
              <w:t> </w:t>
            </w:r>
          </w:p>
        </w:tc>
      </w:tr>
    </w:tbl>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jc w:val="left"/>
        <w:rPr>
          <w:rFonts w:hint="eastAsia" w:ascii="宋体" w:hAnsi="宋体" w:eastAsia="宋体" w:cs="宋体"/>
          <w:sz w:val="24"/>
          <w:szCs w:val="24"/>
          <w:lang w:bidi="ar"/>
        </w:rPr>
      </w:pPr>
    </w:p>
    <w:p>
      <w:pPr>
        <w:keepNext w:val="0"/>
        <w:keepLines w:val="0"/>
        <w:widowControl/>
        <w:suppressLineNumbers w:val="0"/>
        <w:adjustRightInd w:val="0"/>
        <w:snapToGrid w:val="0"/>
        <w:spacing w:before="0" w:beforeLines="0" w:beforeAutospacing="0" w:after="0" w:afterLines="0" w:afterAutospacing="0" w:line="360" w:lineRule="auto"/>
        <w:ind w:left="0" w:right="0"/>
        <w:jc w:val="right"/>
        <w:rPr>
          <w:rFonts w:hint="eastAsia" w:ascii="宋体" w:hAnsi="宋体" w:eastAsia="宋体" w:cs="宋体"/>
          <w:sz w:val="24"/>
          <w:szCs w:val="24"/>
          <w:u w:val="none"/>
        </w:rPr>
      </w:pPr>
      <w:r>
        <w:rPr>
          <w:rFonts w:hint="eastAsia" w:ascii="宋体" w:hAnsi="宋体" w:eastAsia="宋体" w:cs="宋体"/>
          <w:kern w:val="2"/>
          <w:sz w:val="24"/>
          <w:szCs w:val="24"/>
          <w:u w:val="none"/>
          <w:lang w:val="en-US" w:eastAsia="zh-CN" w:bidi="ar"/>
        </w:rPr>
        <w:t xml:space="preserve">  牵头主承销商： </w:t>
      </w:r>
    </w:p>
    <w:p>
      <w:pPr>
        <w:keepNext w:val="0"/>
        <w:keepLines w:val="0"/>
        <w:widowControl/>
        <w:suppressLineNumbers w:val="0"/>
        <w:adjustRightInd w:val="0"/>
        <w:snapToGrid w:val="0"/>
        <w:spacing w:before="0" w:beforeLines="0" w:beforeAutospacing="0" w:after="0" w:afterLines="0" w:afterAutospacing="0" w:line="360" w:lineRule="auto"/>
        <w:ind w:left="0" w:right="0"/>
        <w:jc w:val="right"/>
        <w:rPr>
          <w:rFonts w:hint="eastAsia" w:ascii="宋体" w:hAnsi="宋体" w:eastAsia="宋体" w:cs="宋体"/>
          <w:sz w:val="24"/>
          <w:szCs w:val="24"/>
          <w:u w:val="none"/>
        </w:rPr>
      </w:pPr>
      <w:r>
        <w:rPr>
          <w:rFonts w:hint="eastAsia" w:ascii="宋体" w:hAnsi="宋体" w:eastAsia="宋体" w:cs="宋体"/>
          <w:kern w:val="2"/>
          <w:sz w:val="24"/>
          <w:szCs w:val="24"/>
          <w:u w:val="none"/>
          <w:lang w:val="en-US" w:eastAsia="zh-CN" w:bidi="ar"/>
        </w:rPr>
        <w:t xml:space="preserve">          （签章）</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kern w:val="2"/>
          <w:sz w:val="24"/>
          <w:szCs w:val="24"/>
          <w:u w:val="none"/>
          <w:lang w:val="en-US" w:eastAsia="zh-CN"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keepNext w:val="0"/>
        <w:keepLines w:val="0"/>
        <w:widowControl/>
        <w:suppressLineNumbers w:val="0"/>
        <w:adjustRightInd w:val="0"/>
        <w:snapToGrid w:val="0"/>
        <w:spacing w:before="0" w:beforeLines="0" w:beforeAutospacing="0" w:after="0" w:afterLines="0" w:afterAutospacing="0" w:line="360" w:lineRule="auto"/>
        <w:ind w:left="0" w:right="0"/>
        <w:jc w:val="right"/>
        <w:rPr>
          <w:rFonts w:hint="eastAsia" w:ascii="宋体" w:hAnsi="宋体" w:eastAsia="宋体" w:cs="宋体"/>
          <w:sz w:val="24"/>
          <w:szCs w:val="24"/>
          <w:u w:val="none"/>
        </w:rPr>
      </w:pPr>
    </w:p>
    <w:p>
      <w:pPr>
        <w:keepNext w:val="0"/>
        <w:keepLines w:val="0"/>
        <w:widowControl/>
        <w:suppressLineNumbers w:val="0"/>
        <w:adjustRightInd w:val="0"/>
        <w:snapToGrid w:val="0"/>
        <w:spacing w:before="0" w:beforeAutospacing="1" w:after="0" w:afterAutospacing="1"/>
        <w:ind w:left="0" w:right="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pStyle w:val="3"/>
        <w:rPr>
          <w:rFonts w:hint="eastAsia" w:ascii="仿宋" w:hAnsi="仿宋" w:eastAsia="仿宋" w:cs="仿宋"/>
          <w:sz w:val="21"/>
          <w:szCs w:val="21"/>
        </w:rPr>
      </w:pPr>
      <w:r>
        <w:rPr>
          <w:rFonts w:hint="eastAsia" w:ascii="仿宋" w:hAnsi="仿宋" w:eastAsia="仿宋" w:cs="仿宋"/>
          <w:kern w:val="2"/>
          <w:sz w:val="32"/>
          <w:szCs w:val="32"/>
        </w:rPr>
        <w:br w:type="page"/>
      </w:r>
      <w:bookmarkStart w:id="654" w:name="_Toc22290"/>
      <w:bookmarkStart w:id="655" w:name="_Toc12668"/>
      <w:bookmarkStart w:id="656" w:name="_Toc32284"/>
      <w:bookmarkStart w:id="657" w:name="_Toc30128"/>
      <w:bookmarkStart w:id="658" w:name="_Toc2213"/>
      <w:bookmarkStart w:id="659" w:name="_Toc6258"/>
      <w:bookmarkStart w:id="660" w:name="_Toc15894"/>
      <w:bookmarkStart w:id="661" w:name="_Toc4"/>
      <w:bookmarkStart w:id="662" w:name="_Toc17183"/>
      <w:r>
        <w:rPr>
          <w:rFonts w:hint="eastAsia" w:ascii="仿宋" w:hAnsi="仿宋" w:eastAsia="仿宋" w:cs="仿宋"/>
          <w:b w:val="0"/>
          <w:bCs w:val="0"/>
          <w:kern w:val="2"/>
          <w:sz w:val="32"/>
          <w:szCs w:val="32"/>
        </w:rPr>
        <w:t>附件</w:t>
      </w:r>
      <w:r>
        <w:rPr>
          <w:rFonts w:hint="eastAsia" w:ascii="仿宋" w:hAnsi="仿宋" w:eastAsia="仿宋" w:cs="仿宋"/>
          <w:b w:val="0"/>
          <w:bCs w:val="0"/>
          <w:kern w:val="2"/>
          <w:sz w:val="32"/>
          <w:szCs w:val="32"/>
          <w:lang w:eastAsia="zh-CN"/>
        </w:rPr>
        <w:t>2</w:t>
      </w:r>
      <w:r>
        <w:rPr>
          <w:rFonts w:hint="eastAsia" w:ascii="仿宋" w:hAnsi="仿宋" w:eastAsia="仿宋" w:cs="仿宋"/>
          <w:b w:val="0"/>
          <w:bCs w:val="0"/>
          <w:kern w:val="2"/>
          <w:sz w:val="32"/>
          <w:szCs w:val="32"/>
          <w:lang w:val="en-US" w:eastAsia="zh-CN"/>
        </w:rPr>
        <w:t>2</w:t>
      </w:r>
      <w:r>
        <w:rPr>
          <w:rFonts w:hint="eastAsia" w:ascii="仿宋" w:hAnsi="仿宋" w:eastAsia="仿宋" w:cs="仿宋"/>
          <w:b w:val="0"/>
          <w:bCs w:val="0"/>
          <w:kern w:val="2"/>
          <w:sz w:val="32"/>
          <w:szCs w:val="32"/>
          <w:lang w:eastAsia="zh-CN"/>
        </w:rPr>
        <w:t xml:space="preserve"> </w:t>
      </w:r>
      <w:r>
        <w:rPr>
          <w:rFonts w:hint="eastAsia" w:ascii="仿宋" w:hAnsi="仿宋" w:eastAsia="仿宋" w:cs="仿宋"/>
          <w:b w:val="0"/>
          <w:bCs w:val="0"/>
          <w:kern w:val="2"/>
          <w:sz w:val="32"/>
          <w:szCs w:val="32"/>
        </w:rPr>
        <w:t>深交所铁道债托管申请表</w:t>
      </w:r>
      <w:bookmarkEnd w:id="654"/>
      <w:bookmarkEnd w:id="655"/>
      <w:bookmarkEnd w:id="656"/>
      <w:bookmarkEnd w:id="657"/>
      <w:bookmarkEnd w:id="658"/>
      <w:bookmarkEnd w:id="659"/>
      <w:bookmarkEnd w:id="660"/>
      <w:bookmarkEnd w:id="661"/>
      <w:bookmarkEnd w:id="662"/>
    </w:p>
    <w:p>
      <w:pPr>
        <w:keepNext w:val="0"/>
        <w:keepLines w:val="0"/>
        <w:widowControl/>
        <w:suppressLineNumbers w:val="0"/>
        <w:adjustRightInd w:val="0"/>
        <w:snapToGrid w:val="0"/>
        <w:spacing w:before="0" w:beforeAutospacing="1" w:after="0" w:afterAutospacing="1"/>
        <w:ind w:left="0" w:right="0"/>
        <w:jc w:val="center"/>
        <w:rPr>
          <w:rFonts w:hint="eastAsia" w:ascii="黑体" w:hAnsi="黑体" w:eastAsia="黑体" w:cs="黑体"/>
          <w:sz w:val="44"/>
          <w:szCs w:val="44"/>
        </w:rPr>
      </w:pPr>
      <w:r>
        <w:rPr>
          <w:rFonts w:hint="eastAsia" w:ascii="宋体" w:hAnsi="宋体" w:eastAsia="宋体" w:cs="宋体"/>
          <w:b/>
          <w:bCs w:val="0"/>
          <w:kern w:val="2"/>
          <w:sz w:val="28"/>
          <w:szCs w:val="28"/>
          <w:lang w:val="en-US" w:eastAsia="zh-CN" w:bidi="ar"/>
        </w:rPr>
        <w:t>深交所铁道债托管申请表</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84"/>
        <w:gridCol w:w="3072"/>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12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承销机构名称</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联系人</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12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铁道债代码</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12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铁道债简称</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托管总量（手，1手=1000元）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12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深交所铁道债托管明细数据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投资者名称</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120" w:afterAutospacing="0"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投资者深交所证券帐户</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投资者托管数量（手）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17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napToGrid w:val="0"/>
              <w:spacing w:before="0" w:beforeAutospacing="1" w:after="0" w:afterAutospacing="1" w:line="360" w:lineRule="auto"/>
              <w:ind w:left="352" w:right="18" w:hanging="18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c>
          <w:tcPr>
            <w:tcW w:w="206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djustRightInd w:val="0"/>
              <w:snapToGrid w:val="0"/>
              <w:spacing w:before="0" w:beforeAutospacing="1" w:after="0" w:afterAutospacing="1" w:line="360" w:lineRule="auto"/>
              <w:ind w:left="0" w:right="0"/>
              <w:jc w:val="center"/>
              <w:rPr>
                <w:rFonts w:hint="default" w:ascii="宋体" w:hAnsi="宋体" w:eastAsia="宋体" w:cs="宋体"/>
                <w:sz w:val="24"/>
                <w:szCs w:val="24"/>
              </w:rPr>
            </w:pPr>
            <w:r>
              <w:rPr>
                <w:rFonts w:hint="eastAsia" w:ascii="宋体" w:hAnsi="宋体" w:eastAsia="宋体" w:cs="宋体"/>
                <w:kern w:val="2"/>
                <w:sz w:val="24"/>
                <w:szCs w:val="24"/>
                <w:lang w:val="en-US" w:eastAsia="zh-CN" w:bidi="ar"/>
              </w:rPr>
              <w:t> </w:t>
            </w:r>
          </w:p>
        </w:tc>
      </w:tr>
    </w:tbl>
    <w:p>
      <w:pPr>
        <w:keepNext w:val="0"/>
        <w:keepLines w:val="0"/>
        <w:widowControl/>
        <w:suppressLineNumbers w:val="0"/>
        <w:adjustRightInd w:val="0"/>
        <w:snapToGrid w:val="0"/>
        <w:spacing w:before="0" w:beforeLines="0" w:beforeAutospacing="0" w:after="0" w:afterLines="0" w:afterAutospacing="0" w:line="360" w:lineRule="auto"/>
        <w:ind w:left="0" w:right="0"/>
        <w:jc w:val="center"/>
        <w:rPr>
          <w:rFonts w:hint="eastAsia" w:ascii="宋体" w:hAnsi="宋体" w:eastAsia="宋体" w:cs="宋体"/>
          <w:sz w:val="24"/>
          <w:szCs w:val="24"/>
        </w:rPr>
      </w:pPr>
      <w:r>
        <w:rPr>
          <w:rFonts w:hint="eastAsia" w:ascii="宋体" w:hAnsi="宋体" w:eastAsia="宋体" w:cs="宋体"/>
          <w:spacing w:val="100"/>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right"/>
        <w:rPr>
          <w:rFonts w:hint="eastAsia" w:ascii="宋体" w:hAnsi="宋体" w:eastAsia="宋体" w:cs="宋体"/>
          <w:sz w:val="24"/>
          <w:szCs w:val="24"/>
        </w:rPr>
      </w:pPr>
      <w:r>
        <w:rPr>
          <w:rFonts w:hint="eastAsia" w:ascii="宋体" w:hAnsi="宋体" w:eastAsia="宋体" w:cs="宋体"/>
          <w:kern w:val="2"/>
          <w:sz w:val="24"/>
          <w:szCs w:val="24"/>
          <w:lang w:val="en-US" w:eastAsia="zh-CN" w:bidi="ar"/>
        </w:rPr>
        <w:t>承销商盖章</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42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 xml:space="preserve"> </w:t>
      </w:r>
    </w:p>
    <w:p>
      <w:pPr>
        <w:keepNext w:val="0"/>
        <w:keepLines w:val="0"/>
        <w:widowControl/>
        <w:suppressLineNumbers w:val="0"/>
        <w:adjustRightInd w:val="0"/>
        <w:snapToGrid w:val="0"/>
        <w:spacing w:before="0" w:beforeLines="0" w:beforeAutospacing="0" w:after="0" w:afterLines="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深交所债券业务中心联系人：赵书杰</w:t>
      </w:r>
    </w:p>
    <w:p>
      <w:pPr>
        <w:keepNext w:val="0"/>
        <w:keepLines w:val="0"/>
        <w:widowControl/>
        <w:suppressLineNumbers w:val="0"/>
        <w:adjustRightInd w:val="0"/>
        <w:snapToGrid w:val="0"/>
        <w:spacing w:before="0" w:beforeLines="0" w:beforeAutospacing="0" w:after="0" w:afterLines="0" w:afterAutospacing="0" w:line="360" w:lineRule="auto"/>
        <w:ind w:left="0" w:right="0" w:firstLine="0"/>
        <w:jc w:val="left"/>
        <w:rPr>
          <w:rFonts w:hint="eastAsia" w:ascii="宋体" w:hAnsi="宋体" w:eastAsia="宋体" w:cs="宋体"/>
          <w:sz w:val="24"/>
          <w:szCs w:val="24"/>
        </w:rPr>
      </w:pPr>
      <w:r>
        <w:rPr>
          <w:rFonts w:hint="eastAsia" w:ascii="宋体" w:hAnsi="宋体" w:eastAsia="宋体" w:cs="宋体"/>
          <w:kern w:val="2"/>
          <w:sz w:val="24"/>
          <w:szCs w:val="24"/>
          <w:lang w:val="en-US" w:eastAsia="zh-CN" w:bidi="ar"/>
        </w:rPr>
        <w:t>电话：0755-88666352</w:t>
      </w:r>
    </w:p>
    <w:p>
      <w:pPr>
        <w:widowControl/>
        <w:adjustRightInd w:val="0"/>
        <w:snapToGrid w:val="0"/>
        <w:spacing w:beforeLines="0" w:afterLines="0" w:line="360" w:lineRule="auto"/>
        <w:jc w:val="left"/>
        <w:outlineLvl w:val="9"/>
        <w:rPr>
          <w:rFonts w:hint="eastAsia" w:ascii="宋体" w:hAnsi="宋体" w:eastAsia="宋体" w:cs="宋体"/>
          <w:b w:val="0"/>
          <w:bCs w:val="0"/>
          <w:sz w:val="24"/>
          <w:szCs w:val="24"/>
        </w:rPr>
      </w:pPr>
      <w:r>
        <w:rPr>
          <w:rFonts w:hint="eastAsia" w:ascii="宋体" w:hAnsi="宋体" w:eastAsia="宋体" w:cs="宋体"/>
          <w:kern w:val="2"/>
          <w:sz w:val="24"/>
          <w:szCs w:val="24"/>
          <w:lang w:val="en-US" w:eastAsia="zh-CN" w:bidi="ar"/>
        </w:rPr>
        <w:t>邮箱:szsebond@szse.cn</w:t>
      </w:r>
    </w:p>
    <w:bookmarkEnd w:id="605"/>
    <w:bookmarkEnd w:id="606"/>
    <w:bookmarkEnd w:id="607"/>
    <w:bookmarkEnd w:id="608"/>
    <w:p>
      <w:pPr>
        <w:pStyle w:val="3"/>
        <w:widowControl/>
        <w:tabs>
          <w:tab w:val="left" w:pos="3110"/>
        </w:tabs>
        <w:adjustRightInd w:val="0"/>
        <w:snapToGrid w:val="0"/>
        <w:spacing w:line="360" w:lineRule="auto"/>
        <w:outlineLvl w:val="9"/>
        <w:rPr>
          <w:rFonts w:hint="eastAsia" w:ascii="宋体" w:hAnsi="宋体" w:eastAsia="宋体" w:cs="宋体"/>
          <w:b w:val="0"/>
          <w:bCs w:val="0"/>
          <w:sz w:val="24"/>
          <w:szCs w:val="24"/>
        </w:rPr>
        <w:sectPr>
          <w:pgSz w:w="11910" w:h="16840"/>
          <w:pgMar w:top="1420" w:right="1660" w:bottom="1780" w:left="1660" w:header="852" w:footer="1583" w:gutter="0"/>
          <w:pgNumType w:fmt="decimal"/>
          <w:cols w:space="720" w:num="1"/>
          <w:formProt w:val="1"/>
          <w:docGrid w:linePitch="286" w:charSpace="0"/>
        </w:sectPr>
      </w:pPr>
      <w:bookmarkStart w:id="663" w:name="_Toc1826466339"/>
      <w:bookmarkStart w:id="664" w:name="_Toc652768938"/>
      <w:bookmarkStart w:id="665" w:name="_Toc27122"/>
      <w:bookmarkStart w:id="666" w:name="_Toc23527"/>
    </w:p>
    <w:p>
      <w:pPr>
        <w:pStyle w:val="3"/>
        <w:widowControl/>
        <w:adjustRightInd/>
        <w:snapToGrid/>
        <w:outlineLvl w:val="1"/>
        <w:rPr>
          <w:rFonts w:hint="eastAsia" w:ascii="仿宋" w:hAnsi="仿宋" w:eastAsia="仿宋" w:cs="仿宋"/>
          <w:b w:val="0"/>
          <w:bCs w:val="0"/>
          <w:sz w:val="32"/>
          <w:szCs w:val="32"/>
        </w:rPr>
      </w:pPr>
      <w:bookmarkStart w:id="667" w:name="_Toc15436"/>
      <w:bookmarkStart w:id="668" w:name="_Toc2824"/>
      <w:bookmarkStart w:id="669" w:name="_Toc16006"/>
      <w:bookmarkStart w:id="670" w:name="_Toc13751"/>
      <w:bookmarkStart w:id="671" w:name="_Toc16507"/>
      <w:bookmarkStart w:id="672" w:name="_Toc13000"/>
      <w:bookmarkStart w:id="673" w:name="_Toc1820"/>
      <w:bookmarkStart w:id="674" w:name="_Toc23239"/>
      <w:bookmarkStart w:id="675" w:name="_Toc3410"/>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
        </w:rPr>
        <w:t>2</w:t>
      </w:r>
      <w:r>
        <w:rPr>
          <w:rFonts w:hint="eastAsia" w:ascii="仿宋" w:hAnsi="仿宋" w:eastAsia="仿宋" w:cs="仿宋"/>
          <w:b w:val="0"/>
          <w:bCs w:val="0"/>
          <w:sz w:val="32"/>
          <w:szCs w:val="32"/>
          <w:lang w:val="en-US" w:eastAsia="zh-CN"/>
        </w:rPr>
        <w:t xml:space="preserve">3 </w:t>
      </w:r>
      <w:r>
        <w:rPr>
          <w:rFonts w:hint="eastAsia" w:ascii="仿宋" w:hAnsi="仿宋" w:eastAsia="仿宋" w:cs="仿宋"/>
          <w:b w:val="0"/>
          <w:bCs w:val="0"/>
          <w:sz w:val="32"/>
          <w:szCs w:val="32"/>
        </w:rPr>
        <w:t>资产支持专项计划发行公告</w:t>
      </w:r>
      <w:bookmarkEnd w:id="667"/>
      <w:bookmarkEnd w:id="668"/>
      <w:bookmarkEnd w:id="669"/>
      <w:bookmarkEnd w:id="670"/>
      <w:bookmarkEnd w:id="671"/>
      <w:bookmarkEnd w:id="672"/>
      <w:bookmarkEnd w:id="673"/>
      <w:bookmarkEnd w:id="674"/>
      <w:bookmarkEnd w:id="675"/>
    </w:p>
    <w:p>
      <w:pPr>
        <w:adjustRightInd w:val="0"/>
        <w:snapToGrid w:val="0"/>
        <w:jc w:val="center"/>
        <w:rPr>
          <w:rFonts w:hint="eastAsia" w:ascii="黑体" w:hAnsi="黑体" w:eastAsia="黑体" w:cs="黑体"/>
          <w:bCs/>
          <w:sz w:val="44"/>
          <w:szCs w:val="44"/>
          <w:lang w:bidi="ar"/>
        </w:rPr>
      </w:pPr>
    </w:p>
    <w:p>
      <w:pPr>
        <w:adjustRightInd w:val="0"/>
        <w:snapToGrid w:val="0"/>
        <w:jc w:val="center"/>
        <w:rPr>
          <w:rFonts w:hint="eastAsia" w:ascii="黑体" w:hAnsi="黑体" w:eastAsia="黑体" w:cs="黑体"/>
          <w:bCs/>
          <w:sz w:val="44"/>
          <w:szCs w:val="44"/>
          <w:lang w:bidi="ar"/>
        </w:rPr>
      </w:pPr>
    </w:p>
    <w:p>
      <w:pPr>
        <w:adjustRightInd w:val="0"/>
        <w:snapToGrid w:val="0"/>
        <w:jc w:val="center"/>
        <w:outlineLvl w:val="9"/>
        <w:rPr>
          <w:rFonts w:hint="eastAsia" w:ascii="黑体" w:hAnsi="黑体" w:eastAsia="黑体" w:cs="黑体"/>
          <w:bCs/>
          <w:sz w:val="44"/>
          <w:szCs w:val="44"/>
        </w:rPr>
      </w:pPr>
      <w:r>
        <w:rPr>
          <w:rFonts w:hint="eastAsia" w:ascii="黑体" w:hAnsi="黑体" w:eastAsia="黑体" w:cs="黑体"/>
          <w:bCs/>
          <w:sz w:val="44"/>
          <w:szCs w:val="44"/>
          <w:lang w:bidi="ar"/>
        </w:rPr>
        <w:t>【专项计划全称】</w:t>
      </w:r>
    </w:p>
    <w:p>
      <w:pPr>
        <w:adjustRightInd w:val="0"/>
        <w:snapToGrid w:val="0"/>
        <w:jc w:val="center"/>
        <w:rPr>
          <w:rFonts w:hint="eastAsia" w:ascii="黑体" w:hAnsi="黑体" w:eastAsia="黑体" w:cs="黑体"/>
          <w:bCs/>
          <w:sz w:val="44"/>
          <w:szCs w:val="44"/>
        </w:rPr>
      </w:pPr>
      <w:r>
        <w:rPr>
          <w:rFonts w:hint="eastAsia" w:ascii="黑体" w:hAnsi="黑体" w:eastAsia="黑体" w:cs="黑体"/>
          <w:bCs/>
          <w:sz w:val="44"/>
          <w:szCs w:val="44"/>
          <w:lang w:bidi="ar"/>
        </w:rPr>
        <w:t xml:space="preserve"> </w:t>
      </w:r>
    </w:p>
    <w:p>
      <w:pPr>
        <w:adjustRightInd w:val="0"/>
        <w:snapToGrid w:val="0"/>
        <w:jc w:val="center"/>
        <w:outlineLvl w:val="9"/>
        <w:rPr>
          <w:rFonts w:hint="eastAsia" w:ascii="黑体" w:hAnsi="黑体" w:eastAsia="黑体" w:cs="黑体"/>
          <w:bCs/>
          <w:sz w:val="44"/>
          <w:szCs w:val="44"/>
        </w:rPr>
      </w:pPr>
      <w:r>
        <w:rPr>
          <w:rFonts w:hint="eastAsia" w:ascii="黑体" w:hAnsi="黑体" w:eastAsia="黑体" w:cs="黑体"/>
          <w:bCs/>
          <w:sz w:val="44"/>
          <w:szCs w:val="44"/>
          <w:lang w:bidi="ar"/>
        </w:rPr>
        <w:t>发行公告</w:t>
      </w:r>
    </w:p>
    <w:p>
      <w:pPr>
        <w:adjustRightInd w:val="0"/>
        <w:snapToGrid w:val="0"/>
        <w:jc w:val="center"/>
        <w:outlineLvl w:val="9"/>
        <w:rPr>
          <w:rFonts w:hint="eastAsia" w:ascii="黑体" w:hAnsi="黑体" w:eastAsia="黑体" w:cs="黑体"/>
          <w:sz w:val="44"/>
          <w:szCs w:val="44"/>
        </w:rPr>
      </w:pPr>
      <w:r>
        <w:rPr>
          <w:rFonts w:hint="eastAsia" w:ascii="黑体" w:hAnsi="黑体" w:eastAsia="黑体" w:cs="黑体"/>
          <w:sz w:val="44"/>
          <w:szCs w:val="44"/>
          <w:lang w:bidi="ar"/>
        </w:rPr>
        <w:t>（内容可根据实际情况调整）</w:t>
      </w:r>
    </w:p>
    <w:p>
      <w:pPr>
        <w:adjustRightInd w:val="0"/>
        <w:snapToGrid w:val="0"/>
        <w:jc w:val="center"/>
        <w:rPr>
          <w:rFonts w:hint="eastAsia" w:ascii="黑体" w:hAnsi="黑体" w:eastAsia="黑体" w:cs="黑体"/>
          <w:bCs/>
          <w:sz w:val="44"/>
          <w:szCs w:val="44"/>
        </w:rPr>
      </w:pPr>
      <w:r>
        <w:rPr>
          <w:rFonts w:hint="eastAsia" w:ascii="黑体" w:hAnsi="黑体" w:eastAsia="黑体" w:cs="黑体"/>
          <w:bCs/>
          <w:sz w:val="44"/>
          <w:szCs w:val="44"/>
          <w:lang w:bidi="ar"/>
        </w:rPr>
        <w:t xml:space="preserve"> </w:t>
      </w:r>
    </w:p>
    <w:p>
      <w:pPr>
        <w:adjustRightInd w:val="0"/>
        <w:snapToGrid w:val="0"/>
        <w:jc w:val="center"/>
        <w:outlineLvl w:val="9"/>
        <w:rPr>
          <w:rFonts w:hint="eastAsia" w:ascii="黑体" w:hAnsi="黑体" w:eastAsia="黑体" w:cs="黑体"/>
          <w:bCs/>
          <w:sz w:val="44"/>
          <w:szCs w:val="44"/>
        </w:rPr>
      </w:pPr>
      <w:r>
        <w:rPr>
          <w:rFonts w:hint="eastAsia" w:ascii="黑体" w:hAnsi="黑体" w:eastAsia="黑体" w:cs="黑体"/>
          <w:bCs/>
          <w:sz w:val="44"/>
          <w:szCs w:val="44"/>
          <w:lang w:bidi="ar"/>
        </w:rPr>
        <w:t>【计划管理人/销售机构】</w:t>
      </w:r>
    </w:p>
    <w:p>
      <w:pPr>
        <w:adjustRightInd w:val="0"/>
        <w:snapToGrid w:val="0"/>
        <w:jc w:val="center"/>
        <w:rPr>
          <w:rFonts w:hint="eastAsia" w:ascii="黑体" w:hAnsi="黑体" w:eastAsia="黑体" w:cs="黑体"/>
          <w:bCs/>
          <w:sz w:val="44"/>
          <w:szCs w:val="44"/>
        </w:rPr>
      </w:pPr>
      <w:r>
        <w:rPr>
          <w:rFonts w:hint="eastAsia" w:ascii="黑体" w:hAnsi="黑体" w:eastAsia="黑体" w:cs="黑体"/>
          <w:bCs/>
          <w:sz w:val="44"/>
          <w:szCs w:val="44"/>
          <w:lang w:bidi="ar"/>
        </w:rPr>
        <w:t xml:space="preserve"> </w:t>
      </w:r>
    </w:p>
    <w:p>
      <w:pPr>
        <w:adjustRightInd w:val="0"/>
        <w:snapToGrid w:val="0"/>
        <w:jc w:val="center"/>
        <w:rPr>
          <w:rFonts w:hint="eastAsia" w:ascii="黑体" w:hAnsi="黑体" w:eastAsia="黑体" w:cs="黑体"/>
          <w:bCs/>
          <w:sz w:val="44"/>
          <w:szCs w:val="44"/>
        </w:rPr>
      </w:pPr>
      <w:r>
        <w:rPr>
          <w:rFonts w:hint="eastAsia" w:ascii="黑体" w:hAnsi="黑体" w:eastAsia="黑体" w:cs="黑体"/>
          <w:bCs/>
          <w:sz w:val="44"/>
          <w:szCs w:val="44"/>
          <w:lang w:bidi="ar"/>
        </w:rPr>
        <w:t xml:space="preserve"> </w:t>
      </w:r>
    </w:p>
    <w:p>
      <w:pPr>
        <w:adjustRightInd w:val="0"/>
        <w:snapToGrid w:val="0"/>
        <w:jc w:val="center"/>
        <w:outlineLvl w:val="9"/>
        <w:rPr>
          <w:rFonts w:hint="eastAsia" w:ascii="黑体" w:hAnsi="黑体" w:eastAsia="黑体" w:cs="黑体"/>
          <w:bCs/>
          <w:sz w:val="44"/>
          <w:szCs w:val="44"/>
        </w:rPr>
      </w:pPr>
      <w:r>
        <w:rPr>
          <w:rFonts w:hint="eastAsia" w:ascii="黑体" w:hAnsi="黑体" w:eastAsia="黑体" w:cs="黑体"/>
          <w:bCs/>
          <w:sz w:val="44"/>
          <w:szCs w:val="44"/>
          <w:lang w:bidi="ar"/>
        </w:rPr>
        <w:t>【披露日期】</w:t>
      </w:r>
    </w:p>
    <w:p>
      <w:pPr>
        <w:adjustRightInd w:val="0"/>
        <w:snapToGrid w:val="0"/>
        <w:jc w:val="center"/>
        <w:rPr>
          <w:rFonts w:hint="eastAsia" w:ascii="仿宋" w:hAnsi="仿宋" w:eastAsia="仿宋" w:cs="仿宋"/>
          <w:sz w:val="32"/>
          <w:szCs w:val="32"/>
        </w:rPr>
      </w:pPr>
      <w:r>
        <w:rPr>
          <w:rFonts w:hint="eastAsia" w:ascii="仿宋" w:hAnsi="仿宋" w:eastAsia="仿宋" w:cs="仿宋"/>
          <w:sz w:val="32"/>
          <w:szCs w:val="32"/>
          <w:lang w:bidi="ar"/>
        </w:rPr>
        <w:br w:type="page"/>
      </w:r>
    </w:p>
    <w:p>
      <w:pPr>
        <w:adjustRightInd w:val="0"/>
        <w:snapToGrid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重要事项提示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根据深圳证券交易所20XX年XX月XX日出具的《关于XXXX“XXXX资产支持专项计划”符合深圳证券交易所挂牌条件的无异议函》（深证函[20XX]XXX号），【计划管理人全称】（以下简称“计划管理人”）拟作为管理人向专业机构投资者发行设立“XXXX资产支持专项计划”（以下简称本专项计划或专项计划）。</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“XXXX资产支持专项计划”发行规模不超过【】亿元。</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2、本期证券每张面值为100元，发行价格为人民币100元/张。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3、经计划管理人核查，本期资产支持专项计划发行符合《证券公司及基金管理公司子公司资产证券化业务管理规定》（以下简称《管理规定》）、《深圳证券交易所资产支持证券业务规则》等相关规定。自本期专项计划取得前述《无异议函》至本公告出具日，本专项计划基础资产不存在中国基金业协会《资产证券化业务基础资产负面清单指引》附件规定的各情形或其他限制发行情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4、本次发行结束后，计划管理人将尽快向深圳证券交易所提出关于本期资产支持证券挂牌转让的申请。本期资产支持证券符合在深圳证券交易所进行挂牌转让的条件。因专项计划基础资产经营与收益等情况变化导致的投资风险和流动性风险，由资产支持证券投资者自行承担，本期资产支持证券不能在除深圳证券交易所以外的其他交易场所挂牌转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5、根据《深圳证券交易所债券交易规则》的规定，采用点击成交方式的，申报数量应当为10万元面额或者其整数倍；采用询价成交、竞买成交方式的，申报数量应当不低于10万元面额，且为1000元面额整数倍；采用协商成交方式的，申报数量应当不低于1000元面额，且为100元面额整数倍。请投资者关注相关交易申报数量要求。</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6、期限：【】</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7、【增信措施（如有）】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8、【特殊权利条款（如有）】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9、【原始权益人或者其关联方的自持情况（如有）】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10、本期资产支持证券面向符合《管理规定》以及《深圳证券交易所债券市场投资者适当性管理办法（2023年修订）》的专业机构投资者发行。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11、投资者不得非法利用他人账户或资金账户进行认购，也不得违规融资或替代违规融资认购。投资者认购本期资产支持证券应遵守相关法律法规和中国证券监督管理委员会的有关规定，并自行承担相应的法律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12、敬请投资者注意本期资产支持证券的发行方式、发行对象、发行数量、发行时间、认购办法、认购程序、认购价格和认购资金缴纳等具体规定。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13、本公告仅对本期资产支持证券发行的有关事项进行说明，不构成针对本期资产支持证券的任何投资建议。投资者欲详细了解本期资产支持证券情况，请仔细阅读《【专项计划全称】计划说明书》及相关文件。</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14、发行公告中关于本专项计划的表述如有与计划说明书不一致的，以计划说明书为准。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br w:type="page"/>
      </w:r>
    </w:p>
    <w:p>
      <w:pPr>
        <w:adjustRightInd w:val="0"/>
        <w:snapToGrid w:val="0"/>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释义</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除非特别提示，本公告的下列词语含义如下：</w:t>
      </w:r>
    </w:p>
    <w:tbl>
      <w:tblPr>
        <w:tblStyle w:val="30"/>
        <w:tblW w:w="8379" w:type="dxa"/>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2559"/>
        <w:gridCol w:w="456"/>
        <w:gridCol w:w="5364"/>
      </w:tblGrid>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double" w:color="auto" w:sz="2"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double" w:color="auto" w:sz="2"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double" w:color="auto" w:sz="2"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r>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559" w:type="dxa"/>
            <w:tcBorders>
              <w:top w:val="single" w:color="auto" w:sz="4" w:space="0"/>
              <w:left w:val="double" w:color="auto" w:sz="2"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c>
          <w:tcPr>
            <w:tcW w:w="5364" w:type="dxa"/>
            <w:tcBorders>
              <w:top w:val="single" w:color="auto" w:sz="4" w:space="0"/>
              <w:left w:val="single" w:color="auto" w:sz="4" w:space="0"/>
              <w:bottom w:val="single" w:color="auto" w:sz="4" w:space="0"/>
              <w:right w:val="double" w:color="auto" w:sz="2" w:space="0"/>
            </w:tcBorders>
            <w:shd w:val="clear" w:color="auto" w:fill="auto"/>
            <w:vAlign w:val="center"/>
          </w:tcPr>
          <w:p>
            <w:pPr>
              <w:keepNext w:val="0"/>
              <w:keepLines w:val="0"/>
              <w:suppressLineNumbers w:val="0"/>
              <w:adjustRightInd w:val="0"/>
              <w:snapToGrid w:val="0"/>
              <w:spacing w:before="0" w:beforeAutospacing="0" w:after="0" w:afterAutospacing="0"/>
              <w:ind w:left="0" w:right="0"/>
              <w:rPr>
                <w:rFonts w:hint="eastAsia" w:ascii="宋体" w:hAnsi="宋体" w:eastAsia="宋体" w:cs="宋体"/>
                <w:kern w:val="0"/>
                <w:sz w:val="24"/>
                <w:szCs w:val="24"/>
              </w:rPr>
            </w:pPr>
          </w:p>
        </w:tc>
      </w:tr>
    </w:tbl>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br w:type="page"/>
      </w:r>
    </w:p>
    <w:p>
      <w:pPr>
        <w:pStyle w:val="27"/>
        <w:widowControl w:val="0"/>
        <w:numPr>
          <w:ilvl w:val="0"/>
          <w:numId w:val="11"/>
        </w:numPr>
        <w:adjustRightInd w:val="0"/>
        <w:snapToGrid w:val="0"/>
        <w:spacing w:before="0" w:beforeAutospacing="0" w:after="0" w:afterAutospacing="0" w:line="360" w:lineRule="auto"/>
        <w:jc w:val="both"/>
        <w:outlineLvl w:val="9"/>
        <w:rPr>
          <w:rFonts w:hint="eastAsia" w:ascii="宋体" w:hAnsi="宋体" w:eastAsia="宋体" w:cs="宋体"/>
          <w:b/>
          <w:kern w:val="2"/>
          <w:sz w:val="24"/>
          <w:szCs w:val="24"/>
        </w:rPr>
      </w:pPr>
      <w:r>
        <w:rPr>
          <w:rFonts w:hint="eastAsia" w:ascii="宋体" w:hAnsi="宋体" w:eastAsia="宋体" w:cs="宋体"/>
          <w:b/>
          <w:kern w:val="2"/>
          <w:sz w:val="24"/>
          <w:szCs w:val="24"/>
          <w:lang w:bidi="ar"/>
        </w:rPr>
        <w:t>本期资产支持证券发行基本情况</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1、各档资产支持证券基本情况：</w:t>
      </w:r>
    </w:p>
    <w:tbl>
      <w:tblPr>
        <w:tblStyle w:val="31"/>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76"/>
        <w:gridCol w:w="1276"/>
        <w:gridCol w:w="1276"/>
        <w:gridCol w:w="1276"/>
        <w:gridCol w:w="162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资产支持证券简称</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lang w:val="en-US" w:eastAsia="zh-CN" w:bidi="ar"/>
              </w:rPr>
            </w:pPr>
            <w:r>
              <w:rPr>
                <w:rFonts w:hint="eastAsia" w:ascii="宋体" w:hAnsi="宋体" w:eastAsia="宋体" w:cs="宋体"/>
                <w:sz w:val="24"/>
                <w:szCs w:val="24"/>
                <w:lang w:bidi="ar"/>
              </w:rPr>
              <w:t>证券简称</w:t>
            </w:r>
            <w:r>
              <w:rPr>
                <w:rFonts w:hint="eastAsia" w:ascii="宋体" w:hAnsi="宋体" w:eastAsia="宋体" w:cs="宋体"/>
                <w:sz w:val="24"/>
                <w:szCs w:val="24"/>
                <w:lang w:val="en-US" w:eastAsia="zh-CN" w:bidi="ar"/>
              </w:rPr>
              <w:t>(短)</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拟发行规模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信用评级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发行期限</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还本付息期限</w:t>
            </w: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还本付息方式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（优先级A）</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（优先级B）</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（优先级C）</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（次级）</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lang w:bidi="ar"/>
              </w:rPr>
              <w:t>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bidi="ar"/>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c>
          <w:tcPr>
            <w:tcW w:w="1550" w:type="dxa"/>
            <w:tcBorders>
              <w:top w:val="single" w:color="auto" w:sz="4" w:space="0"/>
              <w:left w:val="single" w:color="auto" w:sz="4" w:space="0"/>
              <w:bottom w:val="single" w:color="auto" w:sz="4" w:space="0"/>
              <w:right w:val="single" w:color="auto" w:sz="4" w:space="0"/>
            </w:tcBorders>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rPr>
            </w:pPr>
          </w:p>
        </w:tc>
      </w:tr>
    </w:tbl>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2、票面金额及发行价格：本期资产支持证券票面金额为100元，按面值平价发行。</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3、资产支持证券利率及确定方式：</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4、起息日：【】年【】月【】日。</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5、付息、兑付方式：【】。</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6、付息日：（示例：【】年至【】年每年的【】月【】日为上一个计息年度的付息日（如遇法定及政府指定节假日或休息日，则顺延至其后的第1个交易日；顺延期间付息款项不另计利息）。如投资者行使回售选择权，则其回售部分证券的付息日为【】年至【】年每年的【】月【】日（如遇法定及政府指定节假日或休息日，则顺延至其后的第1个交易日；顺延期间付息款项不另计利息）。）</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7、兑付日：（示例：本期证券的兑付日为【】年【】月【】日（如遇法定及政府指定节假日或休息日，则顺延至其后的第1个交易日；顺延期间兑付款项不另计利息）。如投资者行使回售选择权，则其回售部分证券的兑付日为【】年【】月【】日（如遇法定及政府指定节假日或休息日，则顺延至其后的第1个交易日；顺延期间兑付款项不另计利息）。）</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8、【增信措施（如有）】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9、【特殊权利条款（如有）】</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10、【原始权益人</w:t>
      </w:r>
      <w:r>
        <w:rPr>
          <w:rFonts w:hint="eastAsia" w:ascii="宋体" w:hAnsi="宋体" w:eastAsia="宋体" w:cs="宋体"/>
          <w:sz w:val="24"/>
          <w:szCs w:val="24"/>
          <w:lang w:bidi="ar"/>
        </w:rPr>
        <w:t>或者其关联方的自持情况（如有）</w:t>
      </w:r>
      <w:r>
        <w:rPr>
          <w:rFonts w:hint="eastAsia" w:ascii="宋体" w:hAnsi="宋体" w:eastAsia="宋体" w:cs="宋体"/>
          <w:kern w:val="0"/>
          <w:sz w:val="24"/>
          <w:szCs w:val="24"/>
          <w:lang w:bidi="ar"/>
        </w:rPr>
        <w:t>】</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11、信用级别及资信评级机构：根据【】出具的《【专项计划全称】信用评级报告》，本期专项计划优先A级信用评级为【】，优先B级信用评级为【】，……。在本专项计划的存续期内，资信评级机构每年将对【本期资产支持证券信用等级】进行一次跟踪评级。</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12、计划管理人：【】。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13、销售机构：【】。</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14、发行对象：持有中国证券登记结算有限责任公司深圳分公司A股证券账户的专业机构投资者（法律、法规禁止购买者除外）。</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15、发行方式：</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16、承销方式：</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17、募集资金用途：</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18、拟挂牌场所：深圳证券交易所。</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19、税务提示：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20、与本期资产支持证券发行有关的时间安排：</w:t>
      </w:r>
    </w:p>
    <w:p>
      <w:pPr>
        <w:adjustRightInd w:val="0"/>
        <w:snapToGrid w:val="0"/>
        <w:rPr>
          <w:rFonts w:hint="eastAsia" w:ascii="宋体" w:hAnsi="宋体" w:eastAsia="宋体" w:cs="宋体"/>
          <w:sz w:val="24"/>
          <w:szCs w:val="24"/>
        </w:rPr>
      </w:pPr>
      <w:r>
        <w:rPr>
          <w:rFonts w:hint="eastAsia" w:ascii="宋体" w:hAnsi="宋体" w:eastAsia="宋体" w:cs="宋体"/>
          <w:sz w:val="24"/>
          <w:szCs w:val="24"/>
          <w:lang w:bidi="ar"/>
        </w:rPr>
        <w:t xml:space="preserve"> </w:t>
      </w:r>
    </w:p>
    <w:tbl>
      <w:tblPr>
        <w:tblStyle w:val="3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5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lang w:bidi="ar"/>
              </w:rPr>
              <w:t>日期</w:t>
            </w:r>
          </w:p>
        </w:tc>
        <w:tc>
          <w:tcPr>
            <w:tcW w:w="5295"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lang w:bidi="ar"/>
              </w:rPr>
              <w:t>发行安排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不晚于T-2日</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披露计划说明书、发行公告、法律意见书、评级报告（如有）、风险揭示书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T-1日</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szCs w:val="24"/>
                <w:lang w:bidi="ar"/>
              </w:rPr>
            </w:pPr>
            <w:r>
              <w:rPr>
                <w:rFonts w:hint="eastAsia" w:ascii="宋体" w:hAnsi="宋体" w:eastAsia="宋体" w:cs="宋体"/>
                <w:sz w:val="24"/>
                <w:szCs w:val="24"/>
                <w:lang w:bidi="ar"/>
              </w:rPr>
              <w:t>网下询价（簿记建档发行</w:t>
            </w:r>
            <w:r>
              <w:rPr>
                <w:rFonts w:hint="eastAsia" w:ascii="宋体" w:hAnsi="宋体" w:eastAsia="宋体" w:cs="宋体"/>
                <w:sz w:val="24"/>
                <w:szCs w:val="24"/>
                <w:lang w:val="en-US" w:eastAsia="zh-CN" w:bidi="ar"/>
              </w:rPr>
              <w:t>/</w:t>
            </w:r>
            <w:r>
              <w:rPr>
                <w:rFonts w:hint="eastAsia" w:ascii="宋体" w:hAnsi="宋体" w:eastAsia="宋体" w:cs="宋体"/>
                <w:sz w:val="24"/>
                <w:szCs w:val="24"/>
                <w:lang w:eastAsia="zh-CN" w:bidi="ar"/>
              </w:rPr>
              <w:t>协议发行</w:t>
            </w:r>
            <w:r>
              <w:rPr>
                <w:rFonts w:hint="eastAsia" w:ascii="宋体" w:hAnsi="宋体" w:eastAsia="宋体" w:cs="宋体"/>
                <w:sz w:val="24"/>
                <w:szCs w:val="24"/>
                <w:lang w:bidi="ar"/>
              </w:rPr>
              <w:t>）</w:t>
            </w:r>
          </w:p>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确定预期收益率</w:t>
            </w:r>
          </w:p>
          <w:p>
            <w:pPr>
              <w:keepNext w:val="0"/>
              <w:keepLines w:val="0"/>
              <w:widowControl/>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公告最终预期收益率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T日</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网下认购起始日（协议认购）</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网下发行起始日（簿记建档发行）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S日</w:t>
            </w:r>
          </w:p>
          <w:p>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bidi="ar"/>
              </w:rPr>
              <w:t>（【】年【】月【】日）</w:t>
            </w:r>
          </w:p>
        </w:tc>
        <w:tc>
          <w:tcPr>
            <w:tcW w:w="5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网下认购结束日（协议认购）</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网下发行结束日（簿记建档发行）</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专项计划发行结果公告日</w:t>
            </w:r>
          </w:p>
          <w:p>
            <w:pPr>
              <w:keepNext w:val="0"/>
              <w:keepLines w:val="0"/>
              <w:suppressLineNumbers w:val="0"/>
              <w:adjustRightInd w:val="0"/>
              <w:snapToGrid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lang w:bidi="ar"/>
              </w:rPr>
              <w:t>披露成立公告</w:t>
            </w:r>
          </w:p>
        </w:tc>
      </w:tr>
    </w:tbl>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注：T日为发行首日，S日为发行结束日。上述日期均为交易日。如遇重大突发事件影响发行，计划管理人将及时公告，修改发行日程。</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二、网下向投资者询价（如为簿记建档发行）</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（一）网下投资者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本次网下询价的对象为持有中国证券登记结算有限责任公司深圳分公司A股证券账户的【专业机构投资者（法律、法规另有规定的除外）】。【专业机构投资者】的申购资金来源必须符合国家有关规定。</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（二）询价预设区间</w:t>
      </w:r>
      <w:r>
        <w:rPr>
          <w:rFonts w:hint="eastAsia" w:ascii="宋体" w:hAnsi="宋体" w:eastAsia="宋体" w:cs="宋体"/>
          <w:b/>
          <w:sz w:val="24"/>
          <w:szCs w:val="24"/>
          <w:lang w:val="en-US" w:eastAsia="zh-CN" w:bidi="ar"/>
        </w:rPr>
        <w:t>/</w:t>
      </w:r>
      <w:r>
        <w:rPr>
          <w:rFonts w:hint="eastAsia" w:ascii="Calibri" w:hAnsi="Calibri" w:eastAsia="宋体" w:cs="宋体"/>
          <w:b/>
          <w:sz w:val="24"/>
          <w:lang w:val="en-US" w:eastAsia="zh-CN" w:bidi="ar"/>
        </w:rPr>
        <w:t>发行价格簿记建档区间</w:t>
      </w:r>
      <w:r>
        <w:rPr>
          <w:rFonts w:hint="eastAsia" w:ascii="宋体" w:hAnsi="宋体" w:eastAsia="宋体" w:cs="宋体"/>
          <w:b/>
          <w:sz w:val="24"/>
          <w:szCs w:val="24"/>
          <w:lang w:bidi="ar"/>
        </w:rPr>
        <w:t>及预期收益率确定方法</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（三）询价时间</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（四）询价办法</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sz w:val="24"/>
          <w:szCs w:val="24"/>
          <w:lang w:bidi="ar"/>
        </w:rPr>
        <w:t>三、网下发行</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说明发行对象、发行数量、发行价格、发行时间、认购办法、配售原则、缴款事项及违约认购的处理。</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四、风险提示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计划管理人就已知范围已充分揭示本次发行可能涉及的风险事项，详细风险揭示条款参见《【专项计划全称】计划说明书》《【专项计划全称】标准条款》与《【专项计划全称】认购协议》。</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五、认购费用</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本次发行不向投资者收取佣金、过户费、印花税等费用。</w:t>
      </w:r>
    </w:p>
    <w:p>
      <w:pPr>
        <w:adjustRightInd w:val="0"/>
        <w:snapToGrid w:val="0"/>
        <w:spacing w:line="360" w:lineRule="auto"/>
        <w:ind w:firstLine="482" w:firstLineChars="200"/>
        <w:outlineLvl w:val="9"/>
        <w:rPr>
          <w:rFonts w:hint="eastAsia" w:ascii="宋体" w:hAnsi="宋体" w:eastAsia="宋体" w:cs="宋体"/>
          <w:b/>
          <w:sz w:val="24"/>
          <w:szCs w:val="24"/>
        </w:rPr>
      </w:pPr>
      <w:r>
        <w:rPr>
          <w:rFonts w:hint="eastAsia" w:ascii="宋体" w:hAnsi="宋体" w:eastAsia="宋体" w:cs="宋体"/>
          <w:b/>
          <w:sz w:val="24"/>
          <w:szCs w:val="24"/>
          <w:lang w:bidi="ar"/>
        </w:rPr>
        <w:t>六、计划管理人和销售机构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计划管理人：【】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办公地址：【】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电话：【】</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传真：【】</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邮政编码：【】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销售机构：【】</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办公地址：【】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电话：【】</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传真：【】</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邮政编码：【】</w:t>
      </w:r>
    </w:p>
    <w:p>
      <w:pPr>
        <w:adjustRightInd w:val="0"/>
        <w:snapToGrid w:val="0"/>
        <w:spacing w:line="360" w:lineRule="auto"/>
        <w:ind w:firstLine="480" w:firstLineChars="200"/>
        <w:rPr>
          <w:rFonts w:hint="eastAsia" w:ascii="宋体" w:hAnsi="宋体" w:eastAsia="宋体" w:cs="宋体"/>
          <w:sz w:val="24"/>
          <w:szCs w:val="24"/>
          <w:lang w:bidi="ar"/>
        </w:rPr>
      </w:pP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（本页无正文，为《【专项计划全称】发行公告》之签章页）</w:t>
      </w:r>
    </w:p>
    <w:p>
      <w:pPr>
        <w:adjustRightInd w:val="0"/>
        <w:snapToGrid w:val="0"/>
        <w:spacing w:line="360" w:lineRule="auto"/>
        <w:ind w:firstLine="480" w:firstLineChars="200"/>
        <w:jc w:val="right"/>
        <w:rPr>
          <w:rFonts w:hint="eastAsia" w:ascii="宋体" w:hAnsi="宋体" w:eastAsia="宋体" w:cs="宋体"/>
          <w:sz w:val="24"/>
          <w:szCs w:val="24"/>
          <w:lang w:bidi="ar"/>
        </w:rPr>
      </w:pPr>
      <w:r>
        <w:rPr>
          <w:rFonts w:hint="eastAsia" w:ascii="宋体" w:hAnsi="宋体" w:eastAsia="宋体" w:cs="宋体"/>
          <w:sz w:val="24"/>
          <w:szCs w:val="24"/>
          <w:lang w:bidi="ar"/>
        </w:rPr>
        <w:t>计划管理人：【</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w:t>
      </w:r>
    </w:p>
    <w:p>
      <w:pPr>
        <w:adjustRightInd w:val="0"/>
        <w:snapToGrid w:val="0"/>
        <w:spacing w:line="360" w:lineRule="auto"/>
        <w:ind w:firstLine="480" w:firstLineChars="200"/>
        <w:jc w:val="right"/>
        <w:rPr>
          <w:rFonts w:hint="eastAsia" w:ascii="仿宋" w:hAnsi="仿宋" w:eastAsia="仿宋" w:cs="仿宋"/>
          <w:sz w:val="21"/>
          <w:szCs w:val="21"/>
          <w:lang w:bidi="ar"/>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仿宋" w:hAnsi="仿宋" w:eastAsia="仿宋" w:cs="仿宋"/>
          <w:sz w:val="21"/>
          <w:szCs w:val="21"/>
          <w:lang w:bidi="ar"/>
        </w:rPr>
        <w:t>】日</w:t>
      </w:r>
    </w:p>
    <w:p>
      <w:pPr>
        <w:adjustRightInd w:val="0"/>
        <w:snapToGrid w:val="0"/>
        <w:spacing w:line="360" w:lineRule="auto"/>
        <w:ind w:firstLine="420" w:firstLineChars="200"/>
        <w:rPr>
          <w:rFonts w:hint="eastAsia" w:ascii="仿宋" w:hAnsi="仿宋" w:eastAsia="仿宋" w:cs="仿宋"/>
          <w:sz w:val="21"/>
          <w:szCs w:val="21"/>
          <w:lang w:bidi="ar"/>
        </w:rPr>
        <w:sectPr>
          <w:pgSz w:w="11910" w:h="16840"/>
          <w:pgMar w:top="1420" w:right="1660" w:bottom="1780" w:left="1660" w:header="852" w:footer="1583" w:gutter="0"/>
          <w:pgNumType w:fmt="decimal"/>
          <w:cols w:space="720" w:num="1"/>
          <w:formProt w:val="1"/>
          <w:docGrid w:linePitch="286" w:charSpace="0"/>
        </w:sectPr>
      </w:pPr>
    </w:p>
    <w:p>
      <w:pPr>
        <w:pStyle w:val="3"/>
        <w:widowControl/>
        <w:adjustRightInd/>
        <w:snapToGrid/>
        <w:outlineLvl w:val="1"/>
        <w:rPr>
          <w:rFonts w:hint="eastAsia" w:ascii="仿宋" w:hAnsi="仿宋" w:eastAsia="仿宋" w:cs="仿宋"/>
          <w:b w:val="0"/>
          <w:bCs w:val="0"/>
          <w:sz w:val="32"/>
          <w:szCs w:val="32"/>
        </w:rPr>
      </w:pPr>
      <w:bookmarkStart w:id="676" w:name="_Toc20096"/>
      <w:bookmarkStart w:id="677" w:name="_Toc11777"/>
      <w:bookmarkStart w:id="678" w:name="_Toc5974"/>
      <w:bookmarkStart w:id="679" w:name="_Toc1169"/>
      <w:bookmarkStart w:id="680" w:name="_Toc1421"/>
      <w:bookmarkStart w:id="681" w:name="_Toc2430"/>
      <w:bookmarkStart w:id="682" w:name="_Toc13579"/>
      <w:bookmarkStart w:id="683" w:name="_Toc30440"/>
      <w:bookmarkStart w:id="684" w:name="_Toc2051"/>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取得无异议函后是否发生变化的专项说明</w:t>
      </w:r>
      <w:bookmarkEnd w:id="676"/>
      <w:bookmarkEnd w:id="677"/>
      <w:bookmarkEnd w:id="678"/>
      <w:bookmarkEnd w:id="679"/>
      <w:bookmarkEnd w:id="680"/>
      <w:bookmarkEnd w:id="681"/>
      <w:bookmarkEnd w:id="682"/>
      <w:bookmarkEnd w:id="683"/>
      <w:bookmarkEnd w:id="684"/>
    </w:p>
    <w:p>
      <w:pPr>
        <w:keepNext w:val="0"/>
        <w:keepLines w:val="0"/>
        <w:widowControl/>
        <w:suppressLineNumbers w:val="0"/>
        <w:topLinePunct w:val="0"/>
        <w:autoSpaceDE/>
        <w:autoSpaceDN/>
        <w:adjustRightInd w:val="0"/>
        <w:snapToGrid w:val="0"/>
        <w:spacing w:before="0" w:beforeAutospacing="0" w:after="0" w:afterAutospacing="0" w:line="360" w:lineRule="auto"/>
        <w:ind w:left="0" w:right="0" w:firstLine="0" w:firstLineChars="0"/>
        <w:jc w:val="center"/>
        <w:outlineLvl w:val="9"/>
        <w:rPr>
          <w:rFonts w:hint="eastAsia" w:ascii="黑体" w:hAnsi="黑体" w:eastAsia="黑体" w:cs="黑体"/>
          <w:b/>
          <w:bCs w:val="0"/>
          <w:kern w:val="2"/>
          <w:sz w:val="44"/>
          <w:szCs w:val="44"/>
          <w:lang w:bidi="ar"/>
        </w:rPr>
      </w:pPr>
      <w:r>
        <w:rPr>
          <w:rFonts w:hint="eastAsia" w:ascii="宋体" w:hAnsi="宋体" w:eastAsia="宋体" w:cs="宋体"/>
          <w:b/>
          <w:bCs w:val="0"/>
          <w:kern w:val="2"/>
          <w:sz w:val="28"/>
          <w:szCs w:val="28"/>
          <w:lang w:val="en-US" w:eastAsia="zh-CN" w:bidi="ar"/>
        </w:rPr>
        <w:t>关于XX资产支持专项计划取得无异议函后</w:t>
      </w:r>
      <w:r>
        <w:rPr>
          <w:rFonts w:hint="eastAsia" w:ascii="宋体" w:hAnsi="宋体" w:eastAsia="宋体" w:cs="宋体"/>
          <w:b/>
          <w:bCs w:val="0"/>
          <w:kern w:val="2"/>
          <w:sz w:val="28"/>
          <w:szCs w:val="28"/>
          <w:lang w:val="en-US" w:eastAsia="zh-CN" w:bidi="ar"/>
        </w:rPr>
        <w:br w:type="textWrapping"/>
      </w:r>
      <w:r>
        <w:rPr>
          <w:rFonts w:hint="eastAsia" w:ascii="宋体" w:hAnsi="宋体" w:eastAsia="宋体" w:cs="宋体"/>
          <w:b/>
          <w:bCs w:val="0"/>
          <w:kern w:val="2"/>
          <w:sz w:val="28"/>
          <w:szCs w:val="28"/>
          <w:lang w:val="en-US" w:eastAsia="zh-CN" w:bidi="ar"/>
        </w:rPr>
        <w:t>是否发生变化的专项说明</w:t>
      </w:r>
    </w:p>
    <w:p>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eastAsia" w:ascii="方正小标宋_GBK" w:hAnsi="方正小标宋_GBK" w:eastAsia="方正小标宋_GBK" w:cs="方正小标宋_GBK"/>
          <w:bCs/>
          <w:kern w:val="2"/>
          <w:sz w:val="44"/>
          <w:szCs w:val="44"/>
        </w:rPr>
      </w:pPr>
    </w:p>
    <w:p>
      <w:pPr>
        <w:keepNext w:val="0"/>
        <w:keepLines w:val="0"/>
        <w:widowControl w:val="0"/>
        <w:suppressLineNumbers w:val="0"/>
        <w:topLinePunct/>
        <w:adjustRightInd w:val="0"/>
        <w:snapToGrid w:val="0"/>
        <w:spacing w:before="0" w:beforeAutospacing="0" w:after="0" w:afterAutospacing="0" w:line="360" w:lineRule="auto"/>
        <w:ind w:left="0" w:right="0" w:firstLine="0" w:firstLineChars="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深圳证券交易所：</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XX公司（以下简称管理人）于20XX年XX月XX日获得XX资产支持专项计划符合深交所挂牌条件的无异议函，无异议函函号为【深证函</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20XX</w:t>
      </w:r>
      <w:r>
        <w:rPr>
          <w:rFonts w:hint="eastAsia" w:ascii="宋体" w:hAnsi="宋体" w:eastAsia="宋体" w:cs="宋体"/>
          <w:kern w:val="2"/>
          <w:sz w:val="24"/>
          <w:szCs w:val="24"/>
          <w:lang w:val="en-US" w:eastAsia="zh-CN" w:bidi="ar"/>
        </w:rPr>
        <w:t>〕</w:t>
      </w:r>
      <w:r>
        <w:rPr>
          <w:rFonts w:hint="eastAsia" w:ascii="宋体" w:hAnsi="宋体" w:eastAsia="宋体" w:cs="宋体"/>
          <w:color w:val="000000"/>
          <w:kern w:val="2"/>
          <w:sz w:val="24"/>
          <w:szCs w:val="24"/>
          <w:lang w:val="en-US" w:eastAsia="zh-CN" w:bidi="ar"/>
        </w:rPr>
        <w:t>XX号】，无异议函有效期为【12/24】个月。【管理人名称】对无异议函出具之日起至本专项说明文件签署之日的期后事项进行了审慎核查，具体如下：</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一、资产支持证券变化情况</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（一）与交易结构和产品设计相关事项</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1.资产支持证券的基本要素条款、循环购买（如有）、信用增级方式（如有）、回售和赎回（如有）、加速清偿（如有）、次级自持安排（如有）等产品设计（是/否）发生变化。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2.专项计划账户设置、现金流归集转付安排、投资及收益分配安排、资金保管使用安排等风险隔离措施（是/否）发生变化。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3.交易步骤、产品架构等交易安排（是/否）发生变化。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4.资产支持证券持有人会议安排（是/否）发生变化。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5.专项计划资产的管理安排（是/否）发生变化。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6.专项计划的设立、终止与清算安排（是/否）发生变化。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7.资产支持证券的登记、转让安排（是/否）发生变化。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8.资产支持证券的信息披露安排（是/否）发生变化。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9.资产支持证券的违约责任与争议解决安排（是/否）发生变化。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（二）与基础资产和现金流相关事项</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1.基础资产池构成和特征、基础资产合格标准、现金流预测（如有）和估值（如有）主要假设参数和结果（是/否）发生变化。</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2.基础资产（是/否）已经或者可能发生资产损失金额超过全部资产支持证券预计发行规模10%的情况。</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3.基础资产</w:t>
      </w:r>
      <w:r>
        <w:rPr>
          <w:rFonts w:hint="eastAsia" w:ascii="宋体" w:hAnsi="宋体" w:eastAsia="宋体" w:cs="宋体"/>
          <w:bCs/>
          <w:kern w:val="2"/>
          <w:sz w:val="24"/>
          <w:szCs w:val="24"/>
          <w:lang w:val="en-US" w:eastAsia="zh-CN" w:bidi="ar"/>
        </w:rPr>
        <w:t>运行情况、生产经营设施、外部环境（</w:t>
      </w:r>
      <w:r>
        <w:rPr>
          <w:rFonts w:hint="eastAsia" w:ascii="宋体" w:hAnsi="宋体" w:eastAsia="宋体" w:cs="宋体"/>
          <w:kern w:val="0"/>
          <w:sz w:val="24"/>
          <w:szCs w:val="24"/>
          <w:lang w:val="en-US" w:eastAsia="zh-CN" w:bidi="ar"/>
        </w:rPr>
        <w:t>是/否</w:t>
      </w:r>
      <w:r>
        <w:rPr>
          <w:rFonts w:hint="eastAsia" w:ascii="宋体" w:hAnsi="宋体" w:eastAsia="宋体" w:cs="宋体"/>
          <w:bCs/>
          <w:kern w:val="2"/>
          <w:sz w:val="24"/>
          <w:szCs w:val="24"/>
          <w:lang w:val="en-US" w:eastAsia="zh-CN" w:bidi="ar"/>
        </w:rPr>
        <w:t>）已经或者预计发生变化</w:t>
      </w:r>
      <w:r>
        <w:rPr>
          <w:rFonts w:hint="eastAsia" w:ascii="宋体" w:hAnsi="宋体" w:eastAsia="宋体" w:cs="宋体"/>
          <w:kern w:val="0"/>
          <w:sz w:val="24"/>
          <w:szCs w:val="24"/>
          <w:lang w:val="en-US" w:eastAsia="zh-CN" w:bidi="ar"/>
        </w:rPr>
        <w:t>，已导致或者预计将导致现金流下降20%以上。</w:t>
      </w:r>
    </w:p>
    <w:p>
      <w:pPr>
        <w:pStyle w:val="27"/>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4.基础资产权属（是/否）发生变化或者争议、被新设置权利负担或者其他权利限制，且相关权利负担或者权利限制未解除（通过专项计划相关安排，在原始权益人向专项计划转移基础资产时能够解除相关担保负担和其他权利限制的除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kern w:val="0"/>
          <w:sz w:val="24"/>
          <w:szCs w:val="24"/>
          <w:lang w:val="en-US" w:eastAsia="zh-CN" w:bidi="ar"/>
        </w:rPr>
        <w:t>.</w:t>
      </w:r>
      <w:r>
        <w:rPr>
          <w:rFonts w:hint="eastAsia" w:ascii="宋体" w:hAnsi="宋体" w:eastAsia="宋体" w:cs="宋体"/>
          <w:color w:val="000000"/>
          <w:kern w:val="2"/>
          <w:sz w:val="24"/>
          <w:szCs w:val="24"/>
          <w:lang w:val="en-US" w:eastAsia="zh-CN" w:bidi="ar"/>
        </w:rPr>
        <w:t>（是/否）发生违反负面清单情形。</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（三）与业务参与人和产品信用特征相关事项</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1.资产支持证券信用评级（是/否）下调。</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2.特定原始权益人（如有）、增信机构（如有）的财务报表，以及信用评级报告（如有）、资产评估报告（如有）（处于/未处于）相关业务规则要求的有效期内，（不需要/需要）更新。</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3.管理人、托管人、原始权益人、增信机构（如有）、资产服务机构等业务参与人及其基本信息、参与人所担任的角色和相关权利义务（有/无）变化。</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4.特定原始权益人（如有）、增信机构（如有）、重要现金流提供方（如有）（是/否）发生《深圳证券交易所资产支持证券挂牌条件审核业务指引第2号——审核重点关注事项》第四十一条至第四十二条的相关情形。</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5.管理人、托管人、特定原始权益人（如有）及重要现金流提供方（如有）等（是/否）发生股权结构、经营方针或者经营范围的重大变化、法律政策或者重大灾害导致的经营外部条件的重大变化、盈利和偿债能力的重大变化等事项，可能影响资产支持证券投资者权益。</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6.管理人、托管人、特定原始权益人（如有）、增信机构（如有）等（是/否）发生法律纠纷或者重大违法违规行为，可能影响资产支持证券发行的。</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7.管理人、特定原始权益人（如有）及重要现金流提供方（如有）等（是/否）存在因严重违法失信行为，被有权部门认定为失信被执行人、重大税收违法案件当事人或涉金融严重失信人的情形。</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8.管理人、托管人、特定原始权益人（是/否）、增信机构（如有）等受到刑事处罚、重大行政处罚或者被立案调查，发生金额占上年末合并口径净资产的5%以上且超过5000万元的债务违约或者其他资信状况的重大变化，可能影响资产支持证券投资者权益，或者发生公开市场债务违约。</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9.市场上（是/否）出现关于管理人、特定原始权益人（如有）、增信机构（如有）及重要现金流提供方（如有）等主体的重大不利报道或者负面市场传闻，可能影响资产支持证券投资者权益。</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10.管理人、托管人、特定原始权益人（如有）等（是/否）作出减资、合并、分立等决定，可能影响资产支持证券投资者权益。</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11.管理人、托管人与原始权益人之间的重大利益关系（是/否）发生变化。</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kern w:val="2"/>
          <w:sz w:val="24"/>
          <w:szCs w:val="24"/>
        </w:rPr>
      </w:pPr>
      <w:r>
        <w:rPr>
          <w:rFonts w:hint="eastAsia" w:ascii="宋体" w:hAnsi="宋体" w:eastAsia="宋体" w:cs="宋体"/>
          <w:kern w:val="0"/>
          <w:sz w:val="24"/>
          <w:szCs w:val="24"/>
          <w:lang w:val="en-US" w:eastAsia="zh-CN" w:bidi="ar"/>
        </w:rPr>
        <w:t>12.（有/无）其他影响发行、挂牌和投资者判断的重大变化</w:t>
      </w:r>
      <w:r>
        <w:rPr>
          <w:rFonts w:hint="eastAsia" w:ascii="宋体" w:hAnsi="宋体" w:eastAsia="宋体" w:cs="宋体"/>
          <w:bCs/>
          <w:kern w:val="2"/>
          <w:sz w:val="24"/>
          <w:szCs w:val="24"/>
          <w:lang w:val="en-US" w:eastAsia="zh-CN" w:bidi="ar"/>
        </w:rPr>
        <w:t>。</w:t>
      </w:r>
    </w:p>
    <w:p>
      <w:pPr>
        <w:pStyle w:val="27"/>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上述任何一项发生重大调整或变化，管理人应当具体说明该事项的具体情况、原因和进展（如有）、是否已在计划说明书中披露（说明披露位置）、相关中介机构是否已发表补充意见（如需要）等。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二、待履行事项完成情况</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项目封卷时承诺于发行前应当完成事项的履行情况，如主要交易合同文本、其他机构报告、主管部门监管意见以及其他相关文件的签署和出具情况等。</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三、结论意见</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没有变化】综上，自无异议函出具之日起至本专项说明签署之日止，资产支持专项计划未发生变化，符合发行及挂牌条件。此外，项目发行前应履行事项已全部完成。本公司承诺，向贵所报送的与本期资产支持专项计划相关的所有材料内容真实、准确、完整，不存在虚假记载、误导性陈述或重大遗漏。本公司将对上述承诺承担全部责任。</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有变化，但无实质影响】综上，自无异议函出具之日起至本专项说明签署之日止，资产支持专项计划发生上述变化后，不会对专项计划新增实质性风险，符合法律法规及专项计划相关参与方有权机构关于开展资产证券化融资相关事宜的决议，不影响资产支持证券在贵所的发行及挂牌条件。管理人已充分披露上述重大变化事项及相关风险和风险缓释措施。除前述明确列示的事项外，没有发生其他影响本次资产支持证券发行、挂牌及对投资者做出投资决策有重大影响的应予披露的事项。此外，项目发行前应履行事项已全部完成。本公司承诺，向贵所报送的与本期资产支持专项计划相关的所有材料内容真实、准确、完整，不存在虚假记载、误导性陈述或重大遗漏。本公司将对上述承诺承担全部责任。</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有变化，且有实质影响】综上，自无异议函出具之日起至本专项说明签署之日止，资产支持专项计划主要发生XX变化，符合/不符合法律法规及专项计划相关参与方有权机构关于开展资产证券化融资相关事宜的决议，管理人已充分披露上述重大变化事项及相关风险，采取/拟采取XX措施。除前述明确列示的事项外，没有发生其他影响本次资产支持证券发行、挂牌或对投资者做出投资决策有重大影响的应予披露的事项。此外，项目发行前应履行事项已全部完成。本公司承诺，向贵所报送的与本期资产支持专项计划相关的所有材料内容真实、准确、完整，不存在虚假记载、误导性陈述或重大遗漏。本公司将对上述承诺承担全部责任。</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kern w:val="2"/>
          <w:sz w:val="24"/>
          <w:szCs w:val="24"/>
          <w:lang w:val="en-US" w:eastAsia="zh-CN" w:bidi="ar"/>
        </w:rPr>
        <w:t>特此说明。</w:t>
      </w: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000000"/>
          <w:kern w:val="2"/>
          <w:sz w:val="24"/>
          <w:szCs w:val="24"/>
          <w:lang w:val="en-US" w:eastAsia="zh-CN" w:bidi="ar"/>
        </w:rPr>
      </w:pP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p>
    <w:p>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righ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【管理人名称】（盖章）</w:t>
      </w:r>
    </w:p>
    <w:p>
      <w:pPr>
        <w:adjustRightInd w:val="0"/>
        <w:snapToGrid w:val="0"/>
        <w:spacing w:line="360" w:lineRule="auto"/>
        <w:ind w:firstLine="0" w:firstLineChars="0"/>
        <w:jc w:val="right"/>
        <w:rPr>
          <w:rFonts w:hint="eastAsia" w:ascii="宋体" w:hAnsi="宋体" w:eastAsia="宋体" w:cs="宋体"/>
          <w:sz w:val="24"/>
          <w:szCs w:val="24"/>
          <w:lang w:bidi="ar"/>
        </w:rPr>
      </w:pP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ind w:firstLine="0" w:firstLineChars="0"/>
        <w:jc w:val="right"/>
        <w:rPr>
          <w:rFonts w:hint="eastAsia" w:ascii="宋体" w:hAnsi="宋体" w:eastAsia="宋体" w:cs="宋体"/>
          <w:sz w:val="24"/>
          <w:szCs w:val="24"/>
          <w:lang w:bidi="ar"/>
        </w:rPr>
        <w:sectPr>
          <w:pgSz w:w="11910" w:h="16840"/>
          <w:pgMar w:top="1420" w:right="1660" w:bottom="1780" w:left="1660" w:header="852" w:footer="1583" w:gutter="0"/>
          <w:pgNumType w:fmt="decimal"/>
          <w:cols w:space="720" w:num="1"/>
          <w:formProt w:val="1"/>
          <w:docGrid w:linePitch="286" w:charSpace="0"/>
        </w:sectPr>
      </w:pPr>
    </w:p>
    <w:p>
      <w:pPr>
        <w:pStyle w:val="3"/>
        <w:widowControl/>
        <w:adjustRightInd/>
        <w:snapToGrid/>
        <w:spacing w:line="240" w:lineRule="auto"/>
        <w:outlineLvl w:val="1"/>
        <w:rPr>
          <w:rFonts w:hint="eastAsia" w:ascii="仿宋" w:hAnsi="仿宋" w:eastAsia="仿宋" w:cs="仿宋"/>
          <w:b w:val="0"/>
          <w:bCs w:val="0"/>
          <w:sz w:val="32"/>
          <w:szCs w:val="32"/>
        </w:rPr>
      </w:pPr>
      <w:bookmarkStart w:id="685" w:name="_Toc20496"/>
      <w:bookmarkStart w:id="686" w:name="_Toc13258"/>
      <w:bookmarkStart w:id="687" w:name="_Toc7007"/>
      <w:bookmarkStart w:id="688" w:name="_Toc3349"/>
      <w:bookmarkStart w:id="689" w:name="_Toc30795"/>
      <w:bookmarkStart w:id="690" w:name="_Toc12920"/>
      <w:bookmarkStart w:id="691" w:name="_Toc19050"/>
      <w:bookmarkStart w:id="692" w:name="_Toc27384"/>
      <w:bookmarkStart w:id="693" w:name="_Toc28413"/>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
        </w:rPr>
        <w:t>2</w:t>
      </w:r>
      <w:r>
        <w:rPr>
          <w:rFonts w:hint="eastAsia" w:ascii="仿宋" w:hAnsi="仿宋" w:eastAsia="仿宋" w:cs="仿宋"/>
          <w:b w:val="0"/>
          <w:bCs w:val="0"/>
          <w:sz w:val="32"/>
          <w:szCs w:val="32"/>
          <w:lang w:val="en-US" w:eastAsia="zh-CN"/>
        </w:rPr>
        <w:t xml:space="preserve">5 </w:t>
      </w:r>
      <w:r>
        <w:rPr>
          <w:rFonts w:hint="eastAsia" w:ascii="仿宋" w:hAnsi="仿宋" w:eastAsia="仿宋" w:cs="仿宋"/>
          <w:b w:val="0"/>
          <w:bCs w:val="0"/>
          <w:sz w:val="32"/>
          <w:szCs w:val="32"/>
        </w:rPr>
        <w:t>提供转让服务、证券简称及证券代码的申请</w:t>
      </w:r>
      <w:bookmarkEnd w:id="663"/>
      <w:bookmarkEnd w:id="664"/>
      <w:bookmarkEnd w:id="665"/>
      <w:bookmarkEnd w:id="666"/>
      <w:bookmarkEnd w:id="685"/>
      <w:bookmarkEnd w:id="686"/>
      <w:bookmarkEnd w:id="687"/>
      <w:bookmarkEnd w:id="688"/>
      <w:bookmarkEnd w:id="689"/>
      <w:bookmarkEnd w:id="690"/>
      <w:bookmarkEnd w:id="691"/>
      <w:bookmarkEnd w:id="692"/>
      <w:bookmarkEnd w:id="693"/>
    </w:p>
    <w:p>
      <w:pPr>
        <w:adjustRightInd/>
        <w:snapToGrid/>
        <w:spacing w:line="360" w:lineRule="auto"/>
        <w:jc w:val="center"/>
        <w:rPr>
          <w:rFonts w:hint="eastAsia" w:ascii="宋体" w:hAnsi="宋体" w:eastAsia="宋体" w:cs="Times New Roman"/>
          <w:b/>
          <w:sz w:val="30"/>
          <w:szCs w:val="30"/>
          <w:lang w:bidi="ar"/>
        </w:rPr>
      </w:pPr>
      <w:r>
        <w:rPr>
          <w:rFonts w:hint="eastAsia" w:ascii="宋体" w:hAnsi="宋体" w:eastAsia="宋体" w:cs="Times New Roman"/>
          <w:b/>
          <w:sz w:val="30"/>
          <w:szCs w:val="30"/>
          <w:lang w:bidi="ar"/>
        </w:rPr>
        <w:t>关于为“XXXX资产支持专项计划”</w:t>
      </w:r>
    </w:p>
    <w:p>
      <w:pPr>
        <w:adjustRightInd/>
        <w:snapToGrid/>
        <w:spacing w:line="360" w:lineRule="auto"/>
        <w:jc w:val="center"/>
        <w:rPr>
          <w:rFonts w:hint="eastAsia" w:ascii="宋体" w:hAnsi="宋体" w:eastAsia="宋体" w:cs="Times New Roman"/>
          <w:b/>
          <w:sz w:val="30"/>
          <w:szCs w:val="30"/>
          <w:lang w:bidi="ar"/>
        </w:rPr>
      </w:pPr>
      <w:r>
        <w:rPr>
          <w:rFonts w:hint="eastAsia" w:ascii="宋体" w:hAnsi="宋体" w:eastAsia="宋体" w:cs="Times New Roman"/>
          <w:b/>
          <w:sz w:val="30"/>
          <w:szCs w:val="30"/>
          <w:lang w:bidi="ar"/>
        </w:rPr>
        <w:t>提供转让服务、证券简称及证券代码的申请</w:t>
      </w:r>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lang w:bidi="ar"/>
        </w:rPr>
        <w:t>深圳证券交易所：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贵所已于20XX年XX月XX日向我司申报的《关于确认“XXXX资产支持专项计划”是否符合深圳证券交易所挂牌条件的申请》出具了《关于XXXX “XXXX资产支持专项计划”符合深交所挂牌条件的无异议函》（深证函【20XX】X号），同意我司在该无异议函出具之日起12个月内正式向贵所提交首期挂牌申请文件，24个月内正式向贵所提交全部专项计划挂牌申请文件，申请资产支持证券在深交所挂牌转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我司特向贵所申请：为“XXXX资产支持专项计划”提供转让服务，并提供相应的证券简称及证券代码。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特此申请，望批复为盼。</w:t>
      </w:r>
    </w:p>
    <w:p>
      <w:pPr>
        <w:adjustRightInd w:val="0"/>
        <w:snapToGrid w:val="0"/>
        <w:ind w:firstLine="480" w:firstLineChars="200"/>
        <w:rPr>
          <w:rFonts w:hint="eastAsia" w:ascii="宋体" w:hAnsi="宋体" w:eastAsia="宋体" w:cs="宋体"/>
          <w:sz w:val="24"/>
          <w:szCs w:val="24"/>
        </w:rPr>
      </w:pPr>
      <w:r>
        <w:rPr>
          <w:rFonts w:hint="eastAsia" w:ascii="宋体" w:hAnsi="宋体" w:eastAsia="宋体" w:cs="宋体"/>
          <w:sz w:val="24"/>
          <w:szCs w:val="24"/>
          <w:lang w:bidi="ar"/>
        </w:rPr>
        <w:t>附：资产支持证券代码申请表</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2961"/>
        <w:gridCol w:w="1949"/>
        <w:gridCol w:w="1572"/>
        <w:gridCol w:w="14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序号</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证券简称（不超过30个字符）</w:t>
            </w: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证券简称（短）</w:t>
            </w:r>
          </w:p>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（不超过8个字符）</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存续期（年）</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是否转让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1</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2</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3</w:t>
            </w:r>
          </w:p>
        </w:tc>
        <w:tc>
          <w:tcPr>
            <w:tcW w:w="3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bidi="ar"/>
              </w:rPr>
              <w:t>是/否</w:t>
            </w:r>
          </w:p>
        </w:tc>
      </w:tr>
    </w:tbl>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我司承诺已核查本期资产支持专项计划的简称未与市场其他资产支持证券和债券等金融产品的简称重复。</w:t>
      </w:r>
    </w:p>
    <w:p>
      <w:pPr>
        <w:adjustRightInd w:val="0"/>
        <w:snapToGrid w:val="0"/>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p>
    <w:p>
      <w:pPr>
        <w:adjustRightInd w:val="0"/>
        <w:snapToGrid w:val="0"/>
        <w:rPr>
          <w:rFonts w:hint="eastAsia" w:ascii="宋体" w:hAnsi="宋体" w:eastAsia="宋体" w:cs="宋体"/>
          <w:sz w:val="24"/>
          <w:szCs w:val="24"/>
          <w:lang w:bidi="ar"/>
        </w:rPr>
      </w:pPr>
    </w:p>
    <w:p>
      <w:pPr>
        <w:adjustRightInd w:val="0"/>
        <w:snapToGrid w:val="0"/>
        <w:rPr>
          <w:rFonts w:hint="eastAsia" w:ascii="宋体" w:hAnsi="宋体" w:eastAsia="宋体" w:cs="宋体"/>
          <w:sz w:val="24"/>
          <w:szCs w:val="24"/>
          <w:lang w:bidi="ar"/>
        </w:rPr>
      </w:pPr>
    </w:p>
    <w:p>
      <w:pPr>
        <w:adjustRightInd w:val="0"/>
        <w:snapToGrid w:val="0"/>
        <w:jc w:val="right"/>
        <w:rPr>
          <w:rFonts w:hint="eastAsia" w:ascii="宋体" w:hAnsi="宋体" w:eastAsia="宋体" w:cs="宋体"/>
          <w:kern w:val="0"/>
          <w:sz w:val="24"/>
          <w:szCs w:val="24"/>
        </w:rPr>
      </w:pPr>
      <w:r>
        <w:rPr>
          <w:rFonts w:hint="eastAsia" w:ascii="宋体" w:hAnsi="宋体" w:eastAsia="宋体" w:cs="宋体"/>
          <w:kern w:val="0"/>
          <w:sz w:val="24"/>
          <w:szCs w:val="24"/>
          <w:lang w:bidi="ar"/>
        </w:rPr>
        <w:t>【管理人名称】（盖章）</w:t>
      </w:r>
    </w:p>
    <w:p>
      <w:pPr>
        <w:adjustRightInd w:val="0"/>
        <w:snapToGrid w:val="0"/>
        <w:jc w:val="right"/>
        <w:rPr>
          <w:rFonts w:hint="eastAsia" w:ascii="宋体" w:hAnsi="宋体" w:eastAsia="宋体" w:cs="宋体"/>
          <w:sz w:val="24"/>
          <w:szCs w:val="24"/>
        </w:rPr>
      </w:pPr>
      <w:r>
        <w:rPr>
          <w:rFonts w:hint="eastAsia" w:ascii="宋体" w:hAnsi="宋体" w:eastAsia="宋体" w:cs="宋体"/>
          <w:kern w:val="0"/>
          <w:sz w:val="24"/>
          <w:szCs w:val="24"/>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r>
        <w:rPr>
          <w:rFonts w:hint="eastAsia" w:ascii="宋体" w:hAnsi="宋体" w:eastAsia="宋体" w:cs="宋体"/>
          <w:kern w:val="0"/>
          <w:sz w:val="24"/>
          <w:szCs w:val="24"/>
          <w:lang w:bidi="ar"/>
        </w:rPr>
        <w:t xml:space="preserve"> </w:t>
      </w:r>
    </w:p>
    <w:p>
      <w:pPr>
        <w:widowControl/>
        <w:adjustRightInd w:val="0"/>
        <w:snapToGrid w:val="0"/>
        <w:jc w:val="left"/>
        <w:rPr>
          <w:rFonts w:hint="eastAsia" w:ascii="宋体" w:hAnsi="宋体" w:eastAsia="宋体" w:cs="宋体"/>
          <w:b/>
          <w:sz w:val="24"/>
          <w:szCs w:val="24"/>
        </w:rPr>
      </w:pPr>
      <w:r>
        <w:rPr>
          <w:rFonts w:hint="eastAsia" w:ascii="宋体" w:hAnsi="宋体" w:eastAsia="宋体" w:cs="宋体"/>
          <w:sz w:val="24"/>
          <w:szCs w:val="24"/>
          <w:lang w:bidi="ar"/>
        </w:rPr>
        <w:br w:type="page"/>
      </w:r>
    </w:p>
    <w:p>
      <w:pPr>
        <w:pStyle w:val="3"/>
        <w:widowControl/>
        <w:adjustRightInd/>
        <w:snapToGrid/>
        <w:outlineLvl w:val="1"/>
        <w:rPr>
          <w:rFonts w:hint="eastAsia" w:ascii="仿宋" w:hAnsi="仿宋" w:eastAsia="仿宋" w:cs="仿宋"/>
          <w:b w:val="0"/>
          <w:bCs w:val="0"/>
          <w:sz w:val="32"/>
          <w:szCs w:val="32"/>
        </w:rPr>
      </w:pPr>
      <w:bookmarkStart w:id="694" w:name="_Toc30516"/>
      <w:bookmarkStart w:id="695" w:name="_Toc1414280933"/>
      <w:bookmarkStart w:id="696" w:name="_Toc12480"/>
      <w:bookmarkStart w:id="697" w:name="_Toc21307"/>
      <w:bookmarkStart w:id="698" w:name="_Toc12459"/>
      <w:bookmarkStart w:id="699" w:name="_Toc14789"/>
      <w:bookmarkStart w:id="700" w:name="_Toc2728"/>
      <w:bookmarkStart w:id="701" w:name="_Toc11665"/>
      <w:bookmarkStart w:id="702" w:name="_Toc6224"/>
      <w:bookmarkStart w:id="703" w:name="_Toc17920"/>
      <w:bookmarkStart w:id="704" w:name="_Toc12332"/>
      <w:bookmarkStart w:id="705" w:name="_Toc19176"/>
      <w:bookmarkStart w:id="706" w:name="_Toc1124829381"/>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
        </w:rPr>
        <w:t>2</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 xml:space="preserve"> 资产支持证券挂牌转让信息申报表</w:t>
      </w:r>
      <w:bookmarkEnd w:id="694"/>
      <w:bookmarkEnd w:id="695"/>
      <w:bookmarkEnd w:id="696"/>
      <w:bookmarkEnd w:id="697"/>
      <w:bookmarkEnd w:id="698"/>
      <w:bookmarkEnd w:id="699"/>
      <w:bookmarkEnd w:id="700"/>
      <w:bookmarkEnd w:id="701"/>
      <w:bookmarkEnd w:id="702"/>
      <w:bookmarkEnd w:id="703"/>
      <w:bookmarkEnd w:id="704"/>
      <w:bookmarkEnd w:id="705"/>
      <w:bookmarkEnd w:id="706"/>
    </w:p>
    <w:p>
      <w:pPr>
        <w:adjustRightInd w:val="0"/>
        <w:snapToGrid w:val="0"/>
        <w:rPr>
          <w:rFonts w:hint="eastAsia" w:ascii="仿宋" w:hAnsi="仿宋" w:eastAsia="仿宋" w:cs="仿宋"/>
          <w:sz w:val="21"/>
          <w:szCs w:val="21"/>
        </w:rPr>
      </w:pPr>
      <w:r>
        <w:rPr>
          <w:rFonts w:hint="eastAsia" w:ascii="宋体" w:hAnsi="宋体" w:eastAsia="宋体" w:cs="宋体"/>
          <w:b/>
          <w:sz w:val="28"/>
          <w:szCs w:val="28"/>
          <w:lang w:bidi="ar"/>
        </w:rPr>
        <w:t>（另附excel表，计划管理人可在“固定收益品种业务专区-综合业务-模板下载”中下载）</w:t>
      </w:r>
    </w:p>
    <w:p>
      <w:pPr>
        <w:adjustRightInd w:val="0"/>
        <w:snapToGrid w:val="0"/>
        <w:rPr>
          <w:rFonts w:hint="eastAsia" w:ascii="仿宋" w:hAnsi="仿宋" w:eastAsia="仿宋" w:cs="仿宋"/>
          <w:sz w:val="21"/>
          <w:szCs w:val="21"/>
          <w:lang w:eastAsia="zh"/>
        </w:rPr>
      </w:pPr>
      <w:r>
        <w:rPr>
          <w:rFonts w:hint="eastAsia" w:ascii="仿宋" w:hAnsi="仿宋" w:eastAsia="仿宋" w:cs="仿宋"/>
          <w:sz w:val="21"/>
          <w:szCs w:val="21"/>
        </w:rPr>
        <w:br w:type="page"/>
      </w:r>
    </w:p>
    <w:p>
      <w:pPr>
        <w:pStyle w:val="3"/>
        <w:widowControl/>
        <w:adjustRightInd/>
        <w:snapToGrid/>
        <w:outlineLvl w:val="1"/>
        <w:rPr>
          <w:rFonts w:hint="eastAsia" w:ascii="仿宋" w:hAnsi="仿宋" w:eastAsia="仿宋" w:cs="仿宋"/>
          <w:b w:val="0"/>
          <w:bCs w:val="0"/>
          <w:sz w:val="32"/>
          <w:szCs w:val="32"/>
        </w:rPr>
      </w:pPr>
      <w:bookmarkStart w:id="707" w:name="_Toc13494"/>
      <w:bookmarkStart w:id="708" w:name="_Toc18709"/>
      <w:bookmarkStart w:id="709" w:name="_Toc29305"/>
      <w:bookmarkStart w:id="710" w:name="_Toc13845"/>
      <w:bookmarkStart w:id="711" w:name="_Toc3574"/>
      <w:bookmarkStart w:id="712" w:name="_Toc30861"/>
      <w:bookmarkStart w:id="713" w:name="_Toc1371575870"/>
      <w:bookmarkStart w:id="714" w:name="_Toc9700"/>
      <w:bookmarkStart w:id="715" w:name="_Toc21574"/>
      <w:bookmarkStart w:id="716" w:name="_Toc32458"/>
      <w:bookmarkStart w:id="717" w:name="_Toc3316"/>
      <w:bookmarkStart w:id="718" w:name="_Toc31922"/>
      <w:bookmarkStart w:id="719" w:name="_Toc2049763723"/>
      <w:r>
        <w:rPr>
          <w:rFonts w:hint="eastAsia" w:ascii="仿宋" w:hAnsi="仿宋" w:eastAsia="仿宋" w:cs="仿宋"/>
          <w:b w:val="0"/>
          <w:bCs w:val="0"/>
          <w:sz w:val="32"/>
          <w:szCs w:val="32"/>
        </w:rPr>
        <w:t>附件</w:t>
      </w:r>
      <w:r>
        <w:rPr>
          <w:rFonts w:hint="eastAsia" w:ascii="仿宋" w:hAnsi="仿宋" w:eastAsia="仿宋" w:cs="仿宋"/>
          <w:b w:val="0"/>
          <w:bCs w:val="0"/>
          <w:sz w:val="32"/>
          <w:szCs w:val="32"/>
          <w:lang w:eastAsia="zh"/>
        </w:rPr>
        <w:t>2</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 xml:space="preserve"> 深圳证券交易所资产支持证券转让服务协议</w:t>
      </w:r>
      <w:bookmarkEnd w:id="707"/>
      <w:bookmarkEnd w:id="708"/>
      <w:bookmarkEnd w:id="709"/>
      <w:bookmarkEnd w:id="710"/>
      <w:bookmarkEnd w:id="711"/>
      <w:bookmarkEnd w:id="712"/>
      <w:bookmarkEnd w:id="713"/>
      <w:bookmarkEnd w:id="714"/>
      <w:bookmarkEnd w:id="715"/>
      <w:bookmarkEnd w:id="716"/>
      <w:bookmarkEnd w:id="717"/>
      <w:bookmarkEnd w:id="718"/>
      <w:bookmarkEnd w:id="719"/>
    </w:p>
    <w:p>
      <w:pPr>
        <w:adjustRightInd w:val="0"/>
        <w:snapToGrid w:val="0"/>
        <w:jc w:val="center"/>
        <w:rPr>
          <w:rFonts w:hint="eastAsia" w:ascii="黑体" w:hAnsi="黑体" w:eastAsia="黑体" w:cs="黑体"/>
          <w:b/>
          <w:sz w:val="44"/>
          <w:szCs w:val="44"/>
        </w:rPr>
      </w:pPr>
      <w:r>
        <w:rPr>
          <w:rFonts w:hint="eastAsia" w:ascii="宋体" w:hAnsi="宋体" w:eastAsia="宋体" w:cs="宋体"/>
          <w:b/>
          <w:sz w:val="28"/>
          <w:szCs w:val="28"/>
          <w:lang w:bidi="ar"/>
        </w:rPr>
        <w:t>深圳证券交易所资产支持证券转让服务协议</w:t>
      </w:r>
    </w:p>
    <w:p>
      <w:pPr>
        <w:adjustRightInd w:val="0"/>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甲方：深圳证券交易所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住所地：广东省深圳市福田区深南大道2012号深圳证券交易所</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法定代表人：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住所地：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甲方是为证券集中交易提供场所和设施，组织和监督证券挂牌转让，实行自律管理的法人，是市场的组织者、运营者和自律管理者。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乙方自愿向甲方申请其管理的资产支持证券挂牌，并已获甲方同意。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甲乙双方在自愿平等、协商一致的基础上，订立本协议。</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第一条 乙方在甲方挂牌的资产支持证券的基本情况为：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资产支持专项计划全称：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资产支持证券简称：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资产支持证券代码：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挂牌日期：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挂牌资产支持证券基本情况发生变更或者新增挂牌资产支持证券的，乙方应当按照甲方要求提交相关申请书等文件，除双方一致认为需要另行签订变更协议或补充协议外，上述文件经甲方认可后，作为本协议的一部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乙方同意，未经甲方认可，上述资产支持证券不在其他场所挂牌转让，也不以其为基础证券发行衍生品种并在其他场所挂牌转让。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第二条 甲方根据乙方申请，以及甲方发布的规则、细则、办法、指引、通知等业务规则和备忘录、业务指南、流程等其他相关规定，为乙方管理的资产支持证券的发行、挂牌转让、停复牌办理、收益分配、信息披露业务提供设施、咨询以及培训等服务便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第三条 甲乙双方共同遵守有关法律、行政法规、部门规章、规范性文件（以下统称法律法规）、甲方业务规则及其他相关规定。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第四条 乙方在挂牌时及挂牌后作出的各项承诺，作为本协议的一部分，应当遵守。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乙方应当督促原始权益人、资产服务机构、托管人、信用增级机构等（以下统称相关方）遵守甲方业务规则及其他相关规定，按照甲方要求签署并遵守承诺及声明，接受甲方的自律监管。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第五条 乙方同意接受并积极配合甲方依据法律法规、业务规则及其他相关规定和本协议，或基于维护公共利益、市场秩序及投资者合法权益等监管需要，对乙方实施的自律监管。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第六条 乙方应当诚实守信、规范运作，建立完善的合规、风控制度以及风险处置应对措施，履行收益分配、存续期信用风险管理、信息披露及其他相关义务，并保证信息披露内容的真实、准确、完整、及时、公平，没有虚假记载、误导性陈述或重大遗漏。</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第七条 </w:t>
      </w:r>
      <w:r>
        <w:rPr>
          <w:rFonts w:hint="eastAsia" w:ascii="宋体" w:hAnsi="宋体" w:eastAsia="宋体" w:cs="宋体"/>
          <w:kern w:val="0"/>
          <w:sz w:val="24"/>
          <w:szCs w:val="24"/>
          <w:lang w:bidi="ar"/>
        </w:rPr>
        <w:t>甲方根据业务规则及其他相关规定，对乙方管理的资产支持证券实施停复牌，作出终止其挂牌的决定。</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 xml:space="preserve">第八条 </w:t>
      </w:r>
      <w:r>
        <w:rPr>
          <w:rFonts w:hint="eastAsia" w:ascii="宋体" w:hAnsi="宋体" w:eastAsia="宋体" w:cs="宋体"/>
          <w:kern w:val="0"/>
          <w:sz w:val="24"/>
          <w:szCs w:val="24"/>
          <w:lang w:bidi="ar"/>
        </w:rPr>
        <w:t>甲方根据业务规则及其他相关规定和监管需要，对乙方进行现场和非现场检查，乙方同意积极配合并督促相关方积极配合。</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前款所述现场检查，是指甲方在乙方的经营、管理等场所，采取查阅、复制、记录、提取文件和资料，采集数据信息，查看实物，谈话及询问等方式，对乙方进行监督检查的行为。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 xml:space="preserve">第九条 </w:t>
      </w:r>
      <w:r>
        <w:rPr>
          <w:rFonts w:hint="eastAsia" w:ascii="宋体" w:hAnsi="宋体" w:eastAsia="宋体" w:cs="宋体"/>
          <w:kern w:val="0"/>
          <w:sz w:val="24"/>
          <w:szCs w:val="24"/>
          <w:lang w:bidi="ar"/>
        </w:rPr>
        <w:t>乙方违反本协议或出现违规行为的，甲方按照业务规则及其他相关规定，对乙方及相关方采取口头或书面警示、通报批评、公开谴责、收取惩罚性违约金、向相关主管部门出具监管建议函等自律监管措施或纪律处分。</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甲方收取惩罚性违约金遵循收取金额与行为性质、情节轻重、危害程度以及市场影响相适应的原则，惩罚性违约金的适用情形、具体标准、收取程序等由甲方另行规定。</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第十条 </w:t>
      </w:r>
      <w:r>
        <w:rPr>
          <w:rFonts w:hint="eastAsia" w:ascii="宋体" w:hAnsi="宋体" w:eastAsia="宋体" w:cs="宋体"/>
          <w:kern w:val="0"/>
          <w:sz w:val="24"/>
          <w:szCs w:val="24"/>
          <w:lang w:bidi="ar"/>
        </w:rPr>
        <w:t>乙方应当按照甲方相关通知要求及时足额缴纳挂牌费用，逾期未缴纳的，甲方有权每日按应缴纳金额的0.03%收取滞纳金。</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甲方对挂牌费用收费标准、收费方式等进行调整的，按调整后的执行。</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lang w:bidi="ar"/>
        </w:rPr>
        <w:t>乙方资产支持证券终止挂牌的，其已经缴纳的挂牌费用不予返还。</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 xml:space="preserve">第十一条 </w:t>
      </w:r>
      <w:r>
        <w:rPr>
          <w:rFonts w:hint="eastAsia" w:ascii="宋体" w:hAnsi="宋体" w:eastAsia="宋体" w:cs="宋体"/>
          <w:b/>
          <w:sz w:val="24"/>
          <w:szCs w:val="24"/>
          <w:lang w:bidi="ar"/>
        </w:rPr>
        <w:t>因不可抗力、意外事件、技术故障等突发性事件导致资产支持证券交易、信息披露及行情发布等出现异常情况，以及甲方采取相关应对措施造成的损失，甲方不承担民事责任，但存在重大过错的除外。</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第十二条 本协议自双方签字盖章之日起生效，至乙方在甲方挂牌的所有资产支持证券摘牌之日终止。</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第十三条 除本协议第一条的约定外，经双方协商一致，还可以书面方式对本协议作出修改或补充。</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本协议生效后，如因适用法律法规、甲方业务规则及其他相关规定发生变化，导致本协议相关条款与上述规定内容相抵触的，以修订或新颁布的法律法规、甲方业务规则及其他相关规定内容为准。</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第十四条 本协议的执行与解释适用中华人民共和国法律。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第十五条 甲方建立自律监管内部救济制度，保障乙方根据甲方</w:t>
      </w:r>
      <w:r>
        <w:rPr>
          <w:rFonts w:hint="eastAsia" w:ascii="宋体" w:hAnsi="宋体" w:eastAsia="宋体" w:cs="宋体"/>
          <w:kern w:val="0"/>
          <w:sz w:val="24"/>
          <w:szCs w:val="24"/>
          <w:lang w:bidi="ar"/>
        </w:rPr>
        <w:t>业务规则的规定，</w:t>
      </w:r>
      <w:r>
        <w:rPr>
          <w:rFonts w:hint="eastAsia" w:ascii="宋体" w:hAnsi="宋体" w:eastAsia="宋体" w:cs="宋体"/>
          <w:sz w:val="24"/>
          <w:szCs w:val="24"/>
          <w:lang w:bidi="ar"/>
        </w:rPr>
        <w:t>就甲方有关重大自律监管决定行使听证、复核等权利。</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与本协议有关或因执行本协议引起的一切争议及纠纷，双方同意采用以下方式（）（A或B，二选一）予以解决：</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A. 向有管辖权的人民法院提起诉讼；</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B. 提交深圳国际仲裁院在深圳仲裁。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第十六条 本协议未尽事宜，按照有关法律法规、甲方业务规则及其他相关规定执行。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第十七条 本协议一式四份，双方各执二份，具有同等法律效力。</w:t>
      </w:r>
    </w:p>
    <w:p>
      <w:pPr>
        <w:widowControl/>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br w:type="page"/>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【本页为《深圳证券交易所资产支持证券转让服务协议》签署页】</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lang w:bidi="ar"/>
        </w:rPr>
        <w:t>甲    方：深圳证券交易所           乙    方：</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（单位盖章）                       （公司盖章）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有权签字人：                       有权签字人：</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职务：                             职务：</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日期：     年   月   日            日期：     年   月   日</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特别声明：</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bidi="ar"/>
        </w:rPr>
        <w:t>乙方确认已经认真阅读了本协议，就协议中有关乙方义务以及限制或免除甲方责任的条款，甲方已作出明确解释说明。乙方充分知悉、理解并认可上述条款内容。</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乙方有权签字人：</w:t>
      </w:r>
    </w:p>
    <w:p>
      <w:pPr>
        <w:adjustRightInd w:val="0"/>
        <w:snapToGrid w:val="0"/>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lang w:bidi="ar"/>
        </w:rPr>
        <w:t>（签字）</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3"/>
        <w:widowControl/>
        <w:adjustRightInd/>
        <w:snapToGrid/>
        <w:outlineLvl w:val="1"/>
        <w:rPr>
          <w:rFonts w:hint="eastAsia" w:ascii="仿宋" w:hAnsi="仿宋" w:eastAsia="仿宋" w:cs="仿宋"/>
          <w:b w:val="0"/>
          <w:bCs w:val="0"/>
          <w:sz w:val="32"/>
          <w:szCs w:val="32"/>
        </w:rPr>
      </w:pPr>
      <w:bookmarkStart w:id="720" w:name="_Toc1598581546"/>
      <w:bookmarkStart w:id="721" w:name="_Toc18391"/>
      <w:bookmarkStart w:id="722" w:name="_Toc3209"/>
      <w:bookmarkStart w:id="723" w:name="_Toc7545"/>
      <w:bookmarkStart w:id="724" w:name="_Toc4650"/>
      <w:bookmarkStart w:id="725" w:name="_Toc14929"/>
      <w:bookmarkStart w:id="726" w:name="_Toc14858"/>
      <w:bookmarkStart w:id="727" w:name="_Toc13819"/>
      <w:bookmarkStart w:id="728" w:name="_Toc1965"/>
      <w:bookmarkStart w:id="729" w:name="_Toc32494"/>
      <w:bookmarkStart w:id="730" w:name="_Toc20300"/>
      <w:bookmarkStart w:id="731" w:name="_Toc2090661385"/>
      <w:bookmarkStart w:id="732" w:name="_Toc8958"/>
      <w:r>
        <w:rPr>
          <w:rFonts w:hint="eastAsia" w:ascii="仿宋" w:hAnsi="仿宋" w:eastAsia="仿宋" w:cs="仿宋"/>
          <w:b w:val="0"/>
          <w:bCs w:val="0"/>
          <w:sz w:val="32"/>
          <w:szCs w:val="32"/>
        </w:rPr>
        <w:t>附件2</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 xml:space="preserve"> 资产支持专项计划预期收益率</w:t>
      </w:r>
      <w:r>
        <w:rPr>
          <w:rFonts w:hint="eastAsia" w:ascii="仿宋" w:hAnsi="仿宋" w:eastAsia="仿宋" w:cs="仿宋"/>
          <w:b w:val="0"/>
          <w:bCs w:val="0"/>
          <w:sz w:val="32"/>
          <w:szCs w:val="32"/>
          <w:lang w:eastAsia="zh"/>
        </w:rPr>
        <w:t>/发行价格</w:t>
      </w:r>
      <w:r>
        <w:rPr>
          <w:rFonts w:hint="eastAsia" w:ascii="仿宋" w:hAnsi="仿宋" w:eastAsia="仿宋" w:cs="仿宋"/>
          <w:b w:val="0"/>
          <w:bCs w:val="0"/>
          <w:sz w:val="32"/>
          <w:szCs w:val="32"/>
        </w:rPr>
        <w:t>公告</w:t>
      </w:r>
      <w:bookmarkEnd w:id="720"/>
      <w:bookmarkEnd w:id="721"/>
      <w:bookmarkEnd w:id="722"/>
      <w:bookmarkEnd w:id="723"/>
      <w:bookmarkEnd w:id="724"/>
      <w:bookmarkEnd w:id="725"/>
      <w:bookmarkEnd w:id="726"/>
      <w:bookmarkEnd w:id="727"/>
      <w:bookmarkEnd w:id="728"/>
      <w:bookmarkEnd w:id="729"/>
      <w:bookmarkEnd w:id="730"/>
      <w:bookmarkEnd w:id="731"/>
      <w:bookmarkEnd w:id="732"/>
    </w:p>
    <w:p>
      <w:pPr>
        <w:adjustRightInd w:val="0"/>
        <w:snapToGrid w:val="0"/>
        <w:ind w:firstLine="600" w:firstLineChars="25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专项计划全称：【】</w:t>
      </w:r>
    </w:p>
    <w:p>
      <w:pPr>
        <w:adjustRightInd w:val="0"/>
        <w:snapToGrid w:val="0"/>
        <w:ind w:firstLine="600" w:firstLineChars="250"/>
        <w:rPr>
          <w:rFonts w:hint="eastAsia" w:ascii="宋体" w:hAnsi="宋体" w:eastAsia="宋体" w:cs="宋体"/>
          <w:kern w:val="0"/>
          <w:sz w:val="24"/>
          <w:szCs w:val="24"/>
        </w:rPr>
      </w:pPr>
      <w:r>
        <w:rPr>
          <w:rFonts w:hint="eastAsia" w:ascii="宋体" w:hAnsi="宋体" w:eastAsia="宋体" w:cs="宋体"/>
          <w:kern w:val="0"/>
          <w:sz w:val="24"/>
          <w:szCs w:val="24"/>
          <w:lang w:bidi="ar"/>
        </w:rPr>
        <w:t>证券代码：</w:t>
      </w:r>
      <w:r>
        <w:rPr>
          <w:rFonts w:hint="eastAsia" w:ascii="宋体" w:hAnsi="宋体" w:eastAsia="宋体" w:cs="宋体"/>
          <w:sz w:val="24"/>
          <w:szCs w:val="24"/>
          <w:lang w:bidi="ar"/>
        </w:rPr>
        <w:t xml:space="preserve">【】                </w:t>
      </w:r>
      <w:r>
        <w:rPr>
          <w:rFonts w:hint="eastAsia" w:ascii="宋体" w:hAnsi="宋体" w:eastAsia="宋体" w:cs="宋体"/>
          <w:kern w:val="0"/>
          <w:sz w:val="24"/>
          <w:szCs w:val="24"/>
          <w:lang w:bidi="ar"/>
        </w:rPr>
        <w:t xml:space="preserve">                    证券简称：</w:t>
      </w:r>
      <w:r>
        <w:rPr>
          <w:rFonts w:hint="eastAsia" w:ascii="宋体" w:hAnsi="宋体" w:eastAsia="宋体" w:cs="宋体"/>
          <w:sz w:val="24"/>
          <w:szCs w:val="24"/>
          <w:lang w:bidi="ar"/>
        </w:rPr>
        <w:t xml:space="preserve">【】 </w:t>
      </w:r>
    </w:p>
    <w:p>
      <w:pPr>
        <w:adjustRightInd w:val="0"/>
        <w:snapToGrid w:val="0"/>
        <w:rPr>
          <w:rFonts w:hint="eastAsia" w:ascii="仿宋" w:hAnsi="仿宋" w:eastAsia="仿宋" w:cs="仿宋"/>
          <w:b/>
          <w:kern w:val="0"/>
          <w:sz w:val="21"/>
          <w:szCs w:val="21"/>
        </w:rPr>
      </w:pPr>
    </w:p>
    <w:p>
      <w:pPr>
        <w:adjustRightInd w:val="0"/>
        <w:snapToGrid w:val="0"/>
        <w:jc w:val="center"/>
        <w:rPr>
          <w:rFonts w:hint="eastAsia" w:ascii="黑体" w:hAnsi="黑体" w:eastAsia="黑体" w:cs="黑体"/>
          <w:b/>
          <w:kern w:val="0"/>
          <w:sz w:val="44"/>
          <w:szCs w:val="44"/>
        </w:rPr>
      </w:pPr>
      <w:r>
        <w:rPr>
          <w:rFonts w:hint="eastAsia" w:ascii="宋体" w:hAnsi="宋体" w:eastAsia="宋体" w:cs="宋体"/>
          <w:b/>
          <w:kern w:val="2"/>
          <w:sz w:val="28"/>
          <w:szCs w:val="28"/>
          <w:lang w:bidi="ar"/>
        </w:rPr>
        <w:t>【专项计划全称】预期收益率</w:t>
      </w:r>
      <w:r>
        <w:rPr>
          <w:rFonts w:hint="eastAsia" w:ascii="宋体" w:hAnsi="宋体" w:eastAsia="宋体" w:cs="宋体"/>
          <w:b/>
          <w:kern w:val="2"/>
          <w:sz w:val="28"/>
          <w:szCs w:val="28"/>
          <w:lang w:eastAsia="zh-CN" w:bidi="ar"/>
        </w:rPr>
        <w:t>/发行价格</w:t>
      </w:r>
      <w:r>
        <w:rPr>
          <w:rFonts w:hint="eastAsia" w:ascii="宋体" w:hAnsi="宋体" w:eastAsia="宋体" w:cs="宋体"/>
          <w:b/>
          <w:kern w:val="2"/>
          <w:sz w:val="28"/>
          <w:szCs w:val="28"/>
          <w:lang w:bidi="ar"/>
        </w:rPr>
        <w:t>公告</w:t>
      </w:r>
    </w:p>
    <w:p>
      <w:pPr>
        <w:adjustRightInd w:val="0"/>
        <w:snapToGrid w:val="0"/>
        <w:spacing w:line="360" w:lineRule="auto"/>
        <w:jc w:val="center"/>
        <w:rPr>
          <w:rFonts w:hint="eastAsia" w:ascii="宋体" w:hAnsi="宋体" w:eastAsia="宋体" w:cs="宋体"/>
          <w:sz w:val="24"/>
          <w:szCs w:val="24"/>
          <w:lang w:bidi="ar"/>
        </w:rPr>
      </w:pPr>
    </w:p>
    <w:p>
      <w:pPr>
        <w:adjustRightInd w:val="0"/>
        <w:snapToGrid w:val="0"/>
        <w:spacing w:line="360" w:lineRule="auto"/>
        <w:jc w:val="center"/>
        <w:rPr>
          <w:rFonts w:hint="eastAsia" w:ascii="宋体" w:hAnsi="宋体" w:eastAsia="宋体" w:cs="宋体"/>
          <w:b/>
          <w:kern w:val="0"/>
          <w:sz w:val="24"/>
          <w:szCs w:val="24"/>
        </w:rPr>
      </w:pPr>
      <w:r>
        <w:rPr>
          <w:rFonts w:hint="eastAsia" w:ascii="宋体" w:hAnsi="宋体" w:eastAsia="宋体" w:cs="宋体"/>
          <w:sz w:val="24"/>
          <w:szCs w:val="24"/>
          <w:lang w:bidi="ar"/>
        </w:rPr>
        <w:t>（应至少包括但不限于以下内容）</w:t>
      </w:r>
    </w:p>
    <w:p>
      <w:pPr>
        <w:adjustRightInd w:val="0"/>
        <w:snapToGrid w:val="0"/>
        <w:spacing w:line="360" w:lineRule="auto"/>
        <w:ind w:firstLine="0" w:firstLineChars="0"/>
        <w:rPr>
          <w:rFonts w:hint="eastAsia" w:ascii="仿宋" w:hAnsi="仿宋" w:eastAsia="仿宋" w:cs="仿宋"/>
          <w:kern w:val="0"/>
          <w:sz w:val="21"/>
          <w:szCs w:val="21"/>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根据深圳证券交易所20XX年XX月XX日出具的《关于XXXX“XXXX资产支持专项计划”符合深圳证券交易所挂牌条件的无异议函》（深证函[20XX]XXX号），【计划管理人全称】（以下简称“计划管理人”）拟作为计划管理人向专业机构投资者发行设立“XXXX资产支持专项计划”（以下简称本专项计划或专项计划）。</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sz w:val="24"/>
          <w:szCs w:val="24"/>
          <w:lang w:bidi="ar"/>
        </w:rPr>
        <w:t>（如为簿记建档发行）【】</w:t>
      </w:r>
      <w:r>
        <w:rPr>
          <w:rFonts w:hint="eastAsia" w:ascii="宋体" w:hAnsi="宋体" w:eastAsia="宋体" w:cs="宋体"/>
          <w:kern w:val="0"/>
          <w:sz w:val="24"/>
          <w:szCs w:val="24"/>
          <w:lang w:bidi="ar"/>
        </w:rPr>
        <w:t>年</w:t>
      </w:r>
      <w:r>
        <w:rPr>
          <w:rFonts w:hint="eastAsia" w:ascii="宋体" w:hAnsi="宋体" w:eastAsia="宋体" w:cs="宋体"/>
          <w:sz w:val="24"/>
          <w:szCs w:val="24"/>
          <w:lang w:bidi="ar"/>
        </w:rPr>
        <w:t>【】</w:t>
      </w:r>
      <w:r>
        <w:rPr>
          <w:rFonts w:hint="eastAsia" w:ascii="宋体" w:hAnsi="宋体" w:eastAsia="宋体" w:cs="宋体"/>
          <w:kern w:val="0"/>
          <w:sz w:val="24"/>
          <w:szCs w:val="24"/>
          <w:lang w:bidi="ar"/>
        </w:rPr>
        <w:t>月</w:t>
      </w:r>
      <w:r>
        <w:rPr>
          <w:rFonts w:hint="eastAsia" w:ascii="宋体" w:hAnsi="宋体" w:eastAsia="宋体" w:cs="宋体"/>
          <w:sz w:val="24"/>
          <w:szCs w:val="24"/>
          <w:lang w:bidi="ar"/>
        </w:rPr>
        <w:t>【】</w:t>
      </w:r>
      <w:r>
        <w:rPr>
          <w:rFonts w:hint="eastAsia" w:ascii="宋体" w:hAnsi="宋体" w:eastAsia="宋体" w:cs="宋体"/>
          <w:kern w:val="0"/>
          <w:sz w:val="24"/>
          <w:szCs w:val="24"/>
          <w:lang w:bidi="ar"/>
        </w:rPr>
        <w:t>日，计划管理人在网下向专业机构投资者进行了预期收益率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询价，（优先A档利率</w:t>
      </w:r>
      <w:r>
        <w:rPr>
          <w:rFonts w:hint="eastAsia" w:ascii="宋体" w:hAnsi="宋体" w:eastAsia="宋体" w:cs="宋体"/>
          <w:kern w:val="0"/>
          <w:sz w:val="24"/>
          <w:szCs w:val="24"/>
          <w:lang w:eastAsia="zh" w:bidi="ar"/>
        </w:rPr>
        <w:t>/价格</w:t>
      </w:r>
      <w:r>
        <w:rPr>
          <w:rFonts w:hint="eastAsia" w:ascii="宋体" w:hAnsi="宋体" w:eastAsia="宋体" w:cs="宋体"/>
          <w:kern w:val="0"/>
          <w:sz w:val="24"/>
          <w:szCs w:val="24"/>
          <w:lang w:bidi="ar"/>
        </w:rPr>
        <w:t>询价区间为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优先B档利率</w:t>
      </w:r>
      <w:r>
        <w:rPr>
          <w:rFonts w:hint="eastAsia" w:ascii="宋体" w:hAnsi="宋体" w:eastAsia="宋体" w:cs="宋体"/>
          <w:kern w:val="0"/>
          <w:sz w:val="24"/>
          <w:szCs w:val="24"/>
          <w:lang w:eastAsia="zh" w:bidi="ar"/>
        </w:rPr>
        <w:t>/价格</w:t>
      </w:r>
      <w:r>
        <w:rPr>
          <w:rFonts w:hint="eastAsia" w:ascii="宋体" w:hAnsi="宋体" w:eastAsia="宋体" w:cs="宋体"/>
          <w:kern w:val="0"/>
          <w:sz w:val="24"/>
          <w:szCs w:val="24"/>
          <w:lang w:bidi="ar"/>
        </w:rPr>
        <w:t>询价区间为【】，优先C档利率</w:t>
      </w:r>
      <w:r>
        <w:rPr>
          <w:rFonts w:hint="eastAsia" w:ascii="宋体" w:hAnsi="宋体" w:eastAsia="宋体" w:cs="宋体"/>
          <w:kern w:val="0"/>
          <w:sz w:val="24"/>
          <w:szCs w:val="24"/>
          <w:lang w:eastAsia="zh" w:bidi="ar"/>
        </w:rPr>
        <w:t>/价格</w:t>
      </w:r>
      <w:r>
        <w:rPr>
          <w:rFonts w:hint="eastAsia" w:ascii="宋体" w:hAnsi="宋体" w:eastAsia="宋体" w:cs="宋体"/>
          <w:kern w:val="0"/>
          <w:sz w:val="24"/>
          <w:szCs w:val="24"/>
          <w:lang w:bidi="ar"/>
        </w:rPr>
        <w:t>询价区间为【】……）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根据网下向专业机构投资者询价结果，经【说明预期收益率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确定方式】，最终确定本期专项计划优先A档预期收益率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，优先B档预期收益率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为【】，优先C档预期收益率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（如为协议发行）本专项计划采用协议发行，优先A档预期收益率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w:t>
      </w:r>
      <w:r>
        <w:rPr>
          <w:rFonts w:hint="eastAsia" w:ascii="宋体" w:hAnsi="宋体" w:eastAsia="宋体" w:cs="宋体"/>
          <w:sz w:val="24"/>
          <w:szCs w:val="24"/>
          <w:lang w:bidi="ar"/>
        </w:rPr>
        <w:t>【】，</w:t>
      </w:r>
      <w:r>
        <w:rPr>
          <w:rFonts w:hint="eastAsia" w:ascii="宋体" w:hAnsi="宋体" w:eastAsia="宋体" w:cs="宋体"/>
          <w:kern w:val="0"/>
          <w:sz w:val="24"/>
          <w:szCs w:val="24"/>
          <w:lang w:bidi="ar"/>
        </w:rPr>
        <w:t>优先B档预期收益率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为【】，优先C档预期收益率</w:t>
      </w:r>
      <w:r>
        <w:rPr>
          <w:rFonts w:hint="eastAsia" w:ascii="宋体" w:hAnsi="宋体" w:eastAsia="宋体" w:cs="宋体"/>
          <w:kern w:val="0"/>
          <w:sz w:val="24"/>
          <w:szCs w:val="24"/>
          <w:lang w:eastAsia="zh" w:bidi="ar"/>
        </w:rPr>
        <w:t>/发行价格</w:t>
      </w:r>
      <w:r>
        <w:rPr>
          <w:rFonts w:hint="eastAsia" w:ascii="宋体" w:hAnsi="宋体" w:eastAsia="宋体" w:cs="宋体"/>
          <w:kern w:val="0"/>
          <w:sz w:val="24"/>
          <w:szCs w:val="24"/>
          <w:lang w:bidi="ar"/>
        </w:rPr>
        <w:t>为【】……</w:t>
      </w:r>
    </w:p>
    <w:p>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bidi="ar"/>
        </w:rPr>
        <w:t>特此公告。</w:t>
      </w:r>
    </w:p>
    <w:p>
      <w:pPr>
        <w:adjustRightInd w:val="0"/>
        <w:snapToGrid w:val="0"/>
        <w:spacing w:line="360" w:lineRule="auto"/>
        <w:ind w:firstLine="480" w:firstLineChars="20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（本页以下无正文）</w:t>
      </w:r>
    </w:p>
    <w:p>
      <w:pPr>
        <w:adjustRightInd w:val="0"/>
        <w:snapToGrid w:val="0"/>
        <w:spacing w:line="360" w:lineRule="auto"/>
        <w:ind w:firstLine="480" w:firstLineChars="200"/>
        <w:rPr>
          <w:rFonts w:hint="eastAsia" w:ascii="宋体" w:hAnsi="宋体" w:eastAsia="宋体" w:cs="宋体"/>
          <w:kern w:val="0"/>
          <w:sz w:val="24"/>
          <w:szCs w:val="24"/>
          <w:lang w:bidi="ar"/>
        </w:rPr>
      </w:pPr>
    </w:p>
    <w:p>
      <w:pPr>
        <w:adjustRightInd w:val="0"/>
        <w:snapToGrid w:val="0"/>
        <w:spacing w:line="360" w:lineRule="auto"/>
        <w:ind w:firstLine="480" w:firstLineChars="200"/>
        <w:rPr>
          <w:rFonts w:hint="eastAsia" w:ascii="宋体" w:hAnsi="宋体" w:eastAsia="宋体" w:cs="宋体"/>
          <w:kern w:val="0"/>
          <w:sz w:val="24"/>
          <w:szCs w:val="24"/>
          <w:lang w:bidi="ar"/>
        </w:rPr>
      </w:pPr>
    </w:p>
    <w:p>
      <w:pPr>
        <w:adjustRightInd w:val="0"/>
        <w:snapToGrid w:val="0"/>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lang w:bidi="ar"/>
        </w:rPr>
        <w:t>【管理人名称】（盖章）</w:t>
      </w:r>
    </w:p>
    <w:p>
      <w:pPr>
        <w:adjustRightInd w:val="0"/>
        <w:snapToGrid w:val="0"/>
        <w:spacing w:line="360" w:lineRule="auto"/>
        <w:ind w:firstLine="480" w:firstLineChars="200"/>
        <w:jc w:val="righ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p>
    <w:p>
      <w:pPr>
        <w:adjustRightInd w:val="0"/>
        <w:snapToGrid w:val="0"/>
        <w:spacing w:line="360" w:lineRule="auto"/>
        <w:ind w:firstLine="480" w:firstLineChars="200"/>
        <w:rPr>
          <w:rFonts w:hint="eastAsia" w:ascii="宋体" w:hAnsi="宋体" w:eastAsia="宋体" w:cs="宋体"/>
          <w:kern w:val="0"/>
          <w:sz w:val="24"/>
          <w:szCs w:val="24"/>
        </w:rPr>
      </w:pPr>
    </w:p>
    <w:p>
      <w:pPr>
        <w:adjustRightInd w:val="0"/>
        <w:snapToGrid w:val="0"/>
        <w:rPr>
          <w:rFonts w:hint="eastAsia" w:ascii="仿宋" w:hAnsi="仿宋" w:eastAsia="仿宋" w:cs="仿宋"/>
          <w:kern w:val="0"/>
          <w:sz w:val="32"/>
          <w:szCs w:val="32"/>
        </w:rPr>
      </w:pPr>
      <w:r>
        <w:rPr>
          <w:rFonts w:hint="eastAsia" w:ascii="仿宋" w:hAnsi="仿宋" w:eastAsia="仿宋" w:cs="仿宋"/>
          <w:sz w:val="32"/>
          <w:szCs w:val="32"/>
          <w:lang w:bidi="ar"/>
        </w:rPr>
        <w:br w:type="page"/>
      </w:r>
    </w:p>
    <w:p>
      <w:pPr>
        <w:pStyle w:val="3"/>
        <w:widowControl/>
        <w:adjustRightInd/>
        <w:snapToGrid/>
        <w:outlineLvl w:val="1"/>
        <w:rPr>
          <w:rFonts w:hint="eastAsia" w:ascii="仿宋" w:hAnsi="仿宋" w:eastAsia="仿宋" w:cs="仿宋"/>
          <w:b w:val="0"/>
          <w:bCs w:val="0"/>
          <w:sz w:val="32"/>
          <w:szCs w:val="32"/>
        </w:rPr>
      </w:pPr>
      <w:bookmarkStart w:id="733" w:name="_Toc898"/>
      <w:bookmarkStart w:id="734" w:name="_Toc1964046419"/>
      <w:bookmarkStart w:id="735" w:name="_Toc9653"/>
      <w:bookmarkStart w:id="736" w:name="_Toc32556"/>
      <w:bookmarkStart w:id="737" w:name="_Toc31637"/>
      <w:bookmarkStart w:id="738" w:name="_Toc17722"/>
      <w:bookmarkStart w:id="739" w:name="_Toc24741"/>
      <w:bookmarkStart w:id="740" w:name="_Toc27749"/>
      <w:bookmarkStart w:id="741" w:name="_Toc4848"/>
      <w:bookmarkStart w:id="742" w:name="_Toc8158"/>
      <w:bookmarkStart w:id="743" w:name="_Toc14528"/>
      <w:bookmarkStart w:id="744" w:name="_Toc14904"/>
      <w:bookmarkStart w:id="745" w:name="_Toc892137176"/>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 xml:space="preserve">29 </w:t>
      </w:r>
      <w:r>
        <w:rPr>
          <w:rFonts w:hint="eastAsia" w:ascii="仿宋" w:hAnsi="仿宋" w:eastAsia="仿宋" w:cs="仿宋"/>
          <w:b w:val="0"/>
          <w:bCs w:val="0"/>
          <w:sz w:val="32"/>
          <w:szCs w:val="32"/>
        </w:rPr>
        <w:t>资产支持专项计划成立公告</w:t>
      </w:r>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adjustRightInd w:val="0"/>
        <w:snapToGrid w:val="0"/>
        <w:spacing w:line="360" w:lineRule="auto"/>
        <w:jc w:val="center"/>
        <w:outlineLvl w:val="9"/>
        <w:rPr>
          <w:rFonts w:hint="eastAsia" w:ascii="宋体" w:hAnsi="宋体" w:eastAsia="宋体" w:cs="宋体"/>
          <w:b/>
          <w:sz w:val="36"/>
          <w:szCs w:val="36"/>
          <w:lang w:bidi="ar"/>
        </w:rPr>
      </w:pPr>
      <w:r>
        <w:rPr>
          <w:rFonts w:hint="eastAsia" w:ascii="宋体" w:hAnsi="宋体" w:eastAsia="宋体" w:cs="宋体"/>
          <w:b/>
          <w:sz w:val="36"/>
          <w:szCs w:val="36"/>
          <w:lang w:bidi="ar"/>
        </w:rPr>
        <w:t>XXXX资产支持专项计划</w:t>
      </w:r>
    </w:p>
    <w:p>
      <w:pPr>
        <w:widowControl/>
        <w:adjustRightInd w:val="0"/>
        <w:snapToGrid w:val="0"/>
        <w:spacing w:line="360" w:lineRule="auto"/>
        <w:jc w:val="center"/>
        <w:outlineLvl w:val="9"/>
        <w:rPr>
          <w:rFonts w:hint="eastAsia" w:ascii="黑体" w:hAnsi="黑体" w:eastAsia="黑体" w:cs="黑体"/>
          <w:b/>
          <w:sz w:val="44"/>
          <w:szCs w:val="44"/>
        </w:rPr>
      </w:pPr>
      <w:r>
        <w:rPr>
          <w:rFonts w:hint="eastAsia" w:ascii="宋体" w:hAnsi="宋体" w:eastAsia="宋体" w:cs="宋体"/>
          <w:b/>
          <w:sz w:val="36"/>
          <w:szCs w:val="36"/>
          <w:lang w:bidi="ar"/>
        </w:rPr>
        <w:t>成立公告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lang w:bidi="ar"/>
        </w:rPr>
        <w:t>本公司保证公告内容真实、准确和完整，并对公告中的虚假记载、误导性陈述或者重大遗漏承担责任。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根据深圳证券交易所20XX年XX月XX日出具的《关于XXXX“XXXX资产支持专项计划”符合深圳证券交易所挂牌条件的无异议函》（深证函[20XX]XXX号），【计划管理人全称】（以下简称本公司）作为计划管理人向专业机构投资者发行设立“XXXX资产支持专项计划”（以下简称本专项计划或专项计划）。</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截至20XX年XX月XX日，本专项计划的销售推广工作已完成。截至XXXX年XX月XX日，经【会计师事务所名称】验资/经本公司核查并确认，专项计划/募集账户实际收到认购资金XXXX万元，达到《XXXX资产支持专项计划说明书》约定的专项计划目标募集规模/最低募集规模。</w:t>
      </w:r>
    </w:p>
    <w:p>
      <w:pPr>
        <w:adjustRightInd w:val="0"/>
        <w:snapToGrid w:val="0"/>
        <w:spacing w:line="360" w:lineRule="auto"/>
        <w:ind w:firstLine="480" w:firstLineChars="200"/>
        <w:rPr>
          <w:rFonts w:hint="eastAsia" w:ascii="宋体" w:hAnsi="宋体" w:eastAsia="宋体" w:cs="宋体"/>
          <w:sz w:val="24"/>
          <w:szCs w:val="24"/>
          <w:lang w:bidi="ar"/>
        </w:rPr>
      </w:pPr>
      <w:r>
        <w:rPr>
          <w:rFonts w:hint="eastAsia" w:ascii="宋体" w:hAnsi="宋体" w:eastAsia="宋体" w:cs="宋体"/>
          <w:sz w:val="24"/>
          <w:szCs w:val="24"/>
          <w:lang w:eastAsia="zh-CN" w:bidi="ar"/>
        </w:rPr>
        <w:t>【除在发行公告文件中披露的自持事项外，原始权益人持股比例超过百分之五的股东以及其他关联方参与其发行的资产支持证券认购情况（如有）】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根据《证券公司及基金管理公司子公司资产证券化业务管理规定》（以下简称《管理规定》）以及《XXXX资产支持专项计划说明书》《XXXX资产支持专项计划标准条款》等文件有关约定，本专项计划已符合成立条件，于20XX年XX月XX日正式成立，资产支持证券于当日开始计息。</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 xml:space="preserve"> </w:t>
      </w:r>
    </w:p>
    <w:p>
      <w:pPr>
        <w:pStyle w:val="27"/>
        <w:widowControl w:val="0"/>
        <w:numPr>
          <w:ilvl w:val="-1"/>
          <w:numId w:val="0"/>
        </w:numPr>
        <w:adjustRightInd w:val="0"/>
        <w:snapToGrid w:val="0"/>
        <w:spacing w:before="0" w:beforeAutospacing="0" w:after="0" w:afterAutospacing="0" w:line="360" w:lineRule="auto"/>
        <w:ind w:left="0" w:firstLine="480" w:firstLineChars="200"/>
        <w:jc w:val="both"/>
        <w:rPr>
          <w:rFonts w:hint="eastAsia" w:ascii="宋体" w:hAnsi="宋体" w:eastAsia="宋体" w:cs="宋体"/>
          <w:kern w:val="2"/>
          <w:sz w:val="24"/>
          <w:szCs w:val="24"/>
        </w:rPr>
      </w:pPr>
      <w:r>
        <w:rPr>
          <w:rFonts w:hint="eastAsia" w:cs="宋体"/>
          <w:kern w:val="2"/>
          <w:sz w:val="24"/>
          <w:szCs w:val="24"/>
          <w:lang w:eastAsia="zh-CN" w:bidi="ar"/>
        </w:rPr>
        <w:t>一、</w:t>
      </w:r>
      <w:r>
        <w:rPr>
          <w:rFonts w:hint="eastAsia" w:ascii="宋体" w:hAnsi="宋体" w:eastAsia="宋体" w:cs="宋体"/>
          <w:kern w:val="2"/>
          <w:sz w:val="24"/>
          <w:szCs w:val="24"/>
          <w:lang w:bidi="ar"/>
        </w:rPr>
        <w:t>专项计划基本情况</w:t>
      </w:r>
    </w:p>
    <w:tbl>
      <w:tblPr>
        <w:tblStyle w:val="3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778"/>
        <w:gridCol w:w="620"/>
        <w:gridCol w:w="936"/>
        <w:gridCol w:w="785"/>
        <w:gridCol w:w="826"/>
        <w:gridCol w:w="911"/>
        <w:gridCol w:w="839"/>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资产支持证券简称</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发行规模</w:t>
            </w: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(万元)</w:t>
            </w: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认购倍数</w:t>
            </w: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每份面值（元）</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lang w:eastAsia="zh" w:bidi="ar"/>
              </w:rPr>
            </w:pPr>
            <w:r>
              <w:rPr>
                <w:rFonts w:hint="eastAsia" w:ascii="宋体" w:hAnsi="宋体" w:eastAsia="宋体" w:cs="宋体"/>
                <w:sz w:val="24"/>
                <w:szCs w:val="24"/>
                <w:lang w:eastAsia="zh" w:bidi="ar"/>
              </w:rPr>
              <w:t>发行价格（如有）</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sz w:val="24"/>
                <w:szCs w:val="24"/>
                <w:lang w:eastAsia="zh"/>
              </w:rPr>
            </w:pPr>
            <w:r>
              <w:rPr>
                <w:rFonts w:hint="eastAsia" w:ascii="宋体" w:hAnsi="宋体" w:eastAsia="宋体" w:cs="宋体"/>
                <w:sz w:val="24"/>
                <w:szCs w:val="24"/>
                <w:lang w:bidi="ar"/>
              </w:rPr>
              <w:t>信用评级</w:t>
            </w:r>
            <w:r>
              <w:rPr>
                <w:rFonts w:hint="eastAsia" w:ascii="宋体" w:hAnsi="宋体" w:eastAsia="宋体" w:cs="宋体"/>
                <w:sz w:val="24"/>
                <w:szCs w:val="24"/>
                <w:lang w:eastAsia="zh" w:bidi="ar"/>
              </w:rPr>
              <w:t>（如有）</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预期收益率</w:t>
            </w: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预期到期日</w:t>
            </w: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还本付息方式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（优先级A）</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（优先级B）</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（优先级C）</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（次级</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3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6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5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合计(亿元)</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37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推广对象</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lang w:bidi="ar"/>
              </w:rPr>
            </w:pPr>
          </w:p>
        </w:tc>
        <w:tc>
          <w:tcPr>
            <w:tcW w:w="37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符合《管理规定》以及《深圳证券交易所债券市场投资者适当性管理办法（2023年修订）》的专业机构投资者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托管银行</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sz w:val="24"/>
                <w:szCs w:val="24"/>
              </w:rPr>
            </w:pPr>
          </w:p>
        </w:tc>
        <w:tc>
          <w:tcPr>
            <w:tcW w:w="37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登记机构</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lang w:bidi="ar"/>
              </w:rPr>
            </w:pPr>
          </w:p>
        </w:tc>
        <w:tc>
          <w:tcPr>
            <w:tcW w:w="37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中国证券登记结算有限责任公司深圳分公司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lang w:bidi="ar"/>
              </w:rPr>
              <w:t>交易场所</w:t>
            </w: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leftChars="0" w:right="0" w:firstLine="0" w:firstLineChars="0"/>
              <w:jc w:val="center"/>
              <w:rPr>
                <w:rFonts w:hint="eastAsia" w:ascii="宋体" w:hAnsi="宋体" w:eastAsia="宋体" w:cs="宋体"/>
                <w:sz w:val="24"/>
                <w:szCs w:val="24"/>
                <w:lang w:bidi="ar"/>
              </w:rPr>
            </w:pPr>
          </w:p>
        </w:tc>
        <w:tc>
          <w:tcPr>
            <w:tcW w:w="372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sz w:val="24"/>
                <w:szCs w:val="24"/>
                <w:lang w:bidi="ar"/>
              </w:rPr>
            </w:pPr>
            <w:r>
              <w:rPr>
                <w:rFonts w:hint="eastAsia" w:ascii="宋体" w:hAnsi="宋体" w:eastAsia="宋体" w:cs="宋体"/>
                <w:sz w:val="24"/>
                <w:szCs w:val="24"/>
                <w:lang w:bidi="ar"/>
              </w:rPr>
              <w:t>深圳证券交易所</w:t>
            </w:r>
          </w:p>
        </w:tc>
      </w:tr>
    </w:tbl>
    <w:p>
      <w:pPr>
        <w:pStyle w:val="27"/>
        <w:widowControl w:val="0"/>
        <w:adjustRightInd w:val="0"/>
        <w:snapToGrid w:val="0"/>
        <w:spacing w:before="0" w:beforeAutospacing="0" w:after="0" w:afterAutospacing="0" w:line="360" w:lineRule="auto"/>
        <w:ind w:left="780"/>
        <w:jc w:val="both"/>
        <w:rPr>
          <w:rFonts w:hint="eastAsia" w:ascii="宋体" w:hAnsi="宋体" w:eastAsia="宋体" w:cs="宋体"/>
          <w:kern w:val="2"/>
          <w:sz w:val="24"/>
          <w:szCs w:val="24"/>
        </w:rPr>
      </w:pPr>
      <w:r>
        <w:rPr>
          <w:rFonts w:hint="eastAsia" w:ascii="宋体" w:hAnsi="宋体" w:eastAsia="宋体" w:cs="宋体"/>
          <w:kern w:val="2"/>
          <w:sz w:val="24"/>
          <w:szCs w:val="24"/>
          <w:lang w:bidi="ar"/>
        </w:rPr>
        <w:t xml:space="preserve"> </w:t>
      </w:r>
    </w:p>
    <w:p>
      <w:pPr>
        <w:pStyle w:val="27"/>
        <w:widowControl w:val="0"/>
        <w:numPr>
          <w:ilvl w:val="-1"/>
          <w:numId w:val="0"/>
        </w:numPr>
        <w:adjustRightInd w:val="0"/>
        <w:snapToGrid w:val="0"/>
        <w:spacing w:before="0" w:beforeAutospacing="0" w:after="0" w:afterAutospacing="0" w:line="360" w:lineRule="auto"/>
        <w:ind w:left="0" w:firstLine="480" w:firstLineChars="200"/>
        <w:jc w:val="both"/>
        <w:rPr>
          <w:rFonts w:hint="eastAsia" w:ascii="宋体" w:hAnsi="宋体" w:eastAsia="宋体" w:cs="宋体"/>
          <w:kern w:val="2"/>
          <w:sz w:val="24"/>
          <w:szCs w:val="24"/>
        </w:rPr>
      </w:pPr>
      <w:r>
        <w:rPr>
          <w:rFonts w:hint="eastAsia" w:cs="宋体"/>
          <w:kern w:val="2"/>
          <w:sz w:val="24"/>
          <w:szCs w:val="24"/>
          <w:lang w:eastAsia="zh-CN" w:bidi="ar"/>
        </w:rPr>
        <w:t>二、</w:t>
      </w:r>
      <w:r>
        <w:rPr>
          <w:rFonts w:hint="eastAsia" w:ascii="宋体" w:hAnsi="宋体" w:eastAsia="宋体" w:cs="宋体"/>
          <w:kern w:val="2"/>
          <w:sz w:val="24"/>
          <w:szCs w:val="24"/>
          <w:lang w:bidi="ar"/>
        </w:rPr>
        <w:t>专项计划备查文件</w:t>
      </w:r>
    </w:p>
    <w:p>
      <w:pPr>
        <w:pStyle w:val="27"/>
        <w:widowControl w:val="0"/>
        <w:numPr>
          <w:ilvl w:val="-1"/>
          <w:numId w:val="0"/>
        </w:numPr>
        <w:adjustRightInd w:val="0"/>
        <w:snapToGrid w:val="0"/>
        <w:spacing w:before="0" w:beforeAutospacing="0" w:after="0" w:afterAutospacing="0" w:line="360" w:lineRule="auto"/>
        <w:ind w:left="0" w:firstLine="480" w:firstLineChars="200"/>
        <w:jc w:val="both"/>
        <w:rPr>
          <w:rFonts w:hint="eastAsia" w:ascii="宋体" w:hAnsi="宋体" w:eastAsia="宋体" w:cs="宋体"/>
          <w:kern w:val="2"/>
          <w:sz w:val="24"/>
          <w:szCs w:val="24"/>
        </w:rPr>
      </w:pPr>
      <w:r>
        <w:rPr>
          <w:rFonts w:hint="eastAsia" w:cs="宋体"/>
          <w:kern w:val="2"/>
          <w:sz w:val="24"/>
          <w:szCs w:val="24"/>
          <w:lang w:val="en-US" w:eastAsia="zh-CN" w:bidi="ar"/>
        </w:rPr>
        <w:t>1、</w:t>
      </w:r>
      <w:r>
        <w:rPr>
          <w:rFonts w:hint="eastAsia" w:ascii="宋体" w:hAnsi="宋体" w:eastAsia="宋体" w:cs="宋体"/>
          <w:kern w:val="2"/>
          <w:sz w:val="24"/>
          <w:szCs w:val="24"/>
          <w:lang w:bidi="ar"/>
        </w:rPr>
        <w:t>XXXX资产支持专项计划计划说明书</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2、</w:t>
      </w:r>
      <w:r>
        <w:rPr>
          <w:rFonts w:hint="eastAsia" w:ascii="宋体" w:hAnsi="宋体" w:eastAsia="宋体" w:cs="宋体"/>
          <w:kern w:val="2"/>
          <w:sz w:val="24"/>
          <w:szCs w:val="24"/>
          <w:lang w:bidi="ar"/>
        </w:rPr>
        <w:t>XXXX资产支持专项计划标准条款</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3、</w:t>
      </w:r>
      <w:r>
        <w:rPr>
          <w:rFonts w:hint="eastAsia" w:ascii="宋体" w:hAnsi="宋体" w:eastAsia="宋体" w:cs="宋体"/>
          <w:kern w:val="2"/>
          <w:sz w:val="24"/>
          <w:szCs w:val="24"/>
          <w:lang w:bidi="ar"/>
        </w:rPr>
        <w:t>XXXX资产支持专项计划认购协议及风险揭示书</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4、</w:t>
      </w:r>
      <w:r>
        <w:rPr>
          <w:rFonts w:hint="eastAsia" w:ascii="宋体" w:hAnsi="宋体" w:eastAsia="宋体" w:cs="宋体"/>
          <w:kern w:val="2"/>
          <w:sz w:val="24"/>
          <w:szCs w:val="24"/>
          <w:lang w:bidi="ar"/>
        </w:rPr>
        <w:t>XXXX资产支持专项计划</w:t>
      </w:r>
      <w:r>
        <w:rPr>
          <w:rFonts w:hint="eastAsia" w:ascii="宋体" w:hAnsi="宋体" w:eastAsia="宋体" w:cs="宋体"/>
          <w:sz w:val="24"/>
          <w:szCs w:val="24"/>
          <w:lang w:bidi="ar"/>
        </w:rPr>
        <w:t>基础资产买卖协议</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5、</w:t>
      </w:r>
      <w:r>
        <w:rPr>
          <w:rFonts w:hint="eastAsia" w:ascii="宋体" w:hAnsi="宋体" w:eastAsia="宋体" w:cs="宋体"/>
          <w:kern w:val="2"/>
          <w:sz w:val="24"/>
          <w:szCs w:val="24"/>
          <w:lang w:bidi="ar"/>
        </w:rPr>
        <w:t>XXXX资产支持专项计划</w:t>
      </w:r>
      <w:r>
        <w:rPr>
          <w:rFonts w:hint="eastAsia" w:ascii="宋体" w:hAnsi="宋体" w:eastAsia="宋体" w:cs="宋体"/>
          <w:sz w:val="24"/>
          <w:szCs w:val="24"/>
          <w:lang w:bidi="ar"/>
        </w:rPr>
        <w:t>托管协议</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6、</w:t>
      </w:r>
      <w:r>
        <w:rPr>
          <w:rFonts w:hint="eastAsia" w:ascii="宋体" w:hAnsi="宋体" w:eastAsia="宋体" w:cs="宋体"/>
          <w:kern w:val="2"/>
          <w:sz w:val="24"/>
          <w:szCs w:val="24"/>
          <w:lang w:bidi="ar"/>
        </w:rPr>
        <w:t>XXXX资产支持专项计划</w:t>
      </w:r>
      <w:r>
        <w:rPr>
          <w:rFonts w:hint="eastAsia" w:ascii="宋体" w:hAnsi="宋体" w:eastAsia="宋体" w:cs="宋体"/>
          <w:sz w:val="24"/>
          <w:szCs w:val="24"/>
          <w:lang w:bidi="ar"/>
        </w:rPr>
        <w:t>资产服务协议（如有）</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7、</w:t>
      </w:r>
      <w:r>
        <w:rPr>
          <w:rFonts w:hint="eastAsia" w:ascii="宋体" w:hAnsi="宋体" w:eastAsia="宋体" w:cs="宋体"/>
          <w:kern w:val="2"/>
          <w:sz w:val="24"/>
          <w:szCs w:val="24"/>
          <w:lang w:bidi="ar"/>
        </w:rPr>
        <w:t>XXXX资产支持专项计划</w:t>
      </w:r>
      <w:r>
        <w:rPr>
          <w:rFonts w:hint="eastAsia" w:ascii="宋体" w:hAnsi="宋体" w:eastAsia="宋体" w:cs="宋体"/>
          <w:sz w:val="24"/>
          <w:szCs w:val="24"/>
          <w:lang w:bidi="ar"/>
        </w:rPr>
        <w:t>法律意见书</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8、</w:t>
      </w:r>
      <w:r>
        <w:rPr>
          <w:rFonts w:hint="eastAsia" w:ascii="宋体" w:hAnsi="宋体" w:eastAsia="宋体" w:cs="宋体"/>
          <w:kern w:val="2"/>
          <w:sz w:val="24"/>
          <w:szCs w:val="24"/>
          <w:lang w:bidi="ar"/>
        </w:rPr>
        <w:t>XXXX资产支持专项计划信用评级报告</w:t>
      </w:r>
      <w:r>
        <w:rPr>
          <w:rFonts w:hint="eastAsia" w:ascii="宋体" w:hAnsi="宋体" w:eastAsia="宋体" w:cs="宋体"/>
          <w:sz w:val="24"/>
          <w:szCs w:val="24"/>
          <w:lang w:bidi="ar"/>
        </w:rPr>
        <w:t>（如有）</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cs="宋体"/>
          <w:kern w:val="2"/>
          <w:sz w:val="24"/>
          <w:szCs w:val="24"/>
          <w:lang w:val="en-US" w:eastAsia="zh-CN" w:bidi="ar"/>
        </w:rPr>
        <w:t>9、</w:t>
      </w:r>
      <w:r>
        <w:rPr>
          <w:rFonts w:hint="eastAsia" w:ascii="宋体" w:hAnsi="宋体" w:eastAsia="宋体" w:cs="宋体"/>
          <w:kern w:val="2"/>
          <w:sz w:val="24"/>
          <w:szCs w:val="24"/>
          <w:lang w:bidi="ar"/>
        </w:rPr>
        <w:t>计划管理人的业务资质证明、营业执照和公司章程</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10、</w:t>
      </w:r>
      <w:r>
        <w:rPr>
          <w:rFonts w:hint="eastAsia" w:ascii="宋体" w:hAnsi="宋体" w:eastAsia="宋体" w:cs="宋体"/>
          <w:kern w:val="2"/>
          <w:sz w:val="24"/>
          <w:szCs w:val="24"/>
          <w:lang w:bidi="ar"/>
        </w:rPr>
        <w:t>原始权益人的营业执照和公司章程（如有）</w:t>
      </w:r>
    </w:p>
    <w:p>
      <w:pPr>
        <w:pStyle w:val="27"/>
        <w:widowControl w:val="0"/>
        <w:numPr>
          <w:ilvl w:val="-1"/>
          <w:numId w:val="0"/>
        </w:numPr>
        <w:adjustRightInd w:val="0"/>
        <w:snapToGrid w:val="0"/>
        <w:spacing w:before="0" w:beforeAutospacing="0" w:after="0" w:afterAutospacing="0" w:line="360" w:lineRule="auto"/>
        <w:ind w:left="492" w:firstLine="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w:t>
      </w:r>
      <w:r>
        <w:rPr>
          <w:rFonts w:hint="eastAsia" w:ascii="宋体" w:hAnsi="宋体" w:eastAsia="宋体" w:cs="宋体"/>
          <w:kern w:val="2"/>
          <w:sz w:val="24"/>
          <w:szCs w:val="24"/>
          <w:lang w:bidi="ar"/>
        </w:rPr>
        <w:t>托管银行的业务资质证明、营业执照和金融许可证</w:t>
      </w:r>
    </w:p>
    <w:p>
      <w:pPr>
        <w:adjustRightInd w:val="0"/>
        <w:snapToGrid w:val="0"/>
        <w:spacing w:line="360" w:lineRule="auto"/>
        <w:ind w:left="492"/>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备查文件查阅地点：XXXX（计划管理人名称）</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联系地址：XXXX</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联系电话：区号-XXXXX XXXX</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传真：区号-XXXXX XXXX</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联系人：XXX、XXX</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特此公告。</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lang w:bidi="ar"/>
        </w:rPr>
        <w:t>【管理人名称】（盖章）</w:t>
      </w:r>
    </w:p>
    <w:p>
      <w:pPr>
        <w:adjustRightInd w:val="0"/>
        <w:snapToGrid w:val="0"/>
        <w:jc w:val="right"/>
        <w:rPr>
          <w:rFonts w:hint="eastAsia" w:ascii="仿宋" w:hAnsi="仿宋" w:eastAsia="仿宋" w:cs="仿宋"/>
          <w:kern w:val="0"/>
          <w:sz w:val="21"/>
          <w:szCs w:val="21"/>
          <w:lang w:bidi="ar"/>
        </w:rPr>
      </w:pPr>
      <w:r>
        <w:rPr>
          <w:rFonts w:hint="eastAsia" w:ascii="宋体" w:hAnsi="宋体" w:eastAsia="宋体" w:cs="宋体"/>
          <w:kern w:val="0"/>
          <w:sz w:val="24"/>
          <w:szCs w:val="24"/>
          <w:lang w:bidi="ar"/>
        </w:rPr>
        <w:t xml:space="preserve"> </w:t>
      </w:r>
      <w:r>
        <w:rPr>
          <w:rFonts w:hint="eastAsia" w:ascii="宋体" w:hAnsi="宋体" w:eastAsia="宋体" w:cs="宋体"/>
          <w:sz w:val="24"/>
          <w:szCs w:val="24"/>
          <w:lang w:bidi="ar"/>
        </w:rPr>
        <w:t>【</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】年【</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】月【</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】日</w:t>
      </w:r>
      <w:r>
        <w:rPr>
          <w:rFonts w:hint="eastAsia" w:ascii="仿宋" w:hAnsi="仿宋" w:eastAsia="仿宋" w:cs="仿宋"/>
          <w:kern w:val="0"/>
          <w:sz w:val="21"/>
          <w:szCs w:val="21"/>
          <w:lang w:bidi="ar"/>
        </w:rPr>
        <w:br w:type="page"/>
      </w:r>
    </w:p>
    <w:p>
      <w:pPr>
        <w:pStyle w:val="3"/>
        <w:widowControl/>
        <w:adjustRightInd/>
        <w:snapToGrid/>
        <w:outlineLvl w:val="1"/>
        <w:rPr>
          <w:rFonts w:hint="eastAsia" w:ascii="仿宋" w:hAnsi="仿宋" w:eastAsia="仿宋" w:cs="仿宋"/>
          <w:b w:val="0"/>
          <w:bCs w:val="0"/>
          <w:sz w:val="32"/>
          <w:szCs w:val="32"/>
        </w:rPr>
      </w:pPr>
      <w:bookmarkStart w:id="746" w:name="_Toc27317"/>
      <w:bookmarkStart w:id="747" w:name="_Toc25187"/>
      <w:bookmarkStart w:id="748" w:name="_Toc13184"/>
      <w:bookmarkStart w:id="749" w:name="_Toc24539"/>
      <w:bookmarkStart w:id="750" w:name="_Toc18186"/>
      <w:bookmarkStart w:id="751" w:name="_Toc23801"/>
      <w:bookmarkStart w:id="752" w:name="_Toc18328"/>
      <w:bookmarkStart w:id="753" w:name="_Toc7658"/>
      <w:bookmarkStart w:id="754" w:name="_Toc1789213649"/>
      <w:bookmarkStart w:id="755" w:name="_Toc29878"/>
      <w:bookmarkStart w:id="756" w:name="_Toc28552"/>
      <w:bookmarkStart w:id="757" w:name="_Toc7598"/>
      <w:bookmarkStart w:id="758" w:name="_Toc1929662807"/>
      <w:r>
        <w:rPr>
          <w:rFonts w:hint="eastAsia" w:ascii="仿宋" w:hAnsi="仿宋" w:eastAsia="仿宋" w:cs="仿宋"/>
          <w:b w:val="0"/>
          <w:bCs w:val="0"/>
          <w:sz w:val="32"/>
          <w:szCs w:val="32"/>
        </w:rPr>
        <w:t>附件</w:t>
      </w:r>
      <w:r>
        <w:rPr>
          <w:rFonts w:hint="eastAsia" w:ascii="仿宋" w:hAnsi="仿宋" w:eastAsia="仿宋" w:cs="仿宋"/>
          <w:b w:val="0"/>
          <w:bCs w:val="0"/>
          <w:sz w:val="32"/>
          <w:szCs w:val="32"/>
          <w:lang w:val="en-US" w:eastAsia="zh-CN"/>
        </w:rPr>
        <w:t xml:space="preserve">30 </w:t>
      </w:r>
      <w:r>
        <w:rPr>
          <w:rFonts w:hint="eastAsia" w:ascii="仿宋" w:hAnsi="仿宋" w:eastAsia="仿宋" w:cs="仿宋"/>
          <w:b w:val="0"/>
          <w:bCs w:val="0"/>
          <w:sz w:val="32"/>
          <w:szCs w:val="32"/>
        </w:rPr>
        <w:t>收款证明及责任承诺（资产支持证券）</w:t>
      </w:r>
      <w:bookmarkEnd w:id="746"/>
      <w:bookmarkEnd w:id="747"/>
      <w:bookmarkEnd w:id="748"/>
      <w:bookmarkEnd w:id="749"/>
      <w:bookmarkEnd w:id="750"/>
      <w:bookmarkEnd w:id="751"/>
      <w:bookmarkEnd w:id="752"/>
      <w:bookmarkEnd w:id="753"/>
      <w:bookmarkEnd w:id="754"/>
      <w:bookmarkEnd w:id="755"/>
      <w:bookmarkEnd w:id="756"/>
      <w:bookmarkEnd w:id="757"/>
      <w:bookmarkEnd w:id="758"/>
    </w:p>
    <w:p>
      <w:pPr>
        <w:adjustRightInd w:val="0"/>
        <w:snapToGrid w:val="0"/>
        <w:spacing w:line="360" w:lineRule="auto"/>
        <w:jc w:val="center"/>
        <w:outlineLvl w:val="9"/>
        <w:rPr>
          <w:rFonts w:hint="eastAsia" w:ascii="方正小标宋_GBK" w:hAnsi="方正小标宋_GBK" w:eastAsia="方正小标宋_GBK" w:cs="方正小标宋_GBK"/>
          <w:sz w:val="44"/>
          <w:szCs w:val="44"/>
        </w:rPr>
      </w:pPr>
      <w:r>
        <w:rPr>
          <w:rFonts w:hint="eastAsia" w:ascii="黑体" w:hAnsi="黑体" w:eastAsia="黑体" w:cs="黑体"/>
          <w:sz w:val="44"/>
          <w:szCs w:val="44"/>
          <w:lang w:bidi="ar"/>
        </w:rPr>
        <w:t>收款证明及责任承诺</w:t>
      </w:r>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rPr>
          <w:rFonts w:hint="eastAsia" w:ascii="仿宋" w:hAnsi="仿宋" w:eastAsia="仿宋" w:cs="仿宋"/>
          <w:sz w:val="21"/>
          <w:szCs w:val="21"/>
        </w:rPr>
      </w:pPr>
      <w:r>
        <w:rPr>
          <w:rFonts w:hint="eastAsia" w:ascii="仿宋" w:hAnsi="仿宋" w:eastAsia="仿宋" w:cs="仿宋"/>
          <w:sz w:val="21"/>
          <w:szCs w:val="21"/>
          <w:lang w:bidi="ar"/>
        </w:rPr>
        <w:t xml:space="preserve"> </w:t>
      </w:r>
    </w:p>
    <w:p>
      <w:pPr>
        <w:adjustRightInd w:val="0"/>
        <w:snapToGrid w:val="0"/>
        <w:spacing w:line="360" w:lineRule="auto"/>
        <w:rPr>
          <w:rFonts w:hint="eastAsia" w:ascii="宋体" w:hAnsi="宋体" w:eastAsia="宋体" w:cs="宋体"/>
          <w:b/>
          <w:sz w:val="24"/>
          <w:szCs w:val="24"/>
        </w:rPr>
      </w:pPr>
      <w:r>
        <w:rPr>
          <w:rFonts w:hint="eastAsia" w:ascii="宋体" w:hAnsi="宋体" w:eastAsia="宋体" w:cs="宋体"/>
          <w:b/>
          <w:sz w:val="24"/>
          <w:szCs w:val="24"/>
          <w:lang w:bidi="ar"/>
        </w:rPr>
        <w:t>中国证券登记结算有限责任公司深圳分公司：</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我公司本次</w:t>
      </w:r>
      <w:r>
        <w:rPr>
          <w:rFonts w:hint="eastAsia" w:ascii="宋体" w:hAnsi="宋体" w:eastAsia="宋体" w:cs="宋体"/>
          <w:sz w:val="24"/>
          <w:szCs w:val="24"/>
          <w:u w:val="single"/>
          <w:lang w:bidi="ar"/>
        </w:rPr>
        <w:t xml:space="preserve"> [填写资产支持专项计划名称]</w:t>
      </w:r>
      <w:r>
        <w:rPr>
          <w:rFonts w:hint="eastAsia" w:ascii="宋体" w:hAnsi="宋体" w:eastAsia="宋体" w:cs="宋体"/>
          <w:sz w:val="24"/>
          <w:szCs w:val="24"/>
          <w:lang w:bidi="ar"/>
        </w:rPr>
        <w:t>资产支持专项计划发行金额______万元，其中，</w:t>
      </w:r>
      <w:r>
        <w:rPr>
          <w:rFonts w:hint="eastAsia" w:ascii="宋体" w:hAnsi="宋体" w:eastAsia="宋体" w:cs="宋体"/>
          <w:sz w:val="24"/>
          <w:szCs w:val="24"/>
          <w:u w:val="single"/>
          <w:lang w:bidi="ar"/>
        </w:rPr>
        <w:t>[填写优先级1简称]（证券代码：）</w:t>
      </w:r>
      <w:r>
        <w:rPr>
          <w:rFonts w:hint="eastAsia" w:ascii="宋体" w:hAnsi="宋体" w:eastAsia="宋体" w:cs="宋体"/>
          <w:sz w:val="24"/>
          <w:szCs w:val="24"/>
          <w:lang w:bidi="ar"/>
        </w:rPr>
        <w:t>发行金额______万元，</w:t>
      </w:r>
      <w:r>
        <w:rPr>
          <w:rFonts w:hint="eastAsia" w:ascii="宋体" w:hAnsi="宋体" w:eastAsia="宋体" w:cs="宋体"/>
          <w:sz w:val="24"/>
          <w:szCs w:val="24"/>
          <w:u w:val="single"/>
          <w:lang w:bidi="ar"/>
        </w:rPr>
        <w:t>[填写优先级2简称]（证券代码：）</w:t>
      </w:r>
      <w:r>
        <w:rPr>
          <w:rFonts w:hint="eastAsia" w:ascii="宋体" w:hAnsi="宋体" w:eastAsia="宋体" w:cs="宋体"/>
          <w:sz w:val="24"/>
          <w:szCs w:val="24"/>
          <w:lang w:bidi="ar"/>
        </w:rPr>
        <w:t>发行金额______万元，</w:t>
      </w:r>
      <w:r>
        <w:rPr>
          <w:rFonts w:hint="eastAsia" w:ascii="宋体" w:hAnsi="宋体" w:eastAsia="宋体" w:cs="宋体"/>
          <w:sz w:val="24"/>
          <w:szCs w:val="24"/>
          <w:u w:val="single"/>
          <w:lang w:bidi="ar"/>
        </w:rPr>
        <w:t>[填写优先级3简称]（证券代码：）</w:t>
      </w:r>
      <w:r>
        <w:rPr>
          <w:rFonts w:hint="eastAsia" w:ascii="宋体" w:hAnsi="宋体" w:eastAsia="宋体" w:cs="宋体"/>
          <w:sz w:val="24"/>
          <w:szCs w:val="24"/>
          <w:lang w:bidi="ar"/>
        </w:rPr>
        <w:t>发行金额______万元……，</w:t>
      </w:r>
      <w:r>
        <w:rPr>
          <w:rFonts w:hint="eastAsia" w:ascii="宋体" w:hAnsi="宋体" w:eastAsia="宋体" w:cs="宋体"/>
          <w:sz w:val="24"/>
          <w:szCs w:val="24"/>
          <w:u w:val="single"/>
          <w:lang w:bidi="ar"/>
        </w:rPr>
        <w:t>[填写次级简称]（证券代码：）</w:t>
      </w:r>
      <w:r>
        <w:rPr>
          <w:rFonts w:hint="eastAsia" w:ascii="宋体" w:hAnsi="宋体" w:eastAsia="宋体" w:cs="宋体"/>
          <w:sz w:val="24"/>
          <w:szCs w:val="24"/>
          <w:lang w:bidi="ar"/>
        </w:rPr>
        <w:t>发行金额______万元。</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专项计划募集资金金额为人民币 [</w:t>
      </w:r>
      <w:r>
        <w:rPr>
          <w:rFonts w:hint="eastAsia" w:ascii="宋体" w:hAnsi="宋体" w:eastAsia="宋体" w:cs="宋体"/>
          <w:sz w:val="24"/>
          <w:szCs w:val="24"/>
          <w:u w:val="single"/>
          <w:lang w:bidi="ar"/>
        </w:rPr>
        <w:t>填写大写金额]</w:t>
      </w:r>
      <w:r>
        <w:rPr>
          <w:rFonts w:hint="eastAsia" w:ascii="宋体" w:hAnsi="宋体" w:eastAsia="宋体" w:cs="宋体"/>
          <w:sz w:val="24"/>
          <w:szCs w:val="24"/>
          <w:lang w:bidi="ar"/>
        </w:rPr>
        <w:t>（￥</w:t>
      </w:r>
      <w:r>
        <w:rPr>
          <w:rFonts w:hint="eastAsia" w:ascii="宋体" w:hAnsi="宋体" w:eastAsia="宋体" w:cs="宋体"/>
          <w:sz w:val="24"/>
          <w:szCs w:val="24"/>
          <w:u w:val="single"/>
          <w:lang w:bidi="ar"/>
        </w:rPr>
        <w:t>[填写数字金额]</w:t>
      </w:r>
      <w:r>
        <w:rPr>
          <w:rFonts w:hint="eastAsia" w:ascii="宋体" w:hAnsi="宋体" w:eastAsia="宋体" w:cs="宋体"/>
          <w:sz w:val="24"/>
          <w:szCs w:val="24"/>
          <w:lang w:bidi="ar"/>
        </w:rPr>
        <w:t>元），募集资金已于 年 月 日足额到位。因募集资金未及时或未足额到位引发的全部法律责任，均由我公司承担，与贵公司无涉。</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lang w:bidi="ar"/>
        </w:rPr>
        <w:t xml:space="preserve"> </w:t>
      </w:r>
    </w:p>
    <w:p>
      <w:pPr>
        <w:adjustRightInd w:val="0"/>
        <w:snapToGrid w:val="0"/>
        <w:spacing w:line="360" w:lineRule="auto"/>
        <w:ind w:firstLine="3960" w:firstLineChars="1650"/>
        <w:jc w:val="left"/>
        <w:rPr>
          <w:rFonts w:hint="eastAsia" w:ascii="宋体" w:hAnsi="宋体" w:eastAsia="宋体" w:cs="宋体"/>
          <w:bCs/>
          <w:sz w:val="24"/>
          <w:szCs w:val="24"/>
        </w:rPr>
      </w:pPr>
      <w:r>
        <w:rPr>
          <w:rFonts w:hint="eastAsia" w:ascii="宋体" w:hAnsi="宋体" w:eastAsia="宋体" w:cs="宋体"/>
          <w:bCs/>
          <w:sz w:val="24"/>
          <w:szCs w:val="24"/>
          <w:lang w:bidi="ar"/>
        </w:rPr>
        <w:t>公司（公章）</w:t>
      </w:r>
    </w:p>
    <w:p>
      <w:pPr>
        <w:adjustRightInd w:val="0"/>
        <w:snapToGrid w:val="0"/>
        <w:spacing w:line="360" w:lineRule="auto"/>
        <w:ind w:firstLine="4108" w:firstLineChars="1705"/>
        <w:rPr>
          <w:rFonts w:hint="eastAsia" w:ascii="宋体" w:hAnsi="宋体" w:eastAsia="宋体" w:cs="宋体"/>
          <w:b/>
          <w:bCs/>
          <w:sz w:val="24"/>
          <w:szCs w:val="24"/>
          <w:u w:val="single"/>
        </w:rPr>
      </w:pPr>
      <w:r>
        <w:rPr>
          <w:rFonts w:hint="eastAsia" w:ascii="宋体" w:hAnsi="宋体" w:eastAsia="宋体" w:cs="宋体"/>
          <w:b/>
          <w:bCs/>
          <w:sz w:val="24"/>
          <w:szCs w:val="24"/>
          <w:lang w:bidi="ar"/>
        </w:rPr>
        <w:t>法定代表人或授权代表签字：</w:t>
      </w:r>
    </w:p>
    <w:p>
      <w:pPr>
        <w:widowControl/>
        <w:adjustRightInd w:val="0"/>
        <w:snapToGrid w:val="0"/>
        <w:ind w:firstLine="3855" w:firstLineChars="1600"/>
        <w:jc w:val="left"/>
        <w:rPr>
          <w:rFonts w:hint="eastAsia" w:ascii="仿宋" w:hAnsi="仿宋" w:eastAsia="仿宋" w:cs="仿宋"/>
          <w:sz w:val="32"/>
          <w:szCs w:val="32"/>
        </w:rPr>
      </w:pPr>
      <w:r>
        <w:rPr>
          <w:rFonts w:hint="eastAsia" w:ascii="宋体" w:hAnsi="宋体" w:eastAsia="宋体" w:cs="宋体"/>
          <w:b/>
          <w:bCs/>
          <w:sz w:val="24"/>
          <w:szCs w:val="24"/>
          <w:lang w:bidi="ar"/>
        </w:rPr>
        <w:t xml:space="preserve">日期： </w:t>
      </w:r>
      <w:r>
        <w:rPr>
          <w:rFonts w:hint="eastAsia" w:ascii="宋体" w:hAnsi="宋体" w:eastAsia="宋体" w:cs="宋体"/>
          <w:b/>
          <w:bCs/>
          <w:sz w:val="24"/>
          <w:szCs w:val="24"/>
          <w:lang w:val="en-US" w:eastAsia="zh-CN" w:bidi="ar"/>
        </w:rPr>
        <w:t xml:space="preserve">  </w:t>
      </w:r>
      <w:r>
        <w:rPr>
          <w:rFonts w:hint="eastAsia" w:ascii="宋体" w:hAnsi="宋体" w:eastAsia="宋体" w:cs="宋体"/>
          <w:b/>
          <w:bCs/>
          <w:sz w:val="24"/>
          <w:szCs w:val="24"/>
          <w:lang w:bidi="ar"/>
        </w:rPr>
        <w:t xml:space="preserve">年 </w:t>
      </w:r>
      <w:r>
        <w:rPr>
          <w:rFonts w:hint="eastAsia" w:ascii="宋体" w:hAnsi="宋体" w:eastAsia="宋体" w:cs="宋体"/>
          <w:b/>
          <w:bCs/>
          <w:sz w:val="24"/>
          <w:szCs w:val="24"/>
          <w:lang w:val="en-US" w:eastAsia="zh-CN" w:bidi="ar"/>
        </w:rPr>
        <w:t xml:space="preserve">    </w:t>
      </w:r>
      <w:r>
        <w:rPr>
          <w:rFonts w:hint="eastAsia" w:ascii="宋体" w:hAnsi="宋体" w:eastAsia="宋体" w:cs="宋体"/>
          <w:b/>
          <w:bCs/>
          <w:sz w:val="24"/>
          <w:szCs w:val="24"/>
          <w:lang w:bidi="ar"/>
        </w:rPr>
        <w:t xml:space="preserve">月 </w:t>
      </w:r>
      <w:r>
        <w:rPr>
          <w:rFonts w:hint="eastAsia" w:ascii="宋体" w:hAnsi="宋体" w:eastAsia="宋体" w:cs="宋体"/>
          <w:b/>
          <w:bCs/>
          <w:sz w:val="24"/>
          <w:szCs w:val="24"/>
          <w:lang w:val="en-US" w:eastAsia="zh-CN" w:bidi="ar"/>
        </w:rPr>
        <w:t xml:space="preserve">    </w:t>
      </w:r>
      <w:r>
        <w:rPr>
          <w:rFonts w:hint="eastAsia" w:ascii="宋体" w:hAnsi="宋体" w:eastAsia="宋体" w:cs="宋体"/>
          <w:b/>
          <w:bCs/>
          <w:sz w:val="24"/>
          <w:szCs w:val="24"/>
          <w:lang w:bidi="ar"/>
        </w:rPr>
        <w:t>日</w:t>
      </w:r>
    </w:p>
    <w:sectPr>
      <w:pgSz w:w="11910" w:h="16840"/>
      <w:pgMar w:top="1420" w:right="1660" w:bottom="1780" w:left="1660" w:header="852" w:footer="1583" w:gutter="0"/>
      <w:pgNumType w:fmt="decimal"/>
      <w:cols w:space="720" w:num="1"/>
      <w:formProt w:val="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22"/>
      </w:pPr>
      <w:r>
        <w:rPr>
          <w:rStyle w:val="38"/>
        </w:rPr>
        <w:footnoteRef/>
      </w:r>
      <w:r>
        <w:t xml:space="preserve"> </w:t>
      </w:r>
      <w:r>
        <w:rPr>
          <w:rFonts w:hint="eastAsia"/>
        </w:rPr>
        <w:t>发行证券若为债券，则授权内容“一、”和“二、”均必填；若只有ABS，则只需填写授权内容“一、”</w:t>
      </w:r>
    </w:p>
  </w:footnote>
  <w:footnote w:id="1">
    <w:p>
      <w:pPr>
        <w:keepNext w:val="0"/>
        <w:keepLines w:val="0"/>
        <w:widowControl/>
        <w:suppressLineNumbers w:val="0"/>
        <w:snapToGrid w:val="0"/>
        <w:spacing w:before="0" w:beforeAutospacing="0" w:after="0" w:afterAutospacing="0"/>
        <w:ind w:left="0" w:right="0"/>
        <w:jc w:val="both"/>
        <w:rPr>
          <w:rFonts w:hint="eastAsia" w:ascii="仿宋" w:hAnsi="仿宋" w:eastAsia="仿宋" w:cs="仿宋"/>
          <w:szCs w:val="21"/>
        </w:rPr>
      </w:pPr>
      <w:r>
        <w:rPr>
          <w:rStyle w:val="38"/>
          <w:rFonts w:hint="eastAsia" w:ascii="仿宋" w:hAnsi="仿宋" w:eastAsia="仿宋" w:cs="仿宋"/>
          <w:szCs w:val="21"/>
        </w:rPr>
        <w:footnoteRef/>
      </w:r>
      <w:r>
        <w:rPr>
          <w:rFonts w:hint="eastAsia" w:ascii="仿宋" w:hAnsi="仿宋" w:eastAsia="仿宋" w:cs="仿宋"/>
          <w:szCs w:val="21"/>
        </w:rPr>
        <w:t xml:space="preserve"> </w:t>
      </w:r>
      <w:r>
        <w:rPr>
          <w:rFonts w:hint="eastAsia" w:ascii="仿宋" w:hAnsi="仿宋" w:eastAsia="仿宋" w:cs="仿宋"/>
          <w:kern w:val="2"/>
          <w:sz w:val="21"/>
          <w:szCs w:val="21"/>
          <w:lang w:val="en-US" w:eastAsia="zh-CN" w:bidi="ar"/>
        </w:rPr>
        <w:t>深圳证券交易所铁道债招标发行系统里登记的机构名称</w:t>
      </w:r>
    </w:p>
  </w:footnote>
  <w:footnote w:id="2">
    <w:p>
      <w:pPr>
        <w:keepNext w:val="0"/>
        <w:keepLines w:val="0"/>
        <w:widowControl/>
        <w:suppressLineNumbers w:val="0"/>
        <w:snapToGrid w:val="0"/>
        <w:spacing w:before="0" w:beforeAutospacing="0" w:after="0" w:afterAutospacing="0"/>
        <w:ind w:left="0" w:right="0"/>
        <w:jc w:val="both"/>
        <w:rPr>
          <w:rFonts w:hint="eastAsia" w:ascii="仿宋" w:hAnsi="仿宋" w:eastAsia="仿宋" w:cs="仿宋"/>
          <w:szCs w:val="21"/>
        </w:rPr>
      </w:pPr>
      <w:r>
        <w:rPr>
          <w:rStyle w:val="38"/>
          <w:rFonts w:hint="eastAsia" w:ascii="仿宋" w:hAnsi="仿宋" w:eastAsia="仿宋" w:cs="仿宋"/>
          <w:szCs w:val="21"/>
        </w:rPr>
        <w:footnoteRef/>
      </w:r>
      <w:r>
        <w:rPr>
          <w:rFonts w:hint="eastAsia" w:ascii="仿宋" w:hAnsi="仿宋" w:eastAsia="仿宋" w:cs="仿宋"/>
          <w:szCs w:val="21"/>
        </w:rPr>
        <w:t xml:space="preserve"> </w:t>
      </w:r>
      <w:r>
        <w:rPr>
          <w:rFonts w:hint="eastAsia" w:ascii="仿宋" w:hAnsi="仿宋" w:eastAsia="仿宋" w:cs="仿宋"/>
          <w:kern w:val="2"/>
          <w:sz w:val="21"/>
          <w:szCs w:val="21"/>
          <w:lang w:val="en-US" w:eastAsia="zh-CN" w:bidi="ar"/>
        </w:rPr>
        <w:t>深圳证券交易所铁道债招标发行系统里登记的机构代码</w:t>
      </w:r>
    </w:p>
  </w:footnote>
  <w:footnote w:id="3">
    <w:p>
      <w:pPr>
        <w:keepNext w:val="0"/>
        <w:keepLines w:val="0"/>
        <w:widowControl/>
        <w:suppressLineNumbers w:val="0"/>
        <w:snapToGrid w:val="0"/>
        <w:spacing w:before="0" w:beforeAutospacing="0" w:after="0" w:afterAutospacing="0"/>
        <w:ind w:left="0" w:right="0"/>
        <w:jc w:val="both"/>
        <w:rPr>
          <w:rFonts w:hint="eastAsia" w:ascii="仿宋" w:hAnsi="仿宋" w:eastAsia="仿宋" w:cs="仿宋"/>
          <w:szCs w:val="21"/>
        </w:rPr>
      </w:pPr>
      <w:r>
        <w:rPr>
          <w:rStyle w:val="38"/>
          <w:rFonts w:hint="eastAsia" w:ascii="仿宋" w:hAnsi="仿宋" w:eastAsia="仿宋" w:cs="仿宋"/>
          <w:szCs w:val="21"/>
        </w:rPr>
        <w:footnoteRef/>
      </w:r>
      <w:r>
        <w:rPr>
          <w:rFonts w:hint="eastAsia" w:ascii="仿宋" w:hAnsi="仿宋" w:eastAsia="仿宋" w:cs="仿宋"/>
          <w:szCs w:val="21"/>
        </w:rPr>
        <w:t xml:space="preserve"> </w:t>
      </w:r>
      <w:r>
        <w:rPr>
          <w:rFonts w:hint="eastAsia" w:ascii="仿宋" w:hAnsi="仿宋" w:eastAsia="仿宋" w:cs="仿宋"/>
          <w:kern w:val="2"/>
          <w:sz w:val="21"/>
          <w:szCs w:val="21"/>
          <w:lang w:val="en-US" w:eastAsia="zh-CN" w:bidi="ar"/>
        </w:rPr>
        <w:t>签章要和申请表在一页纸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0FE3"/>
    <w:multiLevelType w:val="multilevel"/>
    <w:tmpl w:val="87B70FE3"/>
    <w:lvl w:ilvl="0" w:tentative="0">
      <w:start w:val="5"/>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88577864"/>
    <w:multiLevelType w:val="singleLevel"/>
    <w:tmpl w:val="88577864"/>
    <w:lvl w:ilvl="0" w:tentative="0">
      <w:start w:val="2"/>
      <w:numFmt w:val="chineseCounting"/>
      <w:suff w:val="nothing"/>
      <w:lvlText w:val="%1、"/>
      <w:lvlJc w:val="left"/>
      <w:rPr>
        <w:rFonts w:hint="eastAsia"/>
      </w:rPr>
    </w:lvl>
  </w:abstractNum>
  <w:abstractNum w:abstractNumId="2">
    <w:nsid w:val="BBFE486D"/>
    <w:multiLevelType w:val="multilevel"/>
    <w:tmpl w:val="BBFE486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3DD9F63"/>
    <w:multiLevelType w:val="singleLevel"/>
    <w:tmpl w:val="C3DD9F63"/>
    <w:lvl w:ilvl="0" w:tentative="0">
      <w:start w:val="1"/>
      <w:numFmt w:val="decimal"/>
      <w:suff w:val="nothing"/>
      <w:lvlText w:val="%1、"/>
      <w:lvlJc w:val="left"/>
      <w:pPr>
        <w:ind w:left="600" w:firstLine="0"/>
      </w:pPr>
    </w:lvl>
  </w:abstractNum>
  <w:abstractNum w:abstractNumId="4">
    <w:nsid w:val="DCDF2539"/>
    <w:multiLevelType w:val="singleLevel"/>
    <w:tmpl w:val="DCDF2539"/>
    <w:lvl w:ilvl="0" w:tentative="0">
      <w:start w:val="1"/>
      <w:numFmt w:val="chineseCounting"/>
      <w:suff w:val="nothing"/>
      <w:lvlText w:val="%1、"/>
      <w:lvlJc w:val="left"/>
      <w:rPr>
        <w:rFonts w:hint="eastAsia"/>
      </w:rPr>
    </w:lvl>
  </w:abstractNum>
  <w:abstractNum w:abstractNumId="5">
    <w:nsid w:val="DFE772DF"/>
    <w:multiLevelType w:val="singleLevel"/>
    <w:tmpl w:val="DFE772DF"/>
    <w:lvl w:ilvl="0" w:tentative="0">
      <w:start w:val="1"/>
      <w:numFmt w:val="chineseCounting"/>
      <w:suff w:val="nothing"/>
      <w:lvlText w:val="（%1）"/>
      <w:lvlJc w:val="left"/>
      <w:rPr>
        <w:rFonts w:hint="eastAsia"/>
      </w:rPr>
    </w:lvl>
  </w:abstractNum>
  <w:abstractNum w:abstractNumId="6">
    <w:nsid w:val="F3CB81BE"/>
    <w:multiLevelType w:val="singleLevel"/>
    <w:tmpl w:val="F3CB81BE"/>
    <w:lvl w:ilvl="0" w:tentative="0">
      <w:start w:val="3"/>
      <w:numFmt w:val="chineseCounting"/>
      <w:suff w:val="nothing"/>
      <w:lvlText w:val="（%1）"/>
      <w:lvlJc w:val="left"/>
      <w:rPr>
        <w:rFonts w:hint="eastAsia"/>
      </w:rPr>
    </w:lvl>
  </w:abstractNum>
  <w:abstractNum w:abstractNumId="7">
    <w:nsid w:val="F7AF499B"/>
    <w:multiLevelType w:val="singleLevel"/>
    <w:tmpl w:val="F7AF499B"/>
    <w:lvl w:ilvl="0" w:tentative="0">
      <w:start w:val="1"/>
      <w:numFmt w:val="decimal"/>
      <w:suff w:val="nothing"/>
      <w:lvlText w:val="（%1）"/>
      <w:lvlJc w:val="left"/>
    </w:lvl>
  </w:abstractNum>
  <w:abstractNum w:abstractNumId="8">
    <w:nsid w:val="FDFDFBF0"/>
    <w:multiLevelType w:val="multilevel"/>
    <w:tmpl w:val="FDFDFBF0"/>
    <w:lvl w:ilvl="0" w:tentative="0">
      <w:start w:val="1"/>
      <w:numFmt w:val="japaneseCounting"/>
      <w:lvlText w:val="%1、"/>
      <w:lvlJc w:val="left"/>
      <w:pPr>
        <w:ind w:left="1282" w:hanging="7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9">
    <w:nsid w:val="FED6A4FE"/>
    <w:multiLevelType w:val="multilevel"/>
    <w:tmpl w:val="FED6A4FE"/>
    <w:lvl w:ilvl="0" w:tentative="0">
      <w:start w:val="1"/>
      <w:numFmt w:val="japaneseCounting"/>
      <w:lvlText w:val="%1、"/>
      <w:lvlJc w:val="left"/>
      <w:pPr>
        <w:ind w:left="1282" w:hanging="720"/>
      </w:pPr>
      <w:rPr>
        <w:rFonts w:hint="default" w:ascii="Times New Roman" w:hAnsi="Times New Roman" w:cs="Times New Roman"/>
      </w:rPr>
    </w:lvl>
    <w:lvl w:ilvl="1" w:tentative="0">
      <w:start w:val="1"/>
      <w:numFmt w:val="lowerLetter"/>
      <w:lvlText w:val="%2)"/>
      <w:lvlJc w:val="left"/>
      <w:pPr>
        <w:ind w:left="1402" w:hanging="420"/>
      </w:pPr>
      <w:rPr>
        <w:rFonts w:hint="default" w:ascii="Times New Roman" w:hAnsi="Times New Roman" w:cs="Times New Roman"/>
      </w:rPr>
    </w:lvl>
    <w:lvl w:ilvl="2" w:tentative="0">
      <w:start w:val="1"/>
      <w:numFmt w:val="lowerRoman"/>
      <w:lvlText w:val="%3."/>
      <w:lvlJc w:val="right"/>
      <w:pPr>
        <w:ind w:left="1822" w:hanging="420"/>
      </w:pPr>
      <w:rPr>
        <w:rFonts w:hint="default" w:ascii="Times New Roman" w:hAnsi="Times New Roman" w:cs="Times New Roman"/>
      </w:rPr>
    </w:lvl>
    <w:lvl w:ilvl="3" w:tentative="0">
      <w:start w:val="1"/>
      <w:numFmt w:val="decimal"/>
      <w:lvlText w:val="%4."/>
      <w:lvlJc w:val="left"/>
      <w:pPr>
        <w:ind w:left="2242" w:hanging="420"/>
      </w:pPr>
      <w:rPr>
        <w:rFonts w:hint="default" w:ascii="Times New Roman" w:hAnsi="Times New Roman" w:cs="Times New Roman"/>
      </w:rPr>
    </w:lvl>
    <w:lvl w:ilvl="4" w:tentative="0">
      <w:start w:val="1"/>
      <w:numFmt w:val="lowerLetter"/>
      <w:lvlText w:val="%5)"/>
      <w:lvlJc w:val="left"/>
      <w:pPr>
        <w:ind w:left="2662" w:hanging="420"/>
      </w:pPr>
      <w:rPr>
        <w:rFonts w:hint="default" w:ascii="Times New Roman" w:hAnsi="Times New Roman" w:cs="Times New Roman"/>
      </w:rPr>
    </w:lvl>
    <w:lvl w:ilvl="5" w:tentative="0">
      <w:start w:val="1"/>
      <w:numFmt w:val="lowerRoman"/>
      <w:lvlText w:val="%6."/>
      <w:lvlJc w:val="right"/>
      <w:pPr>
        <w:ind w:left="3082" w:hanging="420"/>
      </w:pPr>
      <w:rPr>
        <w:rFonts w:hint="default" w:ascii="Times New Roman" w:hAnsi="Times New Roman" w:cs="Times New Roman"/>
      </w:rPr>
    </w:lvl>
    <w:lvl w:ilvl="6" w:tentative="0">
      <w:start w:val="1"/>
      <w:numFmt w:val="decimal"/>
      <w:lvlText w:val="%7."/>
      <w:lvlJc w:val="left"/>
      <w:pPr>
        <w:ind w:left="3502" w:hanging="420"/>
      </w:pPr>
      <w:rPr>
        <w:rFonts w:hint="default" w:ascii="Times New Roman" w:hAnsi="Times New Roman" w:cs="Times New Roman"/>
      </w:rPr>
    </w:lvl>
    <w:lvl w:ilvl="7" w:tentative="0">
      <w:start w:val="1"/>
      <w:numFmt w:val="lowerLetter"/>
      <w:lvlText w:val="%8)"/>
      <w:lvlJc w:val="left"/>
      <w:pPr>
        <w:ind w:left="3922" w:hanging="420"/>
      </w:pPr>
      <w:rPr>
        <w:rFonts w:hint="default" w:ascii="Times New Roman" w:hAnsi="Times New Roman" w:cs="Times New Roman"/>
      </w:rPr>
    </w:lvl>
    <w:lvl w:ilvl="8" w:tentative="0">
      <w:start w:val="1"/>
      <w:numFmt w:val="lowerRoman"/>
      <w:lvlText w:val="%9."/>
      <w:lvlJc w:val="right"/>
      <w:pPr>
        <w:ind w:left="4342" w:hanging="420"/>
      </w:pPr>
      <w:rPr>
        <w:rFonts w:hint="default" w:ascii="Times New Roman" w:hAnsi="Times New Roman" w:cs="Times New Roman"/>
      </w:rPr>
    </w:lvl>
  </w:abstractNum>
  <w:abstractNum w:abstractNumId="10">
    <w:nsid w:val="FFFF6C5C"/>
    <w:multiLevelType w:val="singleLevel"/>
    <w:tmpl w:val="FFFF6C5C"/>
    <w:lvl w:ilvl="0" w:tentative="0">
      <w:start w:val="1"/>
      <w:numFmt w:val="decimal"/>
      <w:suff w:val="nothing"/>
      <w:lvlText w:val="（%1）"/>
      <w:lvlJc w:val="left"/>
    </w:lvl>
  </w:abstractNum>
  <w:num w:numId="1">
    <w:abstractNumId w:val="1"/>
  </w:num>
  <w:num w:numId="2">
    <w:abstractNumId w:val="0"/>
  </w:num>
  <w:num w:numId="3">
    <w:abstractNumId w:val="6"/>
  </w:num>
  <w:num w:numId="4">
    <w:abstractNumId w:val="8"/>
  </w:num>
  <w:num w:numId="5">
    <w:abstractNumId w:val="5"/>
  </w:num>
  <w:num w:numId="6">
    <w:abstractNumId w:val="3"/>
  </w:num>
  <w:num w:numId="7">
    <w:abstractNumId w:val="7"/>
  </w:num>
  <w:num w:numId="8">
    <w:abstractNumId w:val="10"/>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42"/>
    <w:rsid w:val="00006400"/>
    <w:rsid w:val="0001045F"/>
    <w:rsid w:val="000116C1"/>
    <w:rsid w:val="00015DD8"/>
    <w:rsid w:val="00021C56"/>
    <w:rsid w:val="00022013"/>
    <w:rsid w:val="000249E7"/>
    <w:rsid w:val="00025A22"/>
    <w:rsid w:val="00031383"/>
    <w:rsid w:val="0003149C"/>
    <w:rsid w:val="00035E86"/>
    <w:rsid w:val="0003674D"/>
    <w:rsid w:val="000425CC"/>
    <w:rsid w:val="00043B12"/>
    <w:rsid w:val="00043BDA"/>
    <w:rsid w:val="00043E58"/>
    <w:rsid w:val="00047963"/>
    <w:rsid w:val="000510F4"/>
    <w:rsid w:val="00053D8E"/>
    <w:rsid w:val="000601B3"/>
    <w:rsid w:val="00060DCB"/>
    <w:rsid w:val="00061762"/>
    <w:rsid w:val="00063B5A"/>
    <w:rsid w:val="00063B68"/>
    <w:rsid w:val="000640C9"/>
    <w:rsid w:val="0006538C"/>
    <w:rsid w:val="0006618A"/>
    <w:rsid w:val="000708CE"/>
    <w:rsid w:val="000714AE"/>
    <w:rsid w:val="0007249B"/>
    <w:rsid w:val="000732F1"/>
    <w:rsid w:val="00074EF4"/>
    <w:rsid w:val="000769FD"/>
    <w:rsid w:val="000775F8"/>
    <w:rsid w:val="00077FBE"/>
    <w:rsid w:val="0008140A"/>
    <w:rsid w:val="000821E6"/>
    <w:rsid w:val="00086089"/>
    <w:rsid w:val="000909CB"/>
    <w:rsid w:val="000915E1"/>
    <w:rsid w:val="0009217F"/>
    <w:rsid w:val="000948DE"/>
    <w:rsid w:val="00096AC0"/>
    <w:rsid w:val="00097B2E"/>
    <w:rsid w:val="00097F6C"/>
    <w:rsid w:val="000A2B90"/>
    <w:rsid w:val="000A3CA0"/>
    <w:rsid w:val="000A414F"/>
    <w:rsid w:val="000A46EF"/>
    <w:rsid w:val="000A5AC2"/>
    <w:rsid w:val="000B0FB7"/>
    <w:rsid w:val="000B4A60"/>
    <w:rsid w:val="000B5341"/>
    <w:rsid w:val="000B5C22"/>
    <w:rsid w:val="000B6F19"/>
    <w:rsid w:val="000B7ECB"/>
    <w:rsid w:val="000C1844"/>
    <w:rsid w:val="000C20AE"/>
    <w:rsid w:val="000C2E09"/>
    <w:rsid w:val="000C4BC4"/>
    <w:rsid w:val="000C5DAB"/>
    <w:rsid w:val="000C7999"/>
    <w:rsid w:val="000D0F1D"/>
    <w:rsid w:val="000D108C"/>
    <w:rsid w:val="000D299F"/>
    <w:rsid w:val="000D316F"/>
    <w:rsid w:val="000D4564"/>
    <w:rsid w:val="000D6658"/>
    <w:rsid w:val="000E07BD"/>
    <w:rsid w:val="000E3BCA"/>
    <w:rsid w:val="000E3D19"/>
    <w:rsid w:val="000E3DE2"/>
    <w:rsid w:val="000E47F5"/>
    <w:rsid w:val="000E6336"/>
    <w:rsid w:val="000F13E6"/>
    <w:rsid w:val="000F6CC2"/>
    <w:rsid w:val="0010087E"/>
    <w:rsid w:val="00100D32"/>
    <w:rsid w:val="001034CD"/>
    <w:rsid w:val="001055F3"/>
    <w:rsid w:val="00106B49"/>
    <w:rsid w:val="00107211"/>
    <w:rsid w:val="001101B1"/>
    <w:rsid w:val="00110FE5"/>
    <w:rsid w:val="00122CFA"/>
    <w:rsid w:val="001230A6"/>
    <w:rsid w:val="00124E67"/>
    <w:rsid w:val="00125A45"/>
    <w:rsid w:val="0013026C"/>
    <w:rsid w:val="00132EC2"/>
    <w:rsid w:val="001342D5"/>
    <w:rsid w:val="00135FFC"/>
    <w:rsid w:val="00136362"/>
    <w:rsid w:val="00137CC7"/>
    <w:rsid w:val="00140CC8"/>
    <w:rsid w:val="001415A5"/>
    <w:rsid w:val="00141BC1"/>
    <w:rsid w:val="00143207"/>
    <w:rsid w:val="00143ACB"/>
    <w:rsid w:val="001473B0"/>
    <w:rsid w:val="0014777A"/>
    <w:rsid w:val="00151E2D"/>
    <w:rsid w:val="001604A9"/>
    <w:rsid w:val="001662F5"/>
    <w:rsid w:val="001668EF"/>
    <w:rsid w:val="00176AD2"/>
    <w:rsid w:val="001776A7"/>
    <w:rsid w:val="00180803"/>
    <w:rsid w:val="001867AC"/>
    <w:rsid w:val="00190458"/>
    <w:rsid w:val="00190542"/>
    <w:rsid w:val="001928FD"/>
    <w:rsid w:val="00194A9D"/>
    <w:rsid w:val="00195E53"/>
    <w:rsid w:val="00195F65"/>
    <w:rsid w:val="00197D06"/>
    <w:rsid w:val="00197F51"/>
    <w:rsid w:val="001A0641"/>
    <w:rsid w:val="001A2C49"/>
    <w:rsid w:val="001A3C4B"/>
    <w:rsid w:val="001A3F2F"/>
    <w:rsid w:val="001A587B"/>
    <w:rsid w:val="001A5BF2"/>
    <w:rsid w:val="001B1476"/>
    <w:rsid w:val="001B152F"/>
    <w:rsid w:val="001B26CA"/>
    <w:rsid w:val="001B351F"/>
    <w:rsid w:val="001B6A10"/>
    <w:rsid w:val="001B71E7"/>
    <w:rsid w:val="001C167B"/>
    <w:rsid w:val="001C1F32"/>
    <w:rsid w:val="001C2A97"/>
    <w:rsid w:val="001C3219"/>
    <w:rsid w:val="001C4360"/>
    <w:rsid w:val="001C61AE"/>
    <w:rsid w:val="001C7393"/>
    <w:rsid w:val="001C7549"/>
    <w:rsid w:val="001D1E76"/>
    <w:rsid w:val="001D2D14"/>
    <w:rsid w:val="001D42B8"/>
    <w:rsid w:val="001D5030"/>
    <w:rsid w:val="001E02E7"/>
    <w:rsid w:val="001E0947"/>
    <w:rsid w:val="001E0B05"/>
    <w:rsid w:val="001E2A78"/>
    <w:rsid w:val="001E62EF"/>
    <w:rsid w:val="001E7113"/>
    <w:rsid w:val="001F5AA3"/>
    <w:rsid w:val="001F7A9F"/>
    <w:rsid w:val="001F7C52"/>
    <w:rsid w:val="0020208A"/>
    <w:rsid w:val="0020392E"/>
    <w:rsid w:val="002042E8"/>
    <w:rsid w:val="002071B0"/>
    <w:rsid w:val="00210BEC"/>
    <w:rsid w:val="0021416D"/>
    <w:rsid w:val="00214A0D"/>
    <w:rsid w:val="00220B41"/>
    <w:rsid w:val="00224345"/>
    <w:rsid w:val="00224BDA"/>
    <w:rsid w:val="002264A1"/>
    <w:rsid w:val="0023403E"/>
    <w:rsid w:val="00237874"/>
    <w:rsid w:val="002379DD"/>
    <w:rsid w:val="002400D2"/>
    <w:rsid w:val="002404B8"/>
    <w:rsid w:val="0024229B"/>
    <w:rsid w:val="00242C93"/>
    <w:rsid w:val="0024375C"/>
    <w:rsid w:val="002467DD"/>
    <w:rsid w:val="002506BC"/>
    <w:rsid w:val="002515BB"/>
    <w:rsid w:val="00251EE5"/>
    <w:rsid w:val="002562B3"/>
    <w:rsid w:val="00256E07"/>
    <w:rsid w:val="00261686"/>
    <w:rsid w:val="002661FE"/>
    <w:rsid w:val="00267481"/>
    <w:rsid w:val="00270761"/>
    <w:rsid w:val="00270803"/>
    <w:rsid w:val="00273C57"/>
    <w:rsid w:val="0027448F"/>
    <w:rsid w:val="00281122"/>
    <w:rsid w:val="0028212F"/>
    <w:rsid w:val="002833F8"/>
    <w:rsid w:val="00287868"/>
    <w:rsid w:val="00290ED4"/>
    <w:rsid w:val="0029180E"/>
    <w:rsid w:val="00295DA7"/>
    <w:rsid w:val="0029629C"/>
    <w:rsid w:val="002A185F"/>
    <w:rsid w:val="002A3E4A"/>
    <w:rsid w:val="002B4921"/>
    <w:rsid w:val="002B5489"/>
    <w:rsid w:val="002B5FD0"/>
    <w:rsid w:val="002C4B16"/>
    <w:rsid w:val="002C6AE5"/>
    <w:rsid w:val="002D15C5"/>
    <w:rsid w:val="002D3CF7"/>
    <w:rsid w:val="002D4007"/>
    <w:rsid w:val="002D51C6"/>
    <w:rsid w:val="002E074F"/>
    <w:rsid w:val="002E1472"/>
    <w:rsid w:val="002E4A79"/>
    <w:rsid w:val="002F0819"/>
    <w:rsid w:val="002F1FE5"/>
    <w:rsid w:val="002F380A"/>
    <w:rsid w:val="00301D7E"/>
    <w:rsid w:val="00302190"/>
    <w:rsid w:val="00302B5E"/>
    <w:rsid w:val="0030421D"/>
    <w:rsid w:val="0030431B"/>
    <w:rsid w:val="00310F20"/>
    <w:rsid w:val="00311276"/>
    <w:rsid w:val="003128D1"/>
    <w:rsid w:val="0031352A"/>
    <w:rsid w:val="003162C2"/>
    <w:rsid w:val="00316D8B"/>
    <w:rsid w:val="00317193"/>
    <w:rsid w:val="00317212"/>
    <w:rsid w:val="00317BD0"/>
    <w:rsid w:val="00317CCE"/>
    <w:rsid w:val="00320F6F"/>
    <w:rsid w:val="00324B34"/>
    <w:rsid w:val="003260D8"/>
    <w:rsid w:val="003329F9"/>
    <w:rsid w:val="003339E6"/>
    <w:rsid w:val="00333B25"/>
    <w:rsid w:val="00340EEE"/>
    <w:rsid w:val="00343BA9"/>
    <w:rsid w:val="0034724E"/>
    <w:rsid w:val="00355508"/>
    <w:rsid w:val="00356974"/>
    <w:rsid w:val="00360DDE"/>
    <w:rsid w:val="0036212D"/>
    <w:rsid w:val="0036395F"/>
    <w:rsid w:val="00367898"/>
    <w:rsid w:val="00367ECC"/>
    <w:rsid w:val="003705D4"/>
    <w:rsid w:val="00370BCC"/>
    <w:rsid w:val="00371673"/>
    <w:rsid w:val="003807DB"/>
    <w:rsid w:val="00380B89"/>
    <w:rsid w:val="00386A66"/>
    <w:rsid w:val="00386B11"/>
    <w:rsid w:val="003875D0"/>
    <w:rsid w:val="00387F3F"/>
    <w:rsid w:val="0039348F"/>
    <w:rsid w:val="00395894"/>
    <w:rsid w:val="00395F6A"/>
    <w:rsid w:val="00397DDB"/>
    <w:rsid w:val="003A1E32"/>
    <w:rsid w:val="003A30BF"/>
    <w:rsid w:val="003A4273"/>
    <w:rsid w:val="003A4540"/>
    <w:rsid w:val="003A5D7E"/>
    <w:rsid w:val="003C378D"/>
    <w:rsid w:val="003C6970"/>
    <w:rsid w:val="003C6DD9"/>
    <w:rsid w:val="003D0BE1"/>
    <w:rsid w:val="003D1974"/>
    <w:rsid w:val="003D32EF"/>
    <w:rsid w:val="003D47C1"/>
    <w:rsid w:val="003D5CD3"/>
    <w:rsid w:val="003D665A"/>
    <w:rsid w:val="003D771B"/>
    <w:rsid w:val="003D7DA6"/>
    <w:rsid w:val="003E2614"/>
    <w:rsid w:val="003E3DBA"/>
    <w:rsid w:val="003E49AE"/>
    <w:rsid w:val="003E4F31"/>
    <w:rsid w:val="003E50EE"/>
    <w:rsid w:val="003E66C4"/>
    <w:rsid w:val="003F1C92"/>
    <w:rsid w:val="003F20CD"/>
    <w:rsid w:val="003F2275"/>
    <w:rsid w:val="003F3D91"/>
    <w:rsid w:val="003F48C3"/>
    <w:rsid w:val="003F58DD"/>
    <w:rsid w:val="00400A14"/>
    <w:rsid w:val="004016F5"/>
    <w:rsid w:val="00403271"/>
    <w:rsid w:val="004034AE"/>
    <w:rsid w:val="004069DB"/>
    <w:rsid w:val="00406EE9"/>
    <w:rsid w:val="004108B8"/>
    <w:rsid w:val="00412E62"/>
    <w:rsid w:val="00415A6E"/>
    <w:rsid w:val="00421618"/>
    <w:rsid w:val="00421D50"/>
    <w:rsid w:val="00423224"/>
    <w:rsid w:val="004232D9"/>
    <w:rsid w:val="004237BA"/>
    <w:rsid w:val="00423B6F"/>
    <w:rsid w:val="00430EF1"/>
    <w:rsid w:val="0044000F"/>
    <w:rsid w:val="00445E6C"/>
    <w:rsid w:val="0044782C"/>
    <w:rsid w:val="004543D6"/>
    <w:rsid w:val="00455AE2"/>
    <w:rsid w:val="00456A25"/>
    <w:rsid w:val="00460161"/>
    <w:rsid w:val="004603F5"/>
    <w:rsid w:val="00462DC2"/>
    <w:rsid w:val="004654D9"/>
    <w:rsid w:val="00467760"/>
    <w:rsid w:val="00471849"/>
    <w:rsid w:val="00474D89"/>
    <w:rsid w:val="00476D22"/>
    <w:rsid w:val="00480E8D"/>
    <w:rsid w:val="00481684"/>
    <w:rsid w:val="0049057D"/>
    <w:rsid w:val="00491E06"/>
    <w:rsid w:val="00492910"/>
    <w:rsid w:val="00493741"/>
    <w:rsid w:val="0049393D"/>
    <w:rsid w:val="00493C92"/>
    <w:rsid w:val="0049485C"/>
    <w:rsid w:val="004961C1"/>
    <w:rsid w:val="00496230"/>
    <w:rsid w:val="00496CE1"/>
    <w:rsid w:val="004970BD"/>
    <w:rsid w:val="004A6479"/>
    <w:rsid w:val="004A6DFD"/>
    <w:rsid w:val="004B24A5"/>
    <w:rsid w:val="004B64C6"/>
    <w:rsid w:val="004C15AC"/>
    <w:rsid w:val="004C1B43"/>
    <w:rsid w:val="004C2620"/>
    <w:rsid w:val="004C298F"/>
    <w:rsid w:val="004D0E71"/>
    <w:rsid w:val="004D228E"/>
    <w:rsid w:val="004D2680"/>
    <w:rsid w:val="004D3ACA"/>
    <w:rsid w:val="004D698E"/>
    <w:rsid w:val="004E02AC"/>
    <w:rsid w:val="004E1F84"/>
    <w:rsid w:val="004E2AD7"/>
    <w:rsid w:val="004E5A74"/>
    <w:rsid w:val="004E6B89"/>
    <w:rsid w:val="004E7FFE"/>
    <w:rsid w:val="004F353C"/>
    <w:rsid w:val="004F4B7B"/>
    <w:rsid w:val="00501CC4"/>
    <w:rsid w:val="0050584B"/>
    <w:rsid w:val="0050609B"/>
    <w:rsid w:val="00507572"/>
    <w:rsid w:val="00507AE4"/>
    <w:rsid w:val="00513559"/>
    <w:rsid w:val="005214FB"/>
    <w:rsid w:val="00521D1F"/>
    <w:rsid w:val="00524632"/>
    <w:rsid w:val="0053172A"/>
    <w:rsid w:val="00533587"/>
    <w:rsid w:val="00534797"/>
    <w:rsid w:val="00534841"/>
    <w:rsid w:val="00534DA3"/>
    <w:rsid w:val="00535CD6"/>
    <w:rsid w:val="00545C3F"/>
    <w:rsid w:val="00547754"/>
    <w:rsid w:val="00547A59"/>
    <w:rsid w:val="00550073"/>
    <w:rsid w:val="00551867"/>
    <w:rsid w:val="00560BEC"/>
    <w:rsid w:val="00560FDE"/>
    <w:rsid w:val="00575452"/>
    <w:rsid w:val="0057588C"/>
    <w:rsid w:val="00576FC1"/>
    <w:rsid w:val="00580CCD"/>
    <w:rsid w:val="00583387"/>
    <w:rsid w:val="005833CB"/>
    <w:rsid w:val="00585503"/>
    <w:rsid w:val="00587468"/>
    <w:rsid w:val="005876E0"/>
    <w:rsid w:val="005904E3"/>
    <w:rsid w:val="005907CB"/>
    <w:rsid w:val="00594B43"/>
    <w:rsid w:val="00596B8E"/>
    <w:rsid w:val="005A0E44"/>
    <w:rsid w:val="005A5662"/>
    <w:rsid w:val="005A679F"/>
    <w:rsid w:val="005A77C8"/>
    <w:rsid w:val="005A7F35"/>
    <w:rsid w:val="005B0789"/>
    <w:rsid w:val="005B0B4E"/>
    <w:rsid w:val="005B3B64"/>
    <w:rsid w:val="005B7BD0"/>
    <w:rsid w:val="005C1E24"/>
    <w:rsid w:val="005C28A1"/>
    <w:rsid w:val="005C2B63"/>
    <w:rsid w:val="005C3BB2"/>
    <w:rsid w:val="005D1990"/>
    <w:rsid w:val="005D1CB7"/>
    <w:rsid w:val="005D35A1"/>
    <w:rsid w:val="005E00D1"/>
    <w:rsid w:val="005E2A21"/>
    <w:rsid w:val="005E2F63"/>
    <w:rsid w:val="005E4138"/>
    <w:rsid w:val="005E57DC"/>
    <w:rsid w:val="005E6B5B"/>
    <w:rsid w:val="005F2668"/>
    <w:rsid w:val="005F4D41"/>
    <w:rsid w:val="005F70CC"/>
    <w:rsid w:val="005F7CA0"/>
    <w:rsid w:val="006003F3"/>
    <w:rsid w:val="00607D93"/>
    <w:rsid w:val="006101FF"/>
    <w:rsid w:val="00610840"/>
    <w:rsid w:val="006151BB"/>
    <w:rsid w:val="00615C4B"/>
    <w:rsid w:val="006172A4"/>
    <w:rsid w:val="00621646"/>
    <w:rsid w:val="00622D33"/>
    <w:rsid w:val="00622FC4"/>
    <w:rsid w:val="0063422B"/>
    <w:rsid w:val="00637629"/>
    <w:rsid w:val="006404CD"/>
    <w:rsid w:val="0064658C"/>
    <w:rsid w:val="006509AE"/>
    <w:rsid w:val="00656F5F"/>
    <w:rsid w:val="006574E4"/>
    <w:rsid w:val="006630B2"/>
    <w:rsid w:val="00663A86"/>
    <w:rsid w:val="0066591D"/>
    <w:rsid w:val="00670965"/>
    <w:rsid w:val="0067280E"/>
    <w:rsid w:val="00680819"/>
    <w:rsid w:val="00680E3C"/>
    <w:rsid w:val="00680FD8"/>
    <w:rsid w:val="00682AA2"/>
    <w:rsid w:val="00683138"/>
    <w:rsid w:val="006833E8"/>
    <w:rsid w:val="00687391"/>
    <w:rsid w:val="00690567"/>
    <w:rsid w:val="00696A10"/>
    <w:rsid w:val="006B3387"/>
    <w:rsid w:val="006B4F16"/>
    <w:rsid w:val="006B5758"/>
    <w:rsid w:val="006B6CA7"/>
    <w:rsid w:val="006B7698"/>
    <w:rsid w:val="006C0099"/>
    <w:rsid w:val="006C0640"/>
    <w:rsid w:val="006C2D1A"/>
    <w:rsid w:val="006C41F3"/>
    <w:rsid w:val="006C519B"/>
    <w:rsid w:val="006C7364"/>
    <w:rsid w:val="006C7712"/>
    <w:rsid w:val="006C7CB9"/>
    <w:rsid w:val="006D0A8C"/>
    <w:rsid w:val="006D0C5B"/>
    <w:rsid w:val="006D3C3E"/>
    <w:rsid w:val="006D489E"/>
    <w:rsid w:val="006D648F"/>
    <w:rsid w:val="006D7BC2"/>
    <w:rsid w:val="006E0C68"/>
    <w:rsid w:val="006E2592"/>
    <w:rsid w:val="006E2E4E"/>
    <w:rsid w:val="006E2FF3"/>
    <w:rsid w:val="006E73C8"/>
    <w:rsid w:val="006E7852"/>
    <w:rsid w:val="006F12FD"/>
    <w:rsid w:val="006F27B5"/>
    <w:rsid w:val="006F5BC0"/>
    <w:rsid w:val="006F69F6"/>
    <w:rsid w:val="00703045"/>
    <w:rsid w:val="00703381"/>
    <w:rsid w:val="007051F1"/>
    <w:rsid w:val="007073BA"/>
    <w:rsid w:val="00712C2B"/>
    <w:rsid w:val="00712FEC"/>
    <w:rsid w:val="007132A5"/>
    <w:rsid w:val="007137B8"/>
    <w:rsid w:val="0071630E"/>
    <w:rsid w:val="007219A9"/>
    <w:rsid w:val="00722A29"/>
    <w:rsid w:val="0072606E"/>
    <w:rsid w:val="0072783D"/>
    <w:rsid w:val="0073009A"/>
    <w:rsid w:val="0073105A"/>
    <w:rsid w:val="00733865"/>
    <w:rsid w:val="007350DE"/>
    <w:rsid w:val="007354D0"/>
    <w:rsid w:val="00735528"/>
    <w:rsid w:val="00736835"/>
    <w:rsid w:val="007378DA"/>
    <w:rsid w:val="00740236"/>
    <w:rsid w:val="007424FB"/>
    <w:rsid w:val="00742C59"/>
    <w:rsid w:val="0074740D"/>
    <w:rsid w:val="007529D5"/>
    <w:rsid w:val="007533EC"/>
    <w:rsid w:val="00754D05"/>
    <w:rsid w:val="00756D8C"/>
    <w:rsid w:val="0075724A"/>
    <w:rsid w:val="007574FD"/>
    <w:rsid w:val="00760579"/>
    <w:rsid w:val="00761EBB"/>
    <w:rsid w:val="007625E9"/>
    <w:rsid w:val="00763797"/>
    <w:rsid w:val="007703F8"/>
    <w:rsid w:val="00775E66"/>
    <w:rsid w:val="00781707"/>
    <w:rsid w:val="00785C76"/>
    <w:rsid w:val="007908FF"/>
    <w:rsid w:val="00790F8F"/>
    <w:rsid w:val="00791BBD"/>
    <w:rsid w:val="007926C9"/>
    <w:rsid w:val="00792BC1"/>
    <w:rsid w:val="00794C76"/>
    <w:rsid w:val="007951C7"/>
    <w:rsid w:val="00795F7C"/>
    <w:rsid w:val="007A429A"/>
    <w:rsid w:val="007A499E"/>
    <w:rsid w:val="007B0A2D"/>
    <w:rsid w:val="007B0E62"/>
    <w:rsid w:val="007B1755"/>
    <w:rsid w:val="007B2334"/>
    <w:rsid w:val="007B2E24"/>
    <w:rsid w:val="007B3D3B"/>
    <w:rsid w:val="007B64F0"/>
    <w:rsid w:val="007C12CB"/>
    <w:rsid w:val="007C1D16"/>
    <w:rsid w:val="007C334E"/>
    <w:rsid w:val="007C57CF"/>
    <w:rsid w:val="007D20EF"/>
    <w:rsid w:val="007D211F"/>
    <w:rsid w:val="007D28E6"/>
    <w:rsid w:val="007D5E92"/>
    <w:rsid w:val="007D7528"/>
    <w:rsid w:val="007E03B0"/>
    <w:rsid w:val="007E15D0"/>
    <w:rsid w:val="007E4BDA"/>
    <w:rsid w:val="007E6040"/>
    <w:rsid w:val="007E7852"/>
    <w:rsid w:val="007E79C9"/>
    <w:rsid w:val="007F2BB7"/>
    <w:rsid w:val="007F34C6"/>
    <w:rsid w:val="007F3EBB"/>
    <w:rsid w:val="007F6C45"/>
    <w:rsid w:val="008014B1"/>
    <w:rsid w:val="0080294E"/>
    <w:rsid w:val="0080408B"/>
    <w:rsid w:val="00810E62"/>
    <w:rsid w:val="008168C2"/>
    <w:rsid w:val="00821ADC"/>
    <w:rsid w:val="008227D0"/>
    <w:rsid w:val="00824538"/>
    <w:rsid w:val="00827118"/>
    <w:rsid w:val="00827931"/>
    <w:rsid w:val="00827EF5"/>
    <w:rsid w:val="00830200"/>
    <w:rsid w:val="00831205"/>
    <w:rsid w:val="0083182D"/>
    <w:rsid w:val="008321AE"/>
    <w:rsid w:val="00832907"/>
    <w:rsid w:val="0083470C"/>
    <w:rsid w:val="008354B3"/>
    <w:rsid w:val="00836AAC"/>
    <w:rsid w:val="008401CD"/>
    <w:rsid w:val="0084022D"/>
    <w:rsid w:val="00840D1F"/>
    <w:rsid w:val="00840EC9"/>
    <w:rsid w:val="008417AF"/>
    <w:rsid w:val="0084222C"/>
    <w:rsid w:val="00844CA0"/>
    <w:rsid w:val="00850A2B"/>
    <w:rsid w:val="00853467"/>
    <w:rsid w:val="00853DAD"/>
    <w:rsid w:val="0085491D"/>
    <w:rsid w:val="00856267"/>
    <w:rsid w:val="008578C3"/>
    <w:rsid w:val="0086256C"/>
    <w:rsid w:val="00866402"/>
    <w:rsid w:val="00867146"/>
    <w:rsid w:val="00871B0D"/>
    <w:rsid w:val="00871DAC"/>
    <w:rsid w:val="0087306D"/>
    <w:rsid w:val="008738C1"/>
    <w:rsid w:val="00874EFD"/>
    <w:rsid w:val="00880C13"/>
    <w:rsid w:val="00883F22"/>
    <w:rsid w:val="00885688"/>
    <w:rsid w:val="00886951"/>
    <w:rsid w:val="00890485"/>
    <w:rsid w:val="00890920"/>
    <w:rsid w:val="00895BFA"/>
    <w:rsid w:val="00896FBD"/>
    <w:rsid w:val="008A1C88"/>
    <w:rsid w:val="008A5D51"/>
    <w:rsid w:val="008A6DD9"/>
    <w:rsid w:val="008B13E8"/>
    <w:rsid w:val="008B1BCA"/>
    <w:rsid w:val="008B2A3F"/>
    <w:rsid w:val="008B3512"/>
    <w:rsid w:val="008B3782"/>
    <w:rsid w:val="008B4606"/>
    <w:rsid w:val="008C0525"/>
    <w:rsid w:val="008C16C9"/>
    <w:rsid w:val="008C1912"/>
    <w:rsid w:val="008C316D"/>
    <w:rsid w:val="008C6846"/>
    <w:rsid w:val="008C7857"/>
    <w:rsid w:val="008C7964"/>
    <w:rsid w:val="008D009C"/>
    <w:rsid w:val="008D56C8"/>
    <w:rsid w:val="008D5A99"/>
    <w:rsid w:val="008D5AE6"/>
    <w:rsid w:val="008D69C0"/>
    <w:rsid w:val="008E10C3"/>
    <w:rsid w:val="008E1BED"/>
    <w:rsid w:val="008E7665"/>
    <w:rsid w:val="008F01B3"/>
    <w:rsid w:val="008F08C7"/>
    <w:rsid w:val="008F1F19"/>
    <w:rsid w:val="008F2984"/>
    <w:rsid w:val="008F2FDA"/>
    <w:rsid w:val="008F30D1"/>
    <w:rsid w:val="008F37DE"/>
    <w:rsid w:val="008F5EDF"/>
    <w:rsid w:val="008F7880"/>
    <w:rsid w:val="008F7F5C"/>
    <w:rsid w:val="009008A0"/>
    <w:rsid w:val="009027AB"/>
    <w:rsid w:val="009037FD"/>
    <w:rsid w:val="00907A8E"/>
    <w:rsid w:val="00913FEF"/>
    <w:rsid w:val="009177A0"/>
    <w:rsid w:val="00920A7C"/>
    <w:rsid w:val="00920E35"/>
    <w:rsid w:val="00920F07"/>
    <w:rsid w:val="00922A66"/>
    <w:rsid w:val="009250D5"/>
    <w:rsid w:val="009253EE"/>
    <w:rsid w:val="009265C8"/>
    <w:rsid w:val="00926830"/>
    <w:rsid w:val="00926B00"/>
    <w:rsid w:val="00926DC3"/>
    <w:rsid w:val="009406F8"/>
    <w:rsid w:val="00940748"/>
    <w:rsid w:val="0094194C"/>
    <w:rsid w:val="00945DE1"/>
    <w:rsid w:val="0094751F"/>
    <w:rsid w:val="009525B2"/>
    <w:rsid w:val="00953472"/>
    <w:rsid w:val="0095409D"/>
    <w:rsid w:val="00956CA5"/>
    <w:rsid w:val="0096075E"/>
    <w:rsid w:val="00960AFC"/>
    <w:rsid w:val="009624B5"/>
    <w:rsid w:val="009652EC"/>
    <w:rsid w:val="00965363"/>
    <w:rsid w:val="00966D62"/>
    <w:rsid w:val="00970D83"/>
    <w:rsid w:val="00972330"/>
    <w:rsid w:val="009733A5"/>
    <w:rsid w:val="00974E77"/>
    <w:rsid w:val="009759FA"/>
    <w:rsid w:val="0098095F"/>
    <w:rsid w:val="00981820"/>
    <w:rsid w:val="009859D9"/>
    <w:rsid w:val="00985B5A"/>
    <w:rsid w:val="00985D85"/>
    <w:rsid w:val="00986BAB"/>
    <w:rsid w:val="00990D4A"/>
    <w:rsid w:val="00991C5A"/>
    <w:rsid w:val="009934D0"/>
    <w:rsid w:val="00994E3F"/>
    <w:rsid w:val="00996721"/>
    <w:rsid w:val="0099747A"/>
    <w:rsid w:val="009976BD"/>
    <w:rsid w:val="009A0E0E"/>
    <w:rsid w:val="009A1C71"/>
    <w:rsid w:val="009A1D37"/>
    <w:rsid w:val="009A3C25"/>
    <w:rsid w:val="009A5005"/>
    <w:rsid w:val="009A5AFC"/>
    <w:rsid w:val="009A6397"/>
    <w:rsid w:val="009B47A2"/>
    <w:rsid w:val="009B4AC4"/>
    <w:rsid w:val="009B5D73"/>
    <w:rsid w:val="009B6F4C"/>
    <w:rsid w:val="009C31A6"/>
    <w:rsid w:val="009C7389"/>
    <w:rsid w:val="009D162B"/>
    <w:rsid w:val="009D2998"/>
    <w:rsid w:val="009D3C30"/>
    <w:rsid w:val="009D6C4E"/>
    <w:rsid w:val="009E09D9"/>
    <w:rsid w:val="009E19C5"/>
    <w:rsid w:val="009E3171"/>
    <w:rsid w:val="009E3655"/>
    <w:rsid w:val="009E4ED4"/>
    <w:rsid w:val="009E7FB1"/>
    <w:rsid w:val="009F069F"/>
    <w:rsid w:val="009F3452"/>
    <w:rsid w:val="009F3980"/>
    <w:rsid w:val="009F44BD"/>
    <w:rsid w:val="00A0007C"/>
    <w:rsid w:val="00A001EB"/>
    <w:rsid w:val="00A04364"/>
    <w:rsid w:val="00A07DEF"/>
    <w:rsid w:val="00A10FB6"/>
    <w:rsid w:val="00A12CB8"/>
    <w:rsid w:val="00A13C77"/>
    <w:rsid w:val="00A151BA"/>
    <w:rsid w:val="00A1594A"/>
    <w:rsid w:val="00A21556"/>
    <w:rsid w:val="00A2188C"/>
    <w:rsid w:val="00A21BAC"/>
    <w:rsid w:val="00A25B71"/>
    <w:rsid w:val="00A26ED5"/>
    <w:rsid w:val="00A32A24"/>
    <w:rsid w:val="00A3440F"/>
    <w:rsid w:val="00A34643"/>
    <w:rsid w:val="00A40073"/>
    <w:rsid w:val="00A41496"/>
    <w:rsid w:val="00A4434C"/>
    <w:rsid w:val="00A51DA3"/>
    <w:rsid w:val="00A51DA8"/>
    <w:rsid w:val="00A54F7A"/>
    <w:rsid w:val="00A5627E"/>
    <w:rsid w:val="00A57C0B"/>
    <w:rsid w:val="00A6056C"/>
    <w:rsid w:val="00A608A1"/>
    <w:rsid w:val="00A610BA"/>
    <w:rsid w:val="00A63EDA"/>
    <w:rsid w:val="00A70CC6"/>
    <w:rsid w:val="00A72E9C"/>
    <w:rsid w:val="00A751C0"/>
    <w:rsid w:val="00A80DF6"/>
    <w:rsid w:val="00A831BC"/>
    <w:rsid w:val="00A859C7"/>
    <w:rsid w:val="00A86C5F"/>
    <w:rsid w:val="00A86DD7"/>
    <w:rsid w:val="00A871E4"/>
    <w:rsid w:val="00A909B3"/>
    <w:rsid w:val="00A96C6C"/>
    <w:rsid w:val="00AA0BA7"/>
    <w:rsid w:val="00AA0E43"/>
    <w:rsid w:val="00AC157B"/>
    <w:rsid w:val="00AD2540"/>
    <w:rsid w:val="00AD26D6"/>
    <w:rsid w:val="00AD2722"/>
    <w:rsid w:val="00AD5791"/>
    <w:rsid w:val="00AD7AE3"/>
    <w:rsid w:val="00AE13DA"/>
    <w:rsid w:val="00AE2878"/>
    <w:rsid w:val="00AE5FA2"/>
    <w:rsid w:val="00AF02F3"/>
    <w:rsid w:val="00AF03A2"/>
    <w:rsid w:val="00AF2DB4"/>
    <w:rsid w:val="00AF38D2"/>
    <w:rsid w:val="00AF5B03"/>
    <w:rsid w:val="00B04FE7"/>
    <w:rsid w:val="00B05DCC"/>
    <w:rsid w:val="00B10736"/>
    <w:rsid w:val="00B10F1E"/>
    <w:rsid w:val="00B13392"/>
    <w:rsid w:val="00B14685"/>
    <w:rsid w:val="00B1739C"/>
    <w:rsid w:val="00B20ADD"/>
    <w:rsid w:val="00B247CE"/>
    <w:rsid w:val="00B24B21"/>
    <w:rsid w:val="00B24FAE"/>
    <w:rsid w:val="00B262A6"/>
    <w:rsid w:val="00B264C0"/>
    <w:rsid w:val="00B320D0"/>
    <w:rsid w:val="00B3586B"/>
    <w:rsid w:val="00B412B8"/>
    <w:rsid w:val="00B41A8C"/>
    <w:rsid w:val="00B43F7E"/>
    <w:rsid w:val="00B506AF"/>
    <w:rsid w:val="00B518DD"/>
    <w:rsid w:val="00B549BC"/>
    <w:rsid w:val="00B55FB2"/>
    <w:rsid w:val="00B57137"/>
    <w:rsid w:val="00B60673"/>
    <w:rsid w:val="00B606C4"/>
    <w:rsid w:val="00B6165F"/>
    <w:rsid w:val="00B64C3F"/>
    <w:rsid w:val="00B67F1B"/>
    <w:rsid w:val="00B7007C"/>
    <w:rsid w:val="00B717FD"/>
    <w:rsid w:val="00B723D8"/>
    <w:rsid w:val="00B727AC"/>
    <w:rsid w:val="00B738A6"/>
    <w:rsid w:val="00B74634"/>
    <w:rsid w:val="00B865C3"/>
    <w:rsid w:val="00B91008"/>
    <w:rsid w:val="00B9419C"/>
    <w:rsid w:val="00B96792"/>
    <w:rsid w:val="00BA181A"/>
    <w:rsid w:val="00BA36AF"/>
    <w:rsid w:val="00BA4C08"/>
    <w:rsid w:val="00BB0D36"/>
    <w:rsid w:val="00BB19B4"/>
    <w:rsid w:val="00BB1C3F"/>
    <w:rsid w:val="00BB6DF8"/>
    <w:rsid w:val="00BC0FDB"/>
    <w:rsid w:val="00BC1878"/>
    <w:rsid w:val="00BC2D7C"/>
    <w:rsid w:val="00BC4468"/>
    <w:rsid w:val="00BC45FD"/>
    <w:rsid w:val="00BD5186"/>
    <w:rsid w:val="00BD5C7E"/>
    <w:rsid w:val="00BD7AED"/>
    <w:rsid w:val="00BE110E"/>
    <w:rsid w:val="00BE2249"/>
    <w:rsid w:val="00BF6A02"/>
    <w:rsid w:val="00C005BE"/>
    <w:rsid w:val="00C05C8A"/>
    <w:rsid w:val="00C07C3E"/>
    <w:rsid w:val="00C07CD8"/>
    <w:rsid w:val="00C07E47"/>
    <w:rsid w:val="00C12030"/>
    <w:rsid w:val="00C14A14"/>
    <w:rsid w:val="00C14B05"/>
    <w:rsid w:val="00C15989"/>
    <w:rsid w:val="00C15F05"/>
    <w:rsid w:val="00C177A5"/>
    <w:rsid w:val="00C216DB"/>
    <w:rsid w:val="00C21CCF"/>
    <w:rsid w:val="00C22CD1"/>
    <w:rsid w:val="00C26BE0"/>
    <w:rsid w:val="00C27AF3"/>
    <w:rsid w:val="00C33396"/>
    <w:rsid w:val="00C338E2"/>
    <w:rsid w:val="00C3632A"/>
    <w:rsid w:val="00C44477"/>
    <w:rsid w:val="00C51AFA"/>
    <w:rsid w:val="00C551B8"/>
    <w:rsid w:val="00C573DB"/>
    <w:rsid w:val="00C57C73"/>
    <w:rsid w:val="00C66D8E"/>
    <w:rsid w:val="00C72055"/>
    <w:rsid w:val="00C7506E"/>
    <w:rsid w:val="00C77B75"/>
    <w:rsid w:val="00C848BA"/>
    <w:rsid w:val="00C848F8"/>
    <w:rsid w:val="00C8580F"/>
    <w:rsid w:val="00C85B07"/>
    <w:rsid w:val="00C90430"/>
    <w:rsid w:val="00C90453"/>
    <w:rsid w:val="00C9778A"/>
    <w:rsid w:val="00C97A1B"/>
    <w:rsid w:val="00CA0E46"/>
    <w:rsid w:val="00CA161C"/>
    <w:rsid w:val="00CA3422"/>
    <w:rsid w:val="00CA380A"/>
    <w:rsid w:val="00CA4CA2"/>
    <w:rsid w:val="00CA4DF3"/>
    <w:rsid w:val="00CA6278"/>
    <w:rsid w:val="00CA65AC"/>
    <w:rsid w:val="00CA6E9A"/>
    <w:rsid w:val="00CB204E"/>
    <w:rsid w:val="00CB2FD0"/>
    <w:rsid w:val="00CB3A1B"/>
    <w:rsid w:val="00CB7596"/>
    <w:rsid w:val="00CC02BD"/>
    <w:rsid w:val="00CC2044"/>
    <w:rsid w:val="00CC5A1A"/>
    <w:rsid w:val="00CC675C"/>
    <w:rsid w:val="00CC7202"/>
    <w:rsid w:val="00CD1650"/>
    <w:rsid w:val="00CD2B10"/>
    <w:rsid w:val="00CD4136"/>
    <w:rsid w:val="00CD48E6"/>
    <w:rsid w:val="00CD5621"/>
    <w:rsid w:val="00CD5963"/>
    <w:rsid w:val="00CD5FBC"/>
    <w:rsid w:val="00CE1BD7"/>
    <w:rsid w:val="00CE213A"/>
    <w:rsid w:val="00CF1FF3"/>
    <w:rsid w:val="00CF24AA"/>
    <w:rsid w:val="00CF2E2D"/>
    <w:rsid w:val="00CF2E98"/>
    <w:rsid w:val="00CF41AF"/>
    <w:rsid w:val="00CF514C"/>
    <w:rsid w:val="00CF760A"/>
    <w:rsid w:val="00D017D8"/>
    <w:rsid w:val="00D073AA"/>
    <w:rsid w:val="00D101CE"/>
    <w:rsid w:val="00D11D92"/>
    <w:rsid w:val="00D12C36"/>
    <w:rsid w:val="00D14970"/>
    <w:rsid w:val="00D1595B"/>
    <w:rsid w:val="00D165AD"/>
    <w:rsid w:val="00D16A1B"/>
    <w:rsid w:val="00D16D6E"/>
    <w:rsid w:val="00D22B46"/>
    <w:rsid w:val="00D23F47"/>
    <w:rsid w:val="00D27782"/>
    <w:rsid w:val="00D27FDB"/>
    <w:rsid w:val="00D325B6"/>
    <w:rsid w:val="00D33F26"/>
    <w:rsid w:val="00D34CF7"/>
    <w:rsid w:val="00D3734B"/>
    <w:rsid w:val="00D37388"/>
    <w:rsid w:val="00D44C73"/>
    <w:rsid w:val="00D4670D"/>
    <w:rsid w:val="00D47642"/>
    <w:rsid w:val="00D50B33"/>
    <w:rsid w:val="00D5157F"/>
    <w:rsid w:val="00D516B5"/>
    <w:rsid w:val="00D52714"/>
    <w:rsid w:val="00D56C8C"/>
    <w:rsid w:val="00D60B0D"/>
    <w:rsid w:val="00D6193B"/>
    <w:rsid w:val="00D65C9B"/>
    <w:rsid w:val="00D702C2"/>
    <w:rsid w:val="00D74C96"/>
    <w:rsid w:val="00D819C6"/>
    <w:rsid w:val="00D82CA7"/>
    <w:rsid w:val="00D8520C"/>
    <w:rsid w:val="00D8704A"/>
    <w:rsid w:val="00D870AB"/>
    <w:rsid w:val="00D87F0C"/>
    <w:rsid w:val="00D924C8"/>
    <w:rsid w:val="00D9441A"/>
    <w:rsid w:val="00D963E2"/>
    <w:rsid w:val="00D974B7"/>
    <w:rsid w:val="00D97C44"/>
    <w:rsid w:val="00DA0E86"/>
    <w:rsid w:val="00DA2242"/>
    <w:rsid w:val="00DA3A7A"/>
    <w:rsid w:val="00DA5AE7"/>
    <w:rsid w:val="00DA7F1C"/>
    <w:rsid w:val="00DB1A05"/>
    <w:rsid w:val="00DB7020"/>
    <w:rsid w:val="00DC2861"/>
    <w:rsid w:val="00DC59EE"/>
    <w:rsid w:val="00DC7577"/>
    <w:rsid w:val="00DC779E"/>
    <w:rsid w:val="00DD05C8"/>
    <w:rsid w:val="00DE06A2"/>
    <w:rsid w:val="00DE0859"/>
    <w:rsid w:val="00DE1283"/>
    <w:rsid w:val="00DE1838"/>
    <w:rsid w:val="00DE723D"/>
    <w:rsid w:val="00DF1C6B"/>
    <w:rsid w:val="00DF5B6A"/>
    <w:rsid w:val="00DF7C76"/>
    <w:rsid w:val="00E02BA0"/>
    <w:rsid w:val="00E05E55"/>
    <w:rsid w:val="00E06630"/>
    <w:rsid w:val="00E118E9"/>
    <w:rsid w:val="00E14D17"/>
    <w:rsid w:val="00E1543D"/>
    <w:rsid w:val="00E1618B"/>
    <w:rsid w:val="00E17234"/>
    <w:rsid w:val="00E2298A"/>
    <w:rsid w:val="00E22ACB"/>
    <w:rsid w:val="00E27415"/>
    <w:rsid w:val="00E3065F"/>
    <w:rsid w:val="00E32382"/>
    <w:rsid w:val="00E3458F"/>
    <w:rsid w:val="00E35C19"/>
    <w:rsid w:val="00E35E63"/>
    <w:rsid w:val="00E37A3F"/>
    <w:rsid w:val="00E37BCC"/>
    <w:rsid w:val="00E40016"/>
    <w:rsid w:val="00E40E42"/>
    <w:rsid w:val="00E43147"/>
    <w:rsid w:val="00E43A19"/>
    <w:rsid w:val="00E50979"/>
    <w:rsid w:val="00E5109F"/>
    <w:rsid w:val="00E52AC0"/>
    <w:rsid w:val="00E52F7A"/>
    <w:rsid w:val="00E53F4A"/>
    <w:rsid w:val="00E60B77"/>
    <w:rsid w:val="00E618D8"/>
    <w:rsid w:val="00E62570"/>
    <w:rsid w:val="00E62EB1"/>
    <w:rsid w:val="00E70865"/>
    <w:rsid w:val="00E71478"/>
    <w:rsid w:val="00E72F83"/>
    <w:rsid w:val="00E74A9F"/>
    <w:rsid w:val="00E74B68"/>
    <w:rsid w:val="00E76431"/>
    <w:rsid w:val="00E80832"/>
    <w:rsid w:val="00E8113C"/>
    <w:rsid w:val="00E815F3"/>
    <w:rsid w:val="00E82210"/>
    <w:rsid w:val="00E962D3"/>
    <w:rsid w:val="00EA01A8"/>
    <w:rsid w:val="00EA1D55"/>
    <w:rsid w:val="00EB1778"/>
    <w:rsid w:val="00EB450E"/>
    <w:rsid w:val="00EE6019"/>
    <w:rsid w:val="00EF11E1"/>
    <w:rsid w:val="00EF305F"/>
    <w:rsid w:val="00EF3471"/>
    <w:rsid w:val="00EF7767"/>
    <w:rsid w:val="00F00F09"/>
    <w:rsid w:val="00F018C9"/>
    <w:rsid w:val="00F02A73"/>
    <w:rsid w:val="00F03B47"/>
    <w:rsid w:val="00F04CE5"/>
    <w:rsid w:val="00F058F8"/>
    <w:rsid w:val="00F10080"/>
    <w:rsid w:val="00F1115E"/>
    <w:rsid w:val="00F1257C"/>
    <w:rsid w:val="00F12CDC"/>
    <w:rsid w:val="00F17630"/>
    <w:rsid w:val="00F20C3B"/>
    <w:rsid w:val="00F229D1"/>
    <w:rsid w:val="00F25EF8"/>
    <w:rsid w:val="00F27CB2"/>
    <w:rsid w:val="00F332BB"/>
    <w:rsid w:val="00F35424"/>
    <w:rsid w:val="00F3628F"/>
    <w:rsid w:val="00F4150E"/>
    <w:rsid w:val="00F4412B"/>
    <w:rsid w:val="00F444D1"/>
    <w:rsid w:val="00F460DD"/>
    <w:rsid w:val="00F47015"/>
    <w:rsid w:val="00F51A13"/>
    <w:rsid w:val="00F546A6"/>
    <w:rsid w:val="00F56151"/>
    <w:rsid w:val="00F57784"/>
    <w:rsid w:val="00F642D6"/>
    <w:rsid w:val="00F662DC"/>
    <w:rsid w:val="00F67C97"/>
    <w:rsid w:val="00F76608"/>
    <w:rsid w:val="00F775F3"/>
    <w:rsid w:val="00F77CF9"/>
    <w:rsid w:val="00F8222D"/>
    <w:rsid w:val="00F85DB8"/>
    <w:rsid w:val="00F87166"/>
    <w:rsid w:val="00F93B6C"/>
    <w:rsid w:val="00F97F48"/>
    <w:rsid w:val="00FA16D6"/>
    <w:rsid w:val="00FA3727"/>
    <w:rsid w:val="00FA6D2E"/>
    <w:rsid w:val="00FB0E3F"/>
    <w:rsid w:val="00FB184D"/>
    <w:rsid w:val="00FB36BD"/>
    <w:rsid w:val="00FB400F"/>
    <w:rsid w:val="00FB45C3"/>
    <w:rsid w:val="00FB476D"/>
    <w:rsid w:val="00FB4CB1"/>
    <w:rsid w:val="00FC5600"/>
    <w:rsid w:val="00FC58B4"/>
    <w:rsid w:val="00FD2CEC"/>
    <w:rsid w:val="00FD45C6"/>
    <w:rsid w:val="00FD4D3E"/>
    <w:rsid w:val="00FD7015"/>
    <w:rsid w:val="00FD7448"/>
    <w:rsid w:val="00FE6E39"/>
    <w:rsid w:val="00FE7915"/>
    <w:rsid w:val="00FE79CE"/>
    <w:rsid w:val="00FF1D8A"/>
    <w:rsid w:val="00FF4613"/>
    <w:rsid w:val="011B1F00"/>
    <w:rsid w:val="01263415"/>
    <w:rsid w:val="0198695A"/>
    <w:rsid w:val="02AF4836"/>
    <w:rsid w:val="03271B39"/>
    <w:rsid w:val="049D4DEB"/>
    <w:rsid w:val="065E376E"/>
    <w:rsid w:val="06FC27C3"/>
    <w:rsid w:val="07E63C4F"/>
    <w:rsid w:val="08A35AA9"/>
    <w:rsid w:val="08DD15C5"/>
    <w:rsid w:val="091415AA"/>
    <w:rsid w:val="09271C52"/>
    <w:rsid w:val="09F818CA"/>
    <w:rsid w:val="09FCC2A6"/>
    <w:rsid w:val="09FE78C9"/>
    <w:rsid w:val="0A2C37EC"/>
    <w:rsid w:val="0BC44B64"/>
    <w:rsid w:val="0BE703F3"/>
    <w:rsid w:val="0BFDFF29"/>
    <w:rsid w:val="0CC42AEB"/>
    <w:rsid w:val="0DA848BC"/>
    <w:rsid w:val="0DEF93F1"/>
    <w:rsid w:val="0DF925FF"/>
    <w:rsid w:val="0E7F6B16"/>
    <w:rsid w:val="0EF7F3BC"/>
    <w:rsid w:val="0EFF1CA9"/>
    <w:rsid w:val="0EFFC0EA"/>
    <w:rsid w:val="0F437D94"/>
    <w:rsid w:val="0F77FA57"/>
    <w:rsid w:val="0F7FF0C1"/>
    <w:rsid w:val="0FAEBC96"/>
    <w:rsid w:val="107005D3"/>
    <w:rsid w:val="10B17FA4"/>
    <w:rsid w:val="11FB78B2"/>
    <w:rsid w:val="1347AAFF"/>
    <w:rsid w:val="14067CFB"/>
    <w:rsid w:val="14394482"/>
    <w:rsid w:val="158C4654"/>
    <w:rsid w:val="15EB9E87"/>
    <w:rsid w:val="15F355BF"/>
    <w:rsid w:val="16BF65B3"/>
    <w:rsid w:val="16C17B88"/>
    <w:rsid w:val="17B72352"/>
    <w:rsid w:val="17BC3833"/>
    <w:rsid w:val="18B118FD"/>
    <w:rsid w:val="1A213A14"/>
    <w:rsid w:val="1A425750"/>
    <w:rsid w:val="1AFED2B7"/>
    <w:rsid w:val="1B57D7D5"/>
    <w:rsid w:val="1BBFC6F9"/>
    <w:rsid w:val="1D4F4BD4"/>
    <w:rsid w:val="1D5C06AF"/>
    <w:rsid w:val="1DF1A9E7"/>
    <w:rsid w:val="1DF76304"/>
    <w:rsid w:val="1E3FF780"/>
    <w:rsid w:val="1E7EF5B7"/>
    <w:rsid w:val="1F3919AD"/>
    <w:rsid w:val="1F751682"/>
    <w:rsid w:val="1F7F863D"/>
    <w:rsid w:val="1FA1E1BC"/>
    <w:rsid w:val="1FBD5235"/>
    <w:rsid w:val="1FEBFE0B"/>
    <w:rsid w:val="1FF3C8B9"/>
    <w:rsid w:val="1FF70BE1"/>
    <w:rsid w:val="1FFD0B52"/>
    <w:rsid w:val="1FFE5ED7"/>
    <w:rsid w:val="20BD4F43"/>
    <w:rsid w:val="211353C6"/>
    <w:rsid w:val="224C68E4"/>
    <w:rsid w:val="232956BD"/>
    <w:rsid w:val="24FF64FD"/>
    <w:rsid w:val="25FF7BEA"/>
    <w:rsid w:val="27C5106D"/>
    <w:rsid w:val="27DFB7DE"/>
    <w:rsid w:val="27E32C70"/>
    <w:rsid w:val="27F7EB57"/>
    <w:rsid w:val="28B1712C"/>
    <w:rsid w:val="28F2C509"/>
    <w:rsid w:val="29DA2597"/>
    <w:rsid w:val="2A3DB3D5"/>
    <w:rsid w:val="2AC84BEB"/>
    <w:rsid w:val="2AFF1604"/>
    <w:rsid w:val="2B370F66"/>
    <w:rsid w:val="2B57A6FD"/>
    <w:rsid w:val="2BCF1E6E"/>
    <w:rsid w:val="2BEFABB3"/>
    <w:rsid w:val="2D9349C6"/>
    <w:rsid w:val="2D9D2B90"/>
    <w:rsid w:val="2DDF8861"/>
    <w:rsid w:val="2E7FFFEA"/>
    <w:rsid w:val="2E9B6058"/>
    <w:rsid w:val="2F6D7F7F"/>
    <w:rsid w:val="2F7DF5E0"/>
    <w:rsid w:val="2FCF94EA"/>
    <w:rsid w:val="2FF92BBB"/>
    <w:rsid w:val="2FF98129"/>
    <w:rsid w:val="2FFB29E6"/>
    <w:rsid w:val="30486798"/>
    <w:rsid w:val="309FE6C6"/>
    <w:rsid w:val="317532AF"/>
    <w:rsid w:val="3204479C"/>
    <w:rsid w:val="323A059C"/>
    <w:rsid w:val="34F62852"/>
    <w:rsid w:val="35062EFC"/>
    <w:rsid w:val="354D33B6"/>
    <w:rsid w:val="35A74E92"/>
    <w:rsid w:val="35DE6052"/>
    <w:rsid w:val="36253868"/>
    <w:rsid w:val="363C4BC9"/>
    <w:rsid w:val="36767E9C"/>
    <w:rsid w:val="36E5F7B1"/>
    <w:rsid w:val="377BD7A8"/>
    <w:rsid w:val="37B2D8F9"/>
    <w:rsid w:val="37CBB0FC"/>
    <w:rsid w:val="37E38CE9"/>
    <w:rsid w:val="37EB2C67"/>
    <w:rsid w:val="37F740BD"/>
    <w:rsid w:val="37FFE34F"/>
    <w:rsid w:val="383833C3"/>
    <w:rsid w:val="387A56B5"/>
    <w:rsid w:val="3ABF13B2"/>
    <w:rsid w:val="3ADC3576"/>
    <w:rsid w:val="3BFD2F6F"/>
    <w:rsid w:val="3BFE864A"/>
    <w:rsid w:val="3BFE92A6"/>
    <w:rsid w:val="3BFF6C87"/>
    <w:rsid w:val="3C3C30A4"/>
    <w:rsid w:val="3C7AA113"/>
    <w:rsid w:val="3CAF55A8"/>
    <w:rsid w:val="3CCF3040"/>
    <w:rsid w:val="3D626D0C"/>
    <w:rsid w:val="3D6FF69B"/>
    <w:rsid w:val="3D7A3761"/>
    <w:rsid w:val="3D7F112E"/>
    <w:rsid w:val="3DD0B408"/>
    <w:rsid w:val="3DFA6AB4"/>
    <w:rsid w:val="3DFAD8AA"/>
    <w:rsid w:val="3DFAE7C6"/>
    <w:rsid w:val="3DFD24AA"/>
    <w:rsid w:val="3E638D17"/>
    <w:rsid w:val="3E693B97"/>
    <w:rsid w:val="3E7DBBBD"/>
    <w:rsid w:val="3EE742AC"/>
    <w:rsid w:val="3EF78932"/>
    <w:rsid w:val="3EFB1897"/>
    <w:rsid w:val="3EFF0BC5"/>
    <w:rsid w:val="3EFF62F7"/>
    <w:rsid w:val="3EFF9C15"/>
    <w:rsid w:val="3F4E2CB8"/>
    <w:rsid w:val="3F7C47B6"/>
    <w:rsid w:val="3FAD17F5"/>
    <w:rsid w:val="3FB7FAAC"/>
    <w:rsid w:val="3FDD7320"/>
    <w:rsid w:val="3FDE93B6"/>
    <w:rsid w:val="3FE39D1D"/>
    <w:rsid w:val="3FEE0685"/>
    <w:rsid w:val="3FF7ED6E"/>
    <w:rsid w:val="3FFBA4C9"/>
    <w:rsid w:val="3FFF48BF"/>
    <w:rsid w:val="40372168"/>
    <w:rsid w:val="40711595"/>
    <w:rsid w:val="41397079"/>
    <w:rsid w:val="4157E54D"/>
    <w:rsid w:val="417FC240"/>
    <w:rsid w:val="4359208C"/>
    <w:rsid w:val="458F5011"/>
    <w:rsid w:val="45A13487"/>
    <w:rsid w:val="46136D14"/>
    <w:rsid w:val="4652001C"/>
    <w:rsid w:val="47AF59BD"/>
    <w:rsid w:val="47B45A19"/>
    <w:rsid w:val="48024F33"/>
    <w:rsid w:val="495A6074"/>
    <w:rsid w:val="49FF343D"/>
    <w:rsid w:val="4A706E70"/>
    <w:rsid w:val="4B105DBC"/>
    <w:rsid w:val="4B7EF655"/>
    <w:rsid w:val="4BD33850"/>
    <w:rsid w:val="4BDFC0A7"/>
    <w:rsid w:val="4CB7E1A1"/>
    <w:rsid w:val="4D59708F"/>
    <w:rsid w:val="4D767608"/>
    <w:rsid w:val="4D78525B"/>
    <w:rsid w:val="4D7F4219"/>
    <w:rsid w:val="4DFFB3A2"/>
    <w:rsid w:val="4E9F3D7A"/>
    <w:rsid w:val="4EE2A838"/>
    <w:rsid w:val="4EF69C94"/>
    <w:rsid w:val="4FF705DD"/>
    <w:rsid w:val="4FFFD1C5"/>
    <w:rsid w:val="50CA5A00"/>
    <w:rsid w:val="50F57D53"/>
    <w:rsid w:val="526306BA"/>
    <w:rsid w:val="52F5310B"/>
    <w:rsid w:val="5303596A"/>
    <w:rsid w:val="533EFD17"/>
    <w:rsid w:val="537F75C4"/>
    <w:rsid w:val="54F210E4"/>
    <w:rsid w:val="55577CE1"/>
    <w:rsid w:val="55A86492"/>
    <w:rsid w:val="55FFA49A"/>
    <w:rsid w:val="563BD1B2"/>
    <w:rsid w:val="56ED6879"/>
    <w:rsid w:val="56FEE8F7"/>
    <w:rsid w:val="576974D2"/>
    <w:rsid w:val="5775A335"/>
    <w:rsid w:val="577A97EC"/>
    <w:rsid w:val="579FB7EE"/>
    <w:rsid w:val="57E691CB"/>
    <w:rsid w:val="57EE2E78"/>
    <w:rsid w:val="57F75ED8"/>
    <w:rsid w:val="57FDCFCE"/>
    <w:rsid w:val="5A7BE385"/>
    <w:rsid w:val="5A85080B"/>
    <w:rsid w:val="5AAF42ED"/>
    <w:rsid w:val="5AB584EA"/>
    <w:rsid w:val="5AB7319F"/>
    <w:rsid w:val="5ADFD4A5"/>
    <w:rsid w:val="5B8520E5"/>
    <w:rsid w:val="5B9329D2"/>
    <w:rsid w:val="5B9600D1"/>
    <w:rsid w:val="5BBFA074"/>
    <w:rsid w:val="5BD71F8D"/>
    <w:rsid w:val="5BE13107"/>
    <w:rsid w:val="5BEDE887"/>
    <w:rsid w:val="5BF142F7"/>
    <w:rsid w:val="5BF76A0B"/>
    <w:rsid w:val="5BFE78E8"/>
    <w:rsid w:val="5BFEA7E8"/>
    <w:rsid w:val="5BFF27AF"/>
    <w:rsid w:val="5BFFEFA8"/>
    <w:rsid w:val="5C7E201B"/>
    <w:rsid w:val="5CFEDE03"/>
    <w:rsid w:val="5D7F4D0F"/>
    <w:rsid w:val="5D7FED4E"/>
    <w:rsid w:val="5D9ADF7F"/>
    <w:rsid w:val="5DB83D3A"/>
    <w:rsid w:val="5DE79B2D"/>
    <w:rsid w:val="5DF8FD4D"/>
    <w:rsid w:val="5DFFB8EE"/>
    <w:rsid w:val="5E0A4559"/>
    <w:rsid w:val="5E7F81ED"/>
    <w:rsid w:val="5E9D3108"/>
    <w:rsid w:val="5EB7635A"/>
    <w:rsid w:val="5EBFA36E"/>
    <w:rsid w:val="5ED3451D"/>
    <w:rsid w:val="5EDFA1E8"/>
    <w:rsid w:val="5EFFF692"/>
    <w:rsid w:val="5F636A49"/>
    <w:rsid w:val="5F67A868"/>
    <w:rsid w:val="5F767CBF"/>
    <w:rsid w:val="5F7C4AF0"/>
    <w:rsid w:val="5FC74770"/>
    <w:rsid w:val="5FC76DDE"/>
    <w:rsid w:val="5FCB3F2B"/>
    <w:rsid w:val="5FD5E7BC"/>
    <w:rsid w:val="5FDB72E3"/>
    <w:rsid w:val="5FDFA0C4"/>
    <w:rsid w:val="5FDFA8DF"/>
    <w:rsid w:val="5FE89C6C"/>
    <w:rsid w:val="5FEB8332"/>
    <w:rsid w:val="5FF20855"/>
    <w:rsid w:val="5FF564D3"/>
    <w:rsid w:val="5FF5F554"/>
    <w:rsid w:val="5FFDBA56"/>
    <w:rsid w:val="5FFDF0BB"/>
    <w:rsid w:val="60037DFD"/>
    <w:rsid w:val="61DFAF69"/>
    <w:rsid w:val="62101EDB"/>
    <w:rsid w:val="6277CAD0"/>
    <w:rsid w:val="62E35DEA"/>
    <w:rsid w:val="62E50ACF"/>
    <w:rsid w:val="63BCCD82"/>
    <w:rsid w:val="65FF649C"/>
    <w:rsid w:val="6637471E"/>
    <w:rsid w:val="667FB25D"/>
    <w:rsid w:val="66C6AA43"/>
    <w:rsid w:val="66DF195F"/>
    <w:rsid w:val="66FDDC57"/>
    <w:rsid w:val="67093F5B"/>
    <w:rsid w:val="670D4117"/>
    <w:rsid w:val="673EADA0"/>
    <w:rsid w:val="675DDB1C"/>
    <w:rsid w:val="677F44A5"/>
    <w:rsid w:val="67AEA1BD"/>
    <w:rsid w:val="67FF7FC3"/>
    <w:rsid w:val="68A12DDF"/>
    <w:rsid w:val="6997E756"/>
    <w:rsid w:val="69BDCF6E"/>
    <w:rsid w:val="69BFA5F4"/>
    <w:rsid w:val="6A4E220B"/>
    <w:rsid w:val="6A6BE619"/>
    <w:rsid w:val="6A7B11EE"/>
    <w:rsid w:val="6A7FB6C8"/>
    <w:rsid w:val="6AA50250"/>
    <w:rsid w:val="6AFDC9EF"/>
    <w:rsid w:val="6B1F4F99"/>
    <w:rsid w:val="6BBD7B7D"/>
    <w:rsid w:val="6BCA3D79"/>
    <w:rsid w:val="6BD7A9A9"/>
    <w:rsid w:val="6BEFF12E"/>
    <w:rsid w:val="6BFA9F3D"/>
    <w:rsid w:val="6C6D5716"/>
    <w:rsid w:val="6CBF1829"/>
    <w:rsid w:val="6CF40119"/>
    <w:rsid w:val="6CFD1F1F"/>
    <w:rsid w:val="6CFDA960"/>
    <w:rsid w:val="6D787B9C"/>
    <w:rsid w:val="6D7B3180"/>
    <w:rsid w:val="6DBFA817"/>
    <w:rsid w:val="6DEDC2FC"/>
    <w:rsid w:val="6DF10A8E"/>
    <w:rsid w:val="6DFA3E0A"/>
    <w:rsid w:val="6DFBE499"/>
    <w:rsid w:val="6DFDF557"/>
    <w:rsid w:val="6E3B1B05"/>
    <w:rsid w:val="6E5E1450"/>
    <w:rsid w:val="6E633748"/>
    <w:rsid w:val="6E6B86CE"/>
    <w:rsid w:val="6E8D06CA"/>
    <w:rsid w:val="6ECF1FF5"/>
    <w:rsid w:val="6EF76049"/>
    <w:rsid w:val="6EFB9AFD"/>
    <w:rsid w:val="6EFF9BD3"/>
    <w:rsid w:val="6F770997"/>
    <w:rsid w:val="6F7EAB8A"/>
    <w:rsid w:val="6F7F343F"/>
    <w:rsid w:val="6F8B92CD"/>
    <w:rsid w:val="6FA5B32D"/>
    <w:rsid w:val="6FAFEFDE"/>
    <w:rsid w:val="6FBDA361"/>
    <w:rsid w:val="6FC3BBDA"/>
    <w:rsid w:val="6FCF1A82"/>
    <w:rsid w:val="6FDE19D9"/>
    <w:rsid w:val="6FDFFD26"/>
    <w:rsid w:val="6FF36391"/>
    <w:rsid w:val="6FF3E845"/>
    <w:rsid w:val="6FF787BB"/>
    <w:rsid w:val="6FF954E0"/>
    <w:rsid w:val="6FFD5421"/>
    <w:rsid w:val="6FFD8D5E"/>
    <w:rsid w:val="6FFE4285"/>
    <w:rsid w:val="6FFF5682"/>
    <w:rsid w:val="6FFF7A84"/>
    <w:rsid w:val="6FFFC18E"/>
    <w:rsid w:val="70180192"/>
    <w:rsid w:val="7192410C"/>
    <w:rsid w:val="719FA02E"/>
    <w:rsid w:val="72B44A4C"/>
    <w:rsid w:val="7398E5C3"/>
    <w:rsid w:val="739C7C06"/>
    <w:rsid w:val="73BB29BA"/>
    <w:rsid w:val="73F54848"/>
    <w:rsid w:val="73FD871C"/>
    <w:rsid w:val="73FEE63A"/>
    <w:rsid w:val="74BF8039"/>
    <w:rsid w:val="75407057"/>
    <w:rsid w:val="75465E26"/>
    <w:rsid w:val="75513AC2"/>
    <w:rsid w:val="75BFE81C"/>
    <w:rsid w:val="75CF568D"/>
    <w:rsid w:val="75DA11D9"/>
    <w:rsid w:val="75F94FD1"/>
    <w:rsid w:val="75FF487A"/>
    <w:rsid w:val="765FE499"/>
    <w:rsid w:val="767BAE57"/>
    <w:rsid w:val="769D2590"/>
    <w:rsid w:val="76BEF505"/>
    <w:rsid w:val="773FF07F"/>
    <w:rsid w:val="77459A54"/>
    <w:rsid w:val="7767161B"/>
    <w:rsid w:val="777B33CB"/>
    <w:rsid w:val="777D4336"/>
    <w:rsid w:val="777DAFC3"/>
    <w:rsid w:val="77920643"/>
    <w:rsid w:val="77AA8AB8"/>
    <w:rsid w:val="77CB6755"/>
    <w:rsid w:val="77CDB346"/>
    <w:rsid w:val="77D7657E"/>
    <w:rsid w:val="77EDF8DC"/>
    <w:rsid w:val="77EF3096"/>
    <w:rsid w:val="77EF3AD5"/>
    <w:rsid w:val="77EF6653"/>
    <w:rsid w:val="77F314EF"/>
    <w:rsid w:val="77F717AC"/>
    <w:rsid w:val="77F7A370"/>
    <w:rsid w:val="77FB4F41"/>
    <w:rsid w:val="77FD4F1D"/>
    <w:rsid w:val="77FEC340"/>
    <w:rsid w:val="77FEE92A"/>
    <w:rsid w:val="77FF4DA5"/>
    <w:rsid w:val="77FFA2C1"/>
    <w:rsid w:val="782F5FDD"/>
    <w:rsid w:val="78765D6F"/>
    <w:rsid w:val="78914570"/>
    <w:rsid w:val="78DE48E9"/>
    <w:rsid w:val="78EF5B1A"/>
    <w:rsid w:val="78FED98C"/>
    <w:rsid w:val="78FF9F38"/>
    <w:rsid w:val="7946EAD7"/>
    <w:rsid w:val="794E69A1"/>
    <w:rsid w:val="79AFCA0E"/>
    <w:rsid w:val="79DF101E"/>
    <w:rsid w:val="79E929D3"/>
    <w:rsid w:val="79F358AE"/>
    <w:rsid w:val="7A5DB74C"/>
    <w:rsid w:val="7A5DB9B6"/>
    <w:rsid w:val="7A67600B"/>
    <w:rsid w:val="7A73A766"/>
    <w:rsid w:val="7A9D1CB9"/>
    <w:rsid w:val="7ADD074A"/>
    <w:rsid w:val="7ADF07CE"/>
    <w:rsid w:val="7AFF34E6"/>
    <w:rsid w:val="7B3F4728"/>
    <w:rsid w:val="7B4F5373"/>
    <w:rsid w:val="7B5BBF00"/>
    <w:rsid w:val="7B5DF25A"/>
    <w:rsid w:val="7B6F625B"/>
    <w:rsid w:val="7B7B029B"/>
    <w:rsid w:val="7B7F7D65"/>
    <w:rsid w:val="7BBBE533"/>
    <w:rsid w:val="7BC7B4E4"/>
    <w:rsid w:val="7BD8AF2B"/>
    <w:rsid w:val="7BD94C4C"/>
    <w:rsid w:val="7BDE31E2"/>
    <w:rsid w:val="7BDF69C8"/>
    <w:rsid w:val="7BDF6CF0"/>
    <w:rsid w:val="7BF73033"/>
    <w:rsid w:val="7BFBCD2F"/>
    <w:rsid w:val="7BFDCBB8"/>
    <w:rsid w:val="7BFF56E5"/>
    <w:rsid w:val="7C4921C5"/>
    <w:rsid w:val="7C5E3850"/>
    <w:rsid w:val="7C692B58"/>
    <w:rsid w:val="7C8ECBD2"/>
    <w:rsid w:val="7C8F371C"/>
    <w:rsid w:val="7CA76852"/>
    <w:rsid w:val="7CDF8203"/>
    <w:rsid w:val="7CEF4A82"/>
    <w:rsid w:val="7CFF16C6"/>
    <w:rsid w:val="7D3F2700"/>
    <w:rsid w:val="7D3FC18C"/>
    <w:rsid w:val="7D56D698"/>
    <w:rsid w:val="7D5F21E6"/>
    <w:rsid w:val="7D73B246"/>
    <w:rsid w:val="7D7B92F7"/>
    <w:rsid w:val="7D7D9899"/>
    <w:rsid w:val="7D7F8779"/>
    <w:rsid w:val="7D9E4B29"/>
    <w:rsid w:val="7DB53D27"/>
    <w:rsid w:val="7DB7F1EE"/>
    <w:rsid w:val="7DBBDDCD"/>
    <w:rsid w:val="7DC64BB4"/>
    <w:rsid w:val="7DCFD854"/>
    <w:rsid w:val="7DDBAC15"/>
    <w:rsid w:val="7DDBFEB1"/>
    <w:rsid w:val="7DDE28D1"/>
    <w:rsid w:val="7DE66083"/>
    <w:rsid w:val="7DEF45CA"/>
    <w:rsid w:val="7DFE7055"/>
    <w:rsid w:val="7DFF4718"/>
    <w:rsid w:val="7DFFB405"/>
    <w:rsid w:val="7E2773CC"/>
    <w:rsid w:val="7E4B6DA3"/>
    <w:rsid w:val="7E5FF4E0"/>
    <w:rsid w:val="7E75C0A9"/>
    <w:rsid w:val="7E774878"/>
    <w:rsid w:val="7E7B1E86"/>
    <w:rsid w:val="7E87CEE6"/>
    <w:rsid w:val="7E8EE3FF"/>
    <w:rsid w:val="7EA689A7"/>
    <w:rsid w:val="7EA73C86"/>
    <w:rsid w:val="7ED49C91"/>
    <w:rsid w:val="7ED97EAA"/>
    <w:rsid w:val="7EE74C47"/>
    <w:rsid w:val="7EED8D6F"/>
    <w:rsid w:val="7EF79A76"/>
    <w:rsid w:val="7EF99D84"/>
    <w:rsid w:val="7EFBF3AD"/>
    <w:rsid w:val="7EFF1121"/>
    <w:rsid w:val="7EFF52EF"/>
    <w:rsid w:val="7EFF81FF"/>
    <w:rsid w:val="7F0C4C7C"/>
    <w:rsid w:val="7F140A3E"/>
    <w:rsid w:val="7F3E3928"/>
    <w:rsid w:val="7F3E61A3"/>
    <w:rsid w:val="7F4FA5E3"/>
    <w:rsid w:val="7F5D739D"/>
    <w:rsid w:val="7F6BB413"/>
    <w:rsid w:val="7F7BBB6B"/>
    <w:rsid w:val="7F7D9A98"/>
    <w:rsid w:val="7F7EA10C"/>
    <w:rsid w:val="7F7F9811"/>
    <w:rsid w:val="7F7FB670"/>
    <w:rsid w:val="7F851DA4"/>
    <w:rsid w:val="7F9B8705"/>
    <w:rsid w:val="7F9DB67A"/>
    <w:rsid w:val="7F9FB523"/>
    <w:rsid w:val="7FAB50DE"/>
    <w:rsid w:val="7FB2DE0F"/>
    <w:rsid w:val="7FBEA04F"/>
    <w:rsid w:val="7FBF11D7"/>
    <w:rsid w:val="7FBF20EF"/>
    <w:rsid w:val="7FBF9009"/>
    <w:rsid w:val="7FBFE7EA"/>
    <w:rsid w:val="7FC2D4C5"/>
    <w:rsid w:val="7FC79286"/>
    <w:rsid w:val="7FCFC8F1"/>
    <w:rsid w:val="7FD70D3E"/>
    <w:rsid w:val="7FD7CD4A"/>
    <w:rsid w:val="7FDB4965"/>
    <w:rsid w:val="7FDB93AE"/>
    <w:rsid w:val="7FDF6C00"/>
    <w:rsid w:val="7FE94B06"/>
    <w:rsid w:val="7FEF8C1B"/>
    <w:rsid w:val="7FF1E6DC"/>
    <w:rsid w:val="7FF890B7"/>
    <w:rsid w:val="7FF93CA2"/>
    <w:rsid w:val="7FFB7F1C"/>
    <w:rsid w:val="7FFCDD33"/>
    <w:rsid w:val="7FFD5E04"/>
    <w:rsid w:val="7FFE3F91"/>
    <w:rsid w:val="7FFF3E6D"/>
    <w:rsid w:val="7FFF5F4F"/>
    <w:rsid w:val="7FFF8B36"/>
    <w:rsid w:val="7FFF91F3"/>
    <w:rsid w:val="7FFF9E92"/>
    <w:rsid w:val="7FFFA8A0"/>
    <w:rsid w:val="81B254A7"/>
    <w:rsid w:val="8AFC62BD"/>
    <w:rsid w:val="8FFB890F"/>
    <w:rsid w:val="9546364F"/>
    <w:rsid w:val="9575EA54"/>
    <w:rsid w:val="95BD7084"/>
    <w:rsid w:val="95E1BC2D"/>
    <w:rsid w:val="974F8649"/>
    <w:rsid w:val="97F7CF36"/>
    <w:rsid w:val="97FF00BD"/>
    <w:rsid w:val="9BFEA058"/>
    <w:rsid w:val="9C5FF2D7"/>
    <w:rsid w:val="9CFDDBEE"/>
    <w:rsid w:val="9D9E1D22"/>
    <w:rsid w:val="9EF9B77D"/>
    <w:rsid w:val="9EFDB0B0"/>
    <w:rsid w:val="9FB7422C"/>
    <w:rsid w:val="9FC70098"/>
    <w:rsid w:val="9FDBC753"/>
    <w:rsid w:val="9FFEBA08"/>
    <w:rsid w:val="A2E9863A"/>
    <w:rsid w:val="A67544DE"/>
    <w:rsid w:val="A6AD0EF1"/>
    <w:rsid w:val="A7BC0E1F"/>
    <w:rsid w:val="A7E321AC"/>
    <w:rsid w:val="A7F1370D"/>
    <w:rsid w:val="AAEC8E54"/>
    <w:rsid w:val="AB7FCA46"/>
    <w:rsid w:val="ABBF9344"/>
    <w:rsid w:val="ABF5766D"/>
    <w:rsid w:val="ABF792FA"/>
    <w:rsid w:val="AD67F2F4"/>
    <w:rsid w:val="AD7F2D46"/>
    <w:rsid w:val="AEBD44B3"/>
    <w:rsid w:val="AF7F38B1"/>
    <w:rsid w:val="AFF24165"/>
    <w:rsid w:val="AFF66A34"/>
    <w:rsid w:val="AFF7013C"/>
    <w:rsid w:val="AFF76EA6"/>
    <w:rsid w:val="AFFB4CD1"/>
    <w:rsid w:val="B27D7C7F"/>
    <w:rsid w:val="B3DF09D1"/>
    <w:rsid w:val="B4BF00A1"/>
    <w:rsid w:val="B4FDCBFF"/>
    <w:rsid w:val="B51750F5"/>
    <w:rsid w:val="B5DE8877"/>
    <w:rsid w:val="B67D1166"/>
    <w:rsid w:val="B6F7013E"/>
    <w:rsid w:val="B7657E61"/>
    <w:rsid w:val="B7756637"/>
    <w:rsid w:val="B7971ABB"/>
    <w:rsid w:val="B7D7AD09"/>
    <w:rsid w:val="B7F28C9D"/>
    <w:rsid w:val="B7FDE9C7"/>
    <w:rsid w:val="B87B18E3"/>
    <w:rsid w:val="B8FB4855"/>
    <w:rsid w:val="B8FF6044"/>
    <w:rsid w:val="B90F7D6A"/>
    <w:rsid w:val="B955D144"/>
    <w:rsid w:val="BB5E542E"/>
    <w:rsid w:val="BBD32AD1"/>
    <w:rsid w:val="BBFF8530"/>
    <w:rsid w:val="BCBFC6D2"/>
    <w:rsid w:val="BCDEBC0C"/>
    <w:rsid w:val="BD1BF9EA"/>
    <w:rsid w:val="BD5D8F96"/>
    <w:rsid w:val="BD793688"/>
    <w:rsid w:val="BDEEFB12"/>
    <w:rsid w:val="BDF31426"/>
    <w:rsid w:val="BDFF2631"/>
    <w:rsid w:val="BE2EAB59"/>
    <w:rsid w:val="BE4E46DC"/>
    <w:rsid w:val="BE4F70D4"/>
    <w:rsid w:val="BE6F9964"/>
    <w:rsid w:val="BE76C5EB"/>
    <w:rsid w:val="BE773002"/>
    <w:rsid w:val="BE9AA713"/>
    <w:rsid w:val="BEA510FB"/>
    <w:rsid w:val="BEA564E7"/>
    <w:rsid w:val="BEC6607A"/>
    <w:rsid w:val="BEFBFE52"/>
    <w:rsid w:val="BEFD6E02"/>
    <w:rsid w:val="BEFF7548"/>
    <w:rsid w:val="BF3320AC"/>
    <w:rsid w:val="BF5D0F7A"/>
    <w:rsid w:val="BF6701CB"/>
    <w:rsid w:val="BF743EDB"/>
    <w:rsid w:val="BF77E979"/>
    <w:rsid w:val="BF8F6948"/>
    <w:rsid w:val="BF9FFFB2"/>
    <w:rsid w:val="BFA73AFB"/>
    <w:rsid w:val="BFAFBAFE"/>
    <w:rsid w:val="BFB3B91F"/>
    <w:rsid w:val="BFBF24AE"/>
    <w:rsid w:val="BFCB597A"/>
    <w:rsid w:val="BFCBB373"/>
    <w:rsid w:val="BFDE4D26"/>
    <w:rsid w:val="BFE52024"/>
    <w:rsid w:val="BFE666DF"/>
    <w:rsid w:val="BFE98C18"/>
    <w:rsid w:val="BFF53597"/>
    <w:rsid w:val="BFF68D9A"/>
    <w:rsid w:val="BFFE0573"/>
    <w:rsid w:val="BFFFA39B"/>
    <w:rsid w:val="BFFFC786"/>
    <w:rsid w:val="BFFFE462"/>
    <w:rsid w:val="C5FFD69D"/>
    <w:rsid w:val="C7B31380"/>
    <w:rsid w:val="C9565AB8"/>
    <w:rsid w:val="CA3B6AA8"/>
    <w:rsid w:val="CB8B6341"/>
    <w:rsid w:val="CBB6C59B"/>
    <w:rsid w:val="CBEE5B9F"/>
    <w:rsid w:val="CDEB03F9"/>
    <w:rsid w:val="CDEB3B19"/>
    <w:rsid w:val="CDF7C6FC"/>
    <w:rsid w:val="CDFE4EC2"/>
    <w:rsid w:val="CEB72FC4"/>
    <w:rsid w:val="CEF379A4"/>
    <w:rsid w:val="CF7E78CC"/>
    <w:rsid w:val="CFB2F206"/>
    <w:rsid w:val="CFBF92F1"/>
    <w:rsid w:val="CFD38AFF"/>
    <w:rsid w:val="CFF31BA0"/>
    <w:rsid w:val="CFFE6520"/>
    <w:rsid w:val="CFFFA953"/>
    <w:rsid w:val="D1BB439F"/>
    <w:rsid w:val="D1DE72A1"/>
    <w:rsid w:val="D357E8BF"/>
    <w:rsid w:val="D35F26BA"/>
    <w:rsid w:val="D36D1241"/>
    <w:rsid w:val="D3BE2A74"/>
    <w:rsid w:val="D3E54C22"/>
    <w:rsid w:val="D3E7BCBF"/>
    <w:rsid w:val="D4586866"/>
    <w:rsid w:val="D5B10454"/>
    <w:rsid w:val="D5F17F7E"/>
    <w:rsid w:val="D5FB381E"/>
    <w:rsid w:val="D6CB8061"/>
    <w:rsid w:val="D7BD9AD4"/>
    <w:rsid w:val="D7DB1F9F"/>
    <w:rsid w:val="D7F2A92E"/>
    <w:rsid w:val="D7F69A21"/>
    <w:rsid w:val="D8ED0F62"/>
    <w:rsid w:val="D8F9114A"/>
    <w:rsid w:val="DB3F3D74"/>
    <w:rsid w:val="DBDFAF6C"/>
    <w:rsid w:val="DBEF8A78"/>
    <w:rsid w:val="DBF7DCBC"/>
    <w:rsid w:val="DCAEFB5A"/>
    <w:rsid w:val="DCDB52D9"/>
    <w:rsid w:val="DD9D7AFB"/>
    <w:rsid w:val="DDE724AC"/>
    <w:rsid w:val="DDF9B0E9"/>
    <w:rsid w:val="DE71A6C4"/>
    <w:rsid w:val="DECBAA7E"/>
    <w:rsid w:val="DEDD8E09"/>
    <w:rsid w:val="DEDF80E5"/>
    <w:rsid w:val="DEE9B03F"/>
    <w:rsid w:val="DEEB2FF9"/>
    <w:rsid w:val="DF3F3507"/>
    <w:rsid w:val="DF691313"/>
    <w:rsid w:val="DFACB658"/>
    <w:rsid w:val="DFAEC8AE"/>
    <w:rsid w:val="DFAF28D5"/>
    <w:rsid w:val="DFB635A2"/>
    <w:rsid w:val="DFB7CEF2"/>
    <w:rsid w:val="DFBE54E2"/>
    <w:rsid w:val="DFC8AA63"/>
    <w:rsid w:val="DFDE0E45"/>
    <w:rsid w:val="DFDF66F2"/>
    <w:rsid w:val="DFDFF4D0"/>
    <w:rsid w:val="DFEA21A0"/>
    <w:rsid w:val="DFEAF5E0"/>
    <w:rsid w:val="DFFF2DE6"/>
    <w:rsid w:val="DFFF49CD"/>
    <w:rsid w:val="DFFF798D"/>
    <w:rsid w:val="DFFFC721"/>
    <w:rsid w:val="DFFFD422"/>
    <w:rsid w:val="E1DB50FB"/>
    <w:rsid w:val="E21F0FA4"/>
    <w:rsid w:val="E371D1AF"/>
    <w:rsid w:val="E3DDEF74"/>
    <w:rsid w:val="E3EB3A0B"/>
    <w:rsid w:val="E5BFD707"/>
    <w:rsid w:val="E5EFC5F4"/>
    <w:rsid w:val="E65F9955"/>
    <w:rsid w:val="E6DCDF76"/>
    <w:rsid w:val="E733E846"/>
    <w:rsid w:val="E73FF4CF"/>
    <w:rsid w:val="E77777E7"/>
    <w:rsid w:val="E77B7F71"/>
    <w:rsid w:val="E77F8418"/>
    <w:rsid w:val="E7D72CFF"/>
    <w:rsid w:val="E7DCE3FF"/>
    <w:rsid w:val="E7DF0EE8"/>
    <w:rsid w:val="E7F72295"/>
    <w:rsid w:val="E7FB49BC"/>
    <w:rsid w:val="E7FD0A9F"/>
    <w:rsid w:val="E8CFAECB"/>
    <w:rsid w:val="E9BFAA26"/>
    <w:rsid w:val="EA1FAA8B"/>
    <w:rsid w:val="EA4B746A"/>
    <w:rsid w:val="EAFE0C9F"/>
    <w:rsid w:val="EB7F41A4"/>
    <w:rsid w:val="EB7F5683"/>
    <w:rsid w:val="EBEA68C3"/>
    <w:rsid w:val="EBFD4B18"/>
    <w:rsid w:val="EBFE2A90"/>
    <w:rsid w:val="EBFE3412"/>
    <w:rsid w:val="EBFFF279"/>
    <w:rsid w:val="EC7F9466"/>
    <w:rsid w:val="ECABB577"/>
    <w:rsid w:val="ECF7D913"/>
    <w:rsid w:val="ECFD8EC7"/>
    <w:rsid w:val="EDC75B1F"/>
    <w:rsid w:val="EDFC49F5"/>
    <w:rsid w:val="EDFF05C1"/>
    <w:rsid w:val="EDFF8B79"/>
    <w:rsid w:val="EDFFABBA"/>
    <w:rsid w:val="EE376521"/>
    <w:rsid w:val="EE6F930E"/>
    <w:rsid w:val="EE97A1B9"/>
    <w:rsid w:val="EEED6569"/>
    <w:rsid w:val="EEEEED14"/>
    <w:rsid w:val="EEF99540"/>
    <w:rsid w:val="EEFA5214"/>
    <w:rsid w:val="EEFBD1ED"/>
    <w:rsid w:val="EEFF432E"/>
    <w:rsid w:val="EF1B98CC"/>
    <w:rsid w:val="EF243379"/>
    <w:rsid w:val="EF3F3724"/>
    <w:rsid w:val="EF7333A5"/>
    <w:rsid w:val="EF7914D3"/>
    <w:rsid w:val="EF7F8C8F"/>
    <w:rsid w:val="EFAD9E7F"/>
    <w:rsid w:val="EFB78EA6"/>
    <w:rsid w:val="EFDDA176"/>
    <w:rsid w:val="EFE7AD96"/>
    <w:rsid w:val="EFE83A2F"/>
    <w:rsid w:val="EFEB5CDA"/>
    <w:rsid w:val="EFEFE386"/>
    <w:rsid w:val="EFF7E0D6"/>
    <w:rsid w:val="EFF7FF7A"/>
    <w:rsid w:val="EFF9192D"/>
    <w:rsid w:val="EFF95842"/>
    <w:rsid w:val="EFF9BD84"/>
    <w:rsid w:val="EFFE2A6C"/>
    <w:rsid w:val="EFFF2608"/>
    <w:rsid w:val="EFFF9622"/>
    <w:rsid w:val="EFFFB2C1"/>
    <w:rsid w:val="F0CECE7E"/>
    <w:rsid w:val="F1E732BA"/>
    <w:rsid w:val="F1FD2C26"/>
    <w:rsid w:val="F2EFD508"/>
    <w:rsid w:val="F2F7E35B"/>
    <w:rsid w:val="F2FE0823"/>
    <w:rsid w:val="F3FB6311"/>
    <w:rsid w:val="F3FFDE1A"/>
    <w:rsid w:val="F47F1010"/>
    <w:rsid w:val="F4CF8825"/>
    <w:rsid w:val="F5557ED4"/>
    <w:rsid w:val="F55F313D"/>
    <w:rsid w:val="F575C74D"/>
    <w:rsid w:val="F57E0255"/>
    <w:rsid w:val="F5E1A135"/>
    <w:rsid w:val="F5EDDF45"/>
    <w:rsid w:val="F5FD2DD7"/>
    <w:rsid w:val="F67BEFE7"/>
    <w:rsid w:val="F6BBDB5D"/>
    <w:rsid w:val="F6DC7292"/>
    <w:rsid w:val="F6DEBE5E"/>
    <w:rsid w:val="F6F277C8"/>
    <w:rsid w:val="F6FAF4DF"/>
    <w:rsid w:val="F6FB4563"/>
    <w:rsid w:val="F6FED3E7"/>
    <w:rsid w:val="F6FF1A34"/>
    <w:rsid w:val="F72F1273"/>
    <w:rsid w:val="F753A363"/>
    <w:rsid w:val="F759696D"/>
    <w:rsid w:val="F77FDFE2"/>
    <w:rsid w:val="F79FA0E9"/>
    <w:rsid w:val="F7AF7EDA"/>
    <w:rsid w:val="F7B7D6D9"/>
    <w:rsid w:val="F7BFB84F"/>
    <w:rsid w:val="F7C669A0"/>
    <w:rsid w:val="F7D7EF48"/>
    <w:rsid w:val="F7EBEFB5"/>
    <w:rsid w:val="F7EF2DFA"/>
    <w:rsid w:val="F7EFAE89"/>
    <w:rsid w:val="F7EFF689"/>
    <w:rsid w:val="F7F36101"/>
    <w:rsid w:val="F7F79D73"/>
    <w:rsid w:val="F7FB4FF0"/>
    <w:rsid w:val="F7FDBA6E"/>
    <w:rsid w:val="F7FDDBA5"/>
    <w:rsid w:val="F7FFFA21"/>
    <w:rsid w:val="F83FE373"/>
    <w:rsid w:val="F92BBC9B"/>
    <w:rsid w:val="F97B555F"/>
    <w:rsid w:val="F97F3EFE"/>
    <w:rsid w:val="F9AD0530"/>
    <w:rsid w:val="F9BAC33B"/>
    <w:rsid w:val="F9DFF4E2"/>
    <w:rsid w:val="F9EE7825"/>
    <w:rsid w:val="F9FD5E5A"/>
    <w:rsid w:val="F9FD7822"/>
    <w:rsid w:val="FACFD8F4"/>
    <w:rsid w:val="FADEF3F1"/>
    <w:rsid w:val="FAEEC10A"/>
    <w:rsid w:val="FAEFE741"/>
    <w:rsid w:val="FAFDA2B3"/>
    <w:rsid w:val="FAFFE4BD"/>
    <w:rsid w:val="FB4B285F"/>
    <w:rsid w:val="FB594B9F"/>
    <w:rsid w:val="FB5B6A5C"/>
    <w:rsid w:val="FB772D09"/>
    <w:rsid w:val="FB9A99F6"/>
    <w:rsid w:val="FBAF76A4"/>
    <w:rsid w:val="FBAFE8D6"/>
    <w:rsid w:val="FBBD5BE8"/>
    <w:rsid w:val="FBDF9452"/>
    <w:rsid w:val="FBE325EC"/>
    <w:rsid w:val="FBED3B99"/>
    <w:rsid w:val="FBEE1E8F"/>
    <w:rsid w:val="FBEF50DA"/>
    <w:rsid w:val="FBFC4D92"/>
    <w:rsid w:val="FC0668FB"/>
    <w:rsid w:val="FC36921D"/>
    <w:rsid w:val="FCBFA3C5"/>
    <w:rsid w:val="FCCFE0EF"/>
    <w:rsid w:val="FCE5452F"/>
    <w:rsid w:val="FCFB9E20"/>
    <w:rsid w:val="FCFD8921"/>
    <w:rsid w:val="FD4D6340"/>
    <w:rsid w:val="FD5F3FC6"/>
    <w:rsid w:val="FD75579F"/>
    <w:rsid w:val="FD7B546C"/>
    <w:rsid w:val="FD7F2D2F"/>
    <w:rsid w:val="FD7FB6D4"/>
    <w:rsid w:val="FD9F0D7F"/>
    <w:rsid w:val="FDAB0B72"/>
    <w:rsid w:val="FDB7BDBB"/>
    <w:rsid w:val="FDD7E62F"/>
    <w:rsid w:val="FDEC27C9"/>
    <w:rsid w:val="FDEDEEBB"/>
    <w:rsid w:val="FDF261B7"/>
    <w:rsid w:val="FDF75B2A"/>
    <w:rsid w:val="FDFD9DC2"/>
    <w:rsid w:val="FE3E7BC0"/>
    <w:rsid w:val="FE5D9EBA"/>
    <w:rsid w:val="FE6F3F65"/>
    <w:rsid w:val="FE7E7CF0"/>
    <w:rsid w:val="FEAC2288"/>
    <w:rsid w:val="FEBF0871"/>
    <w:rsid w:val="FEBF575C"/>
    <w:rsid w:val="FEBFA93F"/>
    <w:rsid w:val="FEBFB4F2"/>
    <w:rsid w:val="FEC313A3"/>
    <w:rsid w:val="FED5B750"/>
    <w:rsid w:val="FED6FC03"/>
    <w:rsid w:val="FEDE8404"/>
    <w:rsid w:val="FEDE888D"/>
    <w:rsid w:val="FEE26333"/>
    <w:rsid w:val="FEED3F62"/>
    <w:rsid w:val="FEEF7486"/>
    <w:rsid w:val="FEF58C9B"/>
    <w:rsid w:val="FEF710A8"/>
    <w:rsid w:val="FEF73579"/>
    <w:rsid w:val="FEFE155C"/>
    <w:rsid w:val="FEFE9456"/>
    <w:rsid w:val="FEFF523B"/>
    <w:rsid w:val="FF21F5F0"/>
    <w:rsid w:val="FF36BD5A"/>
    <w:rsid w:val="FF4EF732"/>
    <w:rsid w:val="FF4FD236"/>
    <w:rsid w:val="FF591F6B"/>
    <w:rsid w:val="FF6A98EE"/>
    <w:rsid w:val="FF6FDEE7"/>
    <w:rsid w:val="FF7B0021"/>
    <w:rsid w:val="FF7BC93E"/>
    <w:rsid w:val="FF974EBF"/>
    <w:rsid w:val="FF97C6B7"/>
    <w:rsid w:val="FF9CAF51"/>
    <w:rsid w:val="FF9FE763"/>
    <w:rsid w:val="FFA74791"/>
    <w:rsid w:val="FFB9CA61"/>
    <w:rsid w:val="FFBB31A1"/>
    <w:rsid w:val="FFBD7E3C"/>
    <w:rsid w:val="FFBDF783"/>
    <w:rsid w:val="FFBF1AAA"/>
    <w:rsid w:val="FFBF80F8"/>
    <w:rsid w:val="FFBFB2D9"/>
    <w:rsid w:val="FFBFBFE8"/>
    <w:rsid w:val="FFBFDBEC"/>
    <w:rsid w:val="FFCF85B1"/>
    <w:rsid w:val="FFCFEE81"/>
    <w:rsid w:val="FFD300D0"/>
    <w:rsid w:val="FFD98162"/>
    <w:rsid w:val="FFDB6646"/>
    <w:rsid w:val="FFDBCCED"/>
    <w:rsid w:val="FFDD084A"/>
    <w:rsid w:val="FFDD1446"/>
    <w:rsid w:val="FFDDC9BF"/>
    <w:rsid w:val="FFDF04B1"/>
    <w:rsid w:val="FFDFA474"/>
    <w:rsid w:val="FFDFA568"/>
    <w:rsid w:val="FFDFAD50"/>
    <w:rsid w:val="FFE5C1CD"/>
    <w:rsid w:val="FFEF863A"/>
    <w:rsid w:val="FFF74C1D"/>
    <w:rsid w:val="FFF7EC2E"/>
    <w:rsid w:val="FFF992C7"/>
    <w:rsid w:val="FFF9E82A"/>
    <w:rsid w:val="FFFB26A5"/>
    <w:rsid w:val="FFFBC9A6"/>
    <w:rsid w:val="FFFBD90B"/>
    <w:rsid w:val="FFFDA784"/>
    <w:rsid w:val="FFFE0C69"/>
    <w:rsid w:val="FFFEF1B0"/>
    <w:rsid w:val="FFFF50CD"/>
    <w:rsid w:val="FFFF5372"/>
    <w:rsid w:val="FFFF5646"/>
    <w:rsid w:val="FFFF6A43"/>
    <w:rsid w:val="FFFFA869"/>
    <w:rsid w:val="FFFFBD90"/>
    <w:rsid w:val="FFFFFC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6"/>
    <w:qFormat/>
    <w:uiPriority w:val="1"/>
    <w:pPr>
      <w:keepNext/>
      <w:keepLines/>
      <w:spacing w:before="340" w:after="330" w:line="578" w:lineRule="auto"/>
      <w:jc w:val="center"/>
      <w:outlineLvl w:val="0"/>
    </w:pPr>
    <w:rPr>
      <w:rFonts w:asciiTheme="minorAscii" w:hAnsiTheme="minorAscii"/>
      <w:b/>
      <w:bCs/>
      <w:kern w:val="44"/>
      <w:sz w:val="44"/>
      <w:szCs w:val="44"/>
    </w:rPr>
  </w:style>
  <w:style w:type="paragraph" w:styleId="3">
    <w:name w:val="heading 2"/>
    <w:basedOn w:val="1"/>
    <w:next w:val="1"/>
    <w:link w:val="56"/>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48"/>
    <w:unhideWhenUsed/>
    <w:qFormat/>
    <w:uiPriority w:val="9"/>
    <w:pPr>
      <w:keepNext/>
      <w:keepLines/>
      <w:spacing w:before="0" w:after="0" w:line="560" w:lineRule="exact"/>
      <w:outlineLvl w:val="2"/>
    </w:pPr>
    <w:rPr>
      <w:rFonts w:eastAsia="仿宋" w:asciiTheme="minorAscii" w:hAnsiTheme="minorAscii"/>
      <w:bCs/>
      <w:sz w:val="32"/>
      <w:szCs w:val="32"/>
    </w:rPr>
  </w:style>
  <w:style w:type="paragraph" w:styleId="5">
    <w:name w:val="heading 4"/>
    <w:basedOn w:val="1"/>
    <w:next w:val="1"/>
    <w:link w:val="57"/>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semiHidden/>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8">
    <w:name w:val="caption"/>
    <w:basedOn w:val="1"/>
    <w:next w:val="1"/>
    <w:qFormat/>
    <w:uiPriority w:val="0"/>
    <w:rPr>
      <w:rFonts w:ascii="Calibri Light" w:hAnsi="Calibri Light" w:eastAsia="黑体" w:cs="Times New Roman"/>
      <w:sz w:val="20"/>
      <w:szCs w:val="20"/>
    </w:rPr>
  </w:style>
  <w:style w:type="paragraph" w:styleId="9">
    <w:name w:val="annotation text"/>
    <w:basedOn w:val="1"/>
    <w:link w:val="42"/>
    <w:unhideWhenUsed/>
    <w:qFormat/>
    <w:uiPriority w:val="99"/>
    <w:pPr>
      <w:jc w:val="left"/>
    </w:pPr>
    <w:rPr>
      <w:rFonts w:ascii="Calibri" w:hAnsi="Calibri" w:eastAsia="宋体" w:cs="Times New Roman"/>
    </w:rPr>
  </w:style>
  <w:style w:type="paragraph" w:styleId="10">
    <w:name w:val="Body Text"/>
    <w:basedOn w:val="1"/>
    <w:link w:val="50"/>
    <w:qFormat/>
    <w:uiPriority w:val="1"/>
    <w:pPr>
      <w:ind w:left="140"/>
      <w:jc w:val="left"/>
    </w:pPr>
    <w:rPr>
      <w:rFonts w:ascii="宋体" w:hAnsi="宋体" w:eastAsia="宋体"/>
      <w:kern w:val="0"/>
      <w:sz w:val="24"/>
      <w:szCs w:val="24"/>
      <w:lang w:eastAsia="en-US"/>
    </w:rPr>
  </w:style>
  <w:style w:type="paragraph" w:styleId="11">
    <w:name w:val="Body Text Indent"/>
    <w:basedOn w:val="1"/>
    <w:semiHidden/>
    <w:unhideWhenUsed/>
    <w:qFormat/>
    <w:uiPriority w:val="99"/>
    <w:pPr>
      <w:spacing w:after="120"/>
      <w:ind w:left="420" w:leftChars="200"/>
    </w:pPr>
    <w:rPr>
      <w:rFonts w:ascii="Times New Roman" w:hAnsi="Times New Roman" w:eastAsia="宋体" w:cs="Times New Roman"/>
      <w:szCs w:val="21"/>
    </w:rPr>
  </w:style>
  <w:style w:type="paragraph" w:styleId="12">
    <w:name w:val="toc 5"/>
    <w:basedOn w:val="1"/>
    <w:next w:val="1"/>
    <w:unhideWhenUsed/>
    <w:qFormat/>
    <w:uiPriority w:val="39"/>
    <w:pPr>
      <w:ind w:left="840"/>
      <w:jc w:val="left"/>
    </w:pPr>
    <w:rPr>
      <w:sz w:val="18"/>
      <w:szCs w:val="18"/>
    </w:rPr>
  </w:style>
  <w:style w:type="paragraph" w:styleId="13">
    <w:name w:val="toc 3"/>
    <w:basedOn w:val="1"/>
    <w:next w:val="1"/>
    <w:unhideWhenUsed/>
    <w:qFormat/>
    <w:uiPriority w:val="39"/>
    <w:pPr>
      <w:ind w:left="420"/>
      <w:jc w:val="left"/>
    </w:pPr>
    <w:rPr>
      <w:i/>
      <w:iCs/>
      <w:sz w:val="20"/>
      <w:szCs w:val="20"/>
    </w:rPr>
  </w:style>
  <w:style w:type="paragraph" w:styleId="14">
    <w:name w:val="toc 8"/>
    <w:basedOn w:val="1"/>
    <w:next w:val="1"/>
    <w:unhideWhenUsed/>
    <w:qFormat/>
    <w:uiPriority w:val="39"/>
    <w:pPr>
      <w:ind w:left="1470"/>
      <w:jc w:val="left"/>
    </w:pPr>
    <w:rPr>
      <w:sz w:val="18"/>
      <w:szCs w:val="18"/>
    </w:rPr>
  </w:style>
  <w:style w:type="paragraph" w:styleId="15">
    <w:name w:val="Date"/>
    <w:basedOn w:val="1"/>
    <w:next w:val="1"/>
    <w:link w:val="41"/>
    <w:semiHidden/>
    <w:unhideWhenUsed/>
    <w:qFormat/>
    <w:uiPriority w:val="99"/>
    <w:pPr>
      <w:ind w:left="100" w:leftChars="2500"/>
    </w:pPr>
  </w:style>
  <w:style w:type="paragraph" w:styleId="16">
    <w:name w:val="endnote text"/>
    <w:basedOn w:val="1"/>
    <w:link w:val="51"/>
    <w:unhideWhenUsed/>
    <w:qFormat/>
    <w:uiPriority w:val="99"/>
    <w:pPr>
      <w:snapToGrid w:val="0"/>
      <w:jc w:val="left"/>
    </w:pPr>
  </w:style>
  <w:style w:type="paragraph" w:styleId="17">
    <w:name w:val="Balloon Text"/>
    <w:basedOn w:val="1"/>
    <w:link w:val="40"/>
    <w:unhideWhenUsed/>
    <w:qFormat/>
    <w:uiPriority w:val="99"/>
    <w:rPr>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0" w:after="0"/>
      <w:jc w:val="left"/>
    </w:pPr>
    <w:rPr>
      <w:rFonts w:ascii="仿宋" w:hAnsi="仿宋" w:eastAsia="仿宋"/>
      <w:b/>
      <w:bCs/>
      <w:caps/>
      <w:sz w:val="32"/>
      <w:szCs w:val="20"/>
    </w:rPr>
  </w:style>
  <w:style w:type="paragraph" w:styleId="21">
    <w:name w:val="toc 4"/>
    <w:basedOn w:val="1"/>
    <w:next w:val="1"/>
    <w:unhideWhenUsed/>
    <w:qFormat/>
    <w:uiPriority w:val="39"/>
    <w:pPr>
      <w:ind w:left="630"/>
      <w:jc w:val="left"/>
    </w:pPr>
    <w:rPr>
      <w:sz w:val="18"/>
      <w:szCs w:val="18"/>
    </w:rPr>
  </w:style>
  <w:style w:type="paragraph" w:styleId="22">
    <w:name w:val="footnote text"/>
    <w:basedOn w:val="1"/>
    <w:link w:val="54"/>
    <w:qFormat/>
    <w:uiPriority w:val="99"/>
    <w:pPr>
      <w:snapToGrid w:val="0"/>
      <w:jc w:val="left"/>
    </w:pPr>
    <w:rPr>
      <w:rFonts w:ascii="Calibri" w:hAnsi="Calibri" w:eastAsia="宋体" w:cs="Times New Roman"/>
      <w:sz w:val="18"/>
      <w:szCs w:val="18"/>
    </w:rPr>
  </w:style>
  <w:style w:type="paragraph" w:styleId="23">
    <w:name w:val="toc 6"/>
    <w:basedOn w:val="1"/>
    <w:next w:val="1"/>
    <w:unhideWhenUsed/>
    <w:qFormat/>
    <w:uiPriority w:val="39"/>
    <w:pPr>
      <w:ind w:left="1050"/>
      <w:jc w:val="left"/>
    </w:pPr>
    <w:rPr>
      <w:sz w:val="18"/>
      <w:szCs w:val="18"/>
    </w:rPr>
  </w:style>
  <w:style w:type="paragraph" w:styleId="24">
    <w:name w:val="toc 2"/>
    <w:basedOn w:val="1"/>
    <w:next w:val="1"/>
    <w:unhideWhenUsed/>
    <w:qFormat/>
    <w:uiPriority w:val="39"/>
    <w:pPr>
      <w:ind w:left="210"/>
      <w:jc w:val="left"/>
    </w:pPr>
    <w:rPr>
      <w:rFonts w:ascii="仿宋" w:hAnsi="仿宋" w:eastAsia="仿宋"/>
      <w:smallCaps/>
      <w:sz w:val="32"/>
      <w:szCs w:val="20"/>
    </w:rPr>
  </w:style>
  <w:style w:type="paragraph" w:styleId="25">
    <w:name w:val="toc 9"/>
    <w:basedOn w:val="1"/>
    <w:next w:val="1"/>
    <w:unhideWhenUsed/>
    <w:qFormat/>
    <w:uiPriority w:val="39"/>
    <w:pPr>
      <w:ind w:left="1680"/>
      <w:jc w:val="left"/>
    </w:pPr>
    <w:rPr>
      <w:sz w:val="18"/>
      <w:szCs w:val="18"/>
    </w:rPr>
  </w:style>
  <w:style w:type="paragraph" w:styleId="2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7">
    <w:name w:val="Normal (Web)"/>
    <w:basedOn w:val="1"/>
    <w:link w:val="82"/>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8">
    <w:name w:val="annotation subject"/>
    <w:basedOn w:val="9"/>
    <w:next w:val="9"/>
    <w:link w:val="43"/>
    <w:unhideWhenUsed/>
    <w:qFormat/>
    <w:uiPriority w:val="99"/>
    <w:rPr>
      <w:b/>
      <w:bCs/>
    </w:rPr>
  </w:style>
  <w:style w:type="paragraph" w:styleId="29">
    <w:name w:val="Body Text First Indent 2"/>
    <w:basedOn w:val="11"/>
    <w:qFormat/>
    <w:uiPriority w:val="0"/>
    <w:pPr>
      <w:widowControl w:val="0"/>
      <w:ind w:firstLine="420"/>
      <w:jc w:val="both"/>
    </w:pPr>
    <w:rPr>
      <w:rFonts w:ascii="Calibri" w:hAnsi="Calibri" w:eastAsia="宋体" w:cs="Times New Roman"/>
      <w:kern w:val="2"/>
      <w:sz w:val="28"/>
      <w:szCs w:val="20"/>
      <w:lang w:val="en-US" w:eastAsia="zh-CN" w:bidi="ar-SA"/>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endnote reference"/>
    <w:basedOn w:val="32"/>
    <w:unhideWhenUsed/>
    <w:qFormat/>
    <w:uiPriority w:val="99"/>
    <w:rPr>
      <w:vertAlign w:val="superscript"/>
    </w:rPr>
  </w:style>
  <w:style w:type="character" w:styleId="35">
    <w:name w:val="FollowedHyperlink"/>
    <w:basedOn w:val="32"/>
    <w:semiHidden/>
    <w:unhideWhenUsed/>
    <w:qFormat/>
    <w:uiPriority w:val="99"/>
    <w:rPr>
      <w:color w:val="800080"/>
      <w:u w:val="single"/>
    </w:rPr>
  </w:style>
  <w:style w:type="character" w:styleId="36">
    <w:name w:val="Hyperlink"/>
    <w:basedOn w:val="32"/>
    <w:unhideWhenUsed/>
    <w:qFormat/>
    <w:uiPriority w:val="99"/>
    <w:rPr>
      <w:color w:val="0000FF" w:themeColor="hyperlink"/>
      <w:u w:val="single"/>
      <w14:textFill>
        <w14:solidFill>
          <w14:schemeClr w14:val="hlink"/>
        </w14:solidFill>
      </w14:textFill>
    </w:rPr>
  </w:style>
  <w:style w:type="character" w:styleId="37">
    <w:name w:val="annotation reference"/>
    <w:basedOn w:val="32"/>
    <w:unhideWhenUsed/>
    <w:qFormat/>
    <w:uiPriority w:val="99"/>
    <w:rPr>
      <w:sz w:val="21"/>
      <w:szCs w:val="21"/>
    </w:rPr>
  </w:style>
  <w:style w:type="character" w:styleId="38">
    <w:name w:val="footnote reference"/>
    <w:basedOn w:val="32"/>
    <w:qFormat/>
    <w:uiPriority w:val="99"/>
    <w:rPr>
      <w:rFonts w:cs="Times New Roman"/>
      <w:vertAlign w:val="superscript"/>
    </w:rPr>
  </w:style>
  <w:style w:type="paragraph" w:styleId="39">
    <w:name w:val="List Paragraph"/>
    <w:basedOn w:val="1"/>
    <w:link w:val="45"/>
    <w:qFormat/>
    <w:uiPriority w:val="34"/>
    <w:pPr>
      <w:ind w:firstLine="420" w:firstLineChars="200"/>
    </w:pPr>
  </w:style>
  <w:style w:type="character" w:customStyle="1" w:styleId="40">
    <w:name w:val="批注框文本 Char"/>
    <w:basedOn w:val="32"/>
    <w:link w:val="17"/>
    <w:qFormat/>
    <w:uiPriority w:val="99"/>
    <w:rPr>
      <w:sz w:val="18"/>
      <w:szCs w:val="18"/>
    </w:rPr>
  </w:style>
  <w:style w:type="character" w:customStyle="1" w:styleId="41">
    <w:name w:val="日期 Char"/>
    <w:basedOn w:val="32"/>
    <w:link w:val="15"/>
    <w:semiHidden/>
    <w:qFormat/>
    <w:uiPriority w:val="99"/>
  </w:style>
  <w:style w:type="character" w:customStyle="1" w:styleId="42">
    <w:name w:val="批注文字 Char"/>
    <w:basedOn w:val="32"/>
    <w:link w:val="9"/>
    <w:qFormat/>
    <w:uiPriority w:val="99"/>
  </w:style>
  <w:style w:type="character" w:customStyle="1" w:styleId="43">
    <w:name w:val="批注主题 Char"/>
    <w:basedOn w:val="42"/>
    <w:link w:val="28"/>
    <w:qFormat/>
    <w:uiPriority w:val="99"/>
    <w:rPr>
      <w:b/>
      <w:bCs/>
    </w:rPr>
  </w:style>
  <w:style w:type="paragraph" w:customStyle="1" w:styleId="44">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45">
    <w:name w:val="列出段落 Char"/>
    <w:link w:val="39"/>
    <w:qFormat/>
    <w:locked/>
    <w:uiPriority w:val="34"/>
  </w:style>
  <w:style w:type="character" w:customStyle="1" w:styleId="46">
    <w:name w:val="标题 1 Char"/>
    <w:basedOn w:val="32"/>
    <w:link w:val="2"/>
    <w:qFormat/>
    <w:uiPriority w:val="1"/>
    <w:rPr>
      <w:rFonts w:asciiTheme="minorAscii" w:hAnsiTheme="minorAscii" w:eastAsiaTheme="minorEastAsia"/>
      <w:b/>
      <w:bCs/>
      <w:kern w:val="44"/>
      <w:sz w:val="44"/>
      <w:szCs w:val="44"/>
    </w:rPr>
  </w:style>
  <w:style w:type="paragraph" w:customStyle="1" w:styleId="47">
    <w:name w:val="标题 21"/>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customStyle="1" w:styleId="48">
    <w:name w:val="标题 3 Char"/>
    <w:basedOn w:val="32"/>
    <w:link w:val="4"/>
    <w:qFormat/>
    <w:uiPriority w:val="9"/>
    <w:rPr>
      <w:rFonts w:eastAsia="仿宋" w:asciiTheme="minorAscii" w:hAnsiTheme="minorAscii"/>
      <w:bCs/>
      <w:sz w:val="32"/>
      <w:szCs w:val="32"/>
    </w:rPr>
  </w:style>
  <w:style w:type="paragraph" w:customStyle="1" w:styleId="49">
    <w:name w:val="标题 41"/>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customStyle="1" w:styleId="50">
    <w:name w:val="正文文本 Char"/>
    <w:basedOn w:val="32"/>
    <w:link w:val="10"/>
    <w:qFormat/>
    <w:uiPriority w:val="1"/>
    <w:rPr>
      <w:rFonts w:ascii="宋体" w:hAnsi="宋体" w:eastAsia="宋体"/>
      <w:kern w:val="0"/>
      <w:sz w:val="24"/>
      <w:szCs w:val="24"/>
      <w:lang w:eastAsia="en-US"/>
    </w:rPr>
  </w:style>
  <w:style w:type="character" w:customStyle="1" w:styleId="51">
    <w:name w:val="尾注文本 Char"/>
    <w:basedOn w:val="32"/>
    <w:link w:val="16"/>
    <w:qFormat/>
    <w:uiPriority w:val="99"/>
  </w:style>
  <w:style w:type="character" w:customStyle="1" w:styleId="52">
    <w:name w:val="页脚 Char"/>
    <w:basedOn w:val="32"/>
    <w:link w:val="18"/>
    <w:qFormat/>
    <w:uiPriority w:val="99"/>
    <w:rPr>
      <w:sz w:val="18"/>
      <w:szCs w:val="18"/>
    </w:rPr>
  </w:style>
  <w:style w:type="character" w:customStyle="1" w:styleId="53">
    <w:name w:val="页眉 Char"/>
    <w:basedOn w:val="32"/>
    <w:link w:val="19"/>
    <w:qFormat/>
    <w:uiPriority w:val="99"/>
    <w:rPr>
      <w:sz w:val="18"/>
      <w:szCs w:val="18"/>
    </w:rPr>
  </w:style>
  <w:style w:type="character" w:customStyle="1" w:styleId="54">
    <w:name w:val="脚注文本 Char"/>
    <w:basedOn w:val="32"/>
    <w:link w:val="22"/>
    <w:qFormat/>
    <w:uiPriority w:val="99"/>
    <w:rPr>
      <w:rFonts w:ascii="Calibri" w:hAnsi="Calibri" w:eastAsia="宋体" w:cs="Times New Roman"/>
      <w:sz w:val="18"/>
      <w:szCs w:val="18"/>
    </w:rPr>
  </w:style>
  <w:style w:type="character" w:customStyle="1" w:styleId="55">
    <w:name w:val="超链接1"/>
    <w:basedOn w:val="32"/>
    <w:unhideWhenUsed/>
    <w:qFormat/>
    <w:uiPriority w:val="99"/>
    <w:rPr>
      <w:color w:val="0563C1"/>
      <w:u w:val="single"/>
    </w:rPr>
  </w:style>
  <w:style w:type="character" w:customStyle="1" w:styleId="56">
    <w:name w:val="标题 2 Char"/>
    <w:basedOn w:val="32"/>
    <w:link w:val="3"/>
    <w:qFormat/>
    <w:uiPriority w:val="9"/>
    <w:rPr>
      <w:rFonts w:ascii="Calibri Light" w:hAnsi="Calibri Light" w:eastAsia="宋体" w:cs="Times New Roman"/>
      <w:b/>
      <w:bCs/>
      <w:sz w:val="32"/>
      <w:szCs w:val="32"/>
    </w:rPr>
  </w:style>
  <w:style w:type="character" w:customStyle="1" w:styleId="57">
    <w:name w:val="标题 4 Char"/>
    <w:basedOn w:val="32"/>
    <w:link w:val="5"/>
    <w:qFormat/>
    <w:uiPriority w:val="9"/>
    <w:rPr>
      <w:rFonts w:ascii="Calibri Light" w:hAnsi="Calibri Light" w:eastAsia="宋体" w:cs="Times New Roman"/>
      <w:b/>
      <w:bCs/>
      <w:sz w:val="28"/>
      <w:szCs w:val="28"/>
    </w:rPr>
  </w:style>
  <w:style w:type="paragraph" w:customStyle="1" w:styleId="58">
    <w:name w:val="SSE正文"/>
    <w:basedOn w:val="1"/>
    <w:link w:val="59"/>
    <w:qFormat/>
    <w:uiPriority w:val="0"/>
    <w:pPr>
      <w:ind w:firstLine="200" w:firstLineChars="200"/>
    </w:pPr>
    <w:rPr>
      <w:rFonts w:ascii="Times New Roman" w:hAnsi="Times New Roman" w:eastAsia="仿宋_GB2312" w:cs="Times New Roman"/>
      <w:kern w:val="0"/>
      <w:sz w:val="28"/>
      <w:szCs w:val="28"/>
    </w:rPr>
  </w:style>
  <w:style w:type="character" w:customStyle="1" w:styleId="59">
    <w:name w:val="SSE正文 Char"/>
    <w:link w:val="58"/>
    <w:qFormat/>
    <w:locked/>
    <w:uiPriority w:val="0"/>
    <w:rPr>
      <w:rFonts w:ascii="Times New Roman" w:hAnsi="Times New Roman" w:eastAsia="仿宋_GB2312" w:cs="Times New Roman"/>
      <w:kern w:val="0"/>
      <w:sz w:val="28"/>
      <w:szCs w:val="28"/>
    </w:rPr>
  </w:style>
  <w:style w:type="paragraph" w:customStyle="1" w:styleId="60">
    <w:name w:val="SSE标题2"/>
    <w:basedOn w:val="3"/>
    <w:link w:val="61"/>
    <w:qFormat/>
    <w:uiPriority w:val="0"/>
  </w:style>
  <w:style w:type="character" w:customStyle="1" w:styleId="61">
    <w:name w:val="SSE标题2 Char"/>
    <w:link w:val="60"/>
    <w:qFormat/>
    <w:locked/>
    <w:uiPriority w:val="0"/>
    <w:rPr>
      <w:rFonts w:ascii="Calibri Light" w:hAnsi="Calibri Light" w:eastAsia="宋体" w:cs="Times New Roman"/>
      <w:b/>
      <w:bCs/>
      <w:sz w:val="32"/>
      <w:szCs w:val="32"/>
    </w:rPr>
  </w:style>
  <w:style w:type="paragraph" w:customStyle="1" w:styleId="62">
    <w:name w:val="SSE标题1"/>
    <w:basedOn w:val="2"/>
    <w:link w:val="63"/>
    <w:qFormat/>
    <w:uiPriority w:val="99"/>
    <w:pPr>
      <w:spacing w:before="0" w:after="120" w:line="240" w:lineRule="auto"/>
    </w:pPr>
    <w:rPr>
      <w:rFonts w:ascii="Times New Roman" w:hAnsi="Times New Roman" w:eastAsia="黑体" w:cs="Times New Roman"/>
      <w:sz w:val="30"/>
      <w:szCs w:val="30"/>
    </w:rPr>
  </w:style>
  <w:style w:type="character" w:customStyle="1" w:styleId="63">
    <w:name w:val="SSE标题1 Char"/>
    <w:link w:val="62"/>
    <w:qFormat/>
    <w:locked/>
    <w:uiPriority w:val="99"/>
    <w:rPr>
      <w:rFonts w:ascii="Times New Roman" w:hAnsi="Times New Roman" w:eastAsia="黑体" w:cs="Times New Roman"/>
      <w:b/>
      <w:bCs/>
      <w:kern w:val="44"/>
      <w:sz w:val="30"/>
      <w:szCs w:val="30"/>
    </w:rPr>
  </w:style>
  <w:style w:type="paragraph" w:customStyle="1" w:styleId="64">
    <w:name w:val="SSE表格文字"/>
    <w:basedOn w:val="1"/>
    <w:link w:val="65"/>
    <w:qFormat/>
    <w:uiPriority w:val="99"/>
    <w:pPr>
      <w:widowControl/>
      <w:jc w:val="center"/>
    </w:pPr>
    <w:rPr>
      <w:rFonts w:ascii="Times New Roman" w:hAnsi="Times New Roman" w:eastAsia="仿宋_GB2312" w:cs="Times New Roman"/>
      <w:color w:val="000000"/>
      <w:kern w:val="0"/>
      <w:sz w:val="24"/>
      <w:szCs w:val="24"/>
    </w:rPr>
  </w:style>
  <w:style w:type="character" w:customStyle="1" w:styleId="65">
    <w:name w:val="SSE表格文字 Char"/>
    <w:link w:val="64"/>
    <w:qFormat/>
    <w:locked/>
    <w:uiPriority w:val="99"/>
    <w:rPr>
      <w:rFonts w:ascii="Times New Roman" w:hAnsi="Times New Roman" w:eastAsia="仿宋_GB2312" w:cs="Times New Roman"/>
      <w:color w:val="000000"/>
      <w:kern w:val="0"/>
      <w:sz w:val="24"/>
      <w:szCs w:val="24"/>
    </w:rPr>
  </w:style>
  <w:style w:type="paragraph" w:customStyle="1" w:styleId="66">
    <w:name w:val="列出段落1"/>
    <w:basedOn w:val="1"/>
    <w:qFormat/>
    <w:uiPriority w:val="34"/>
    <w:pPr>
      <w:ind w:firstLine="420" w:firstLineChars="200"/>
    </w:pPr>
    <w:rPr>
      <w:rFonts w:ascii="Calibri" w:hAnsi="Calibri" w:eastAsia="宋体"/>
    </w:rPr>
  </w:style>
  <w:style w:type="paragraph" w:customStyle="1" w:styleId="67">
    <w:name w:val="TOC 标题1"/>
    <w:basedOn w:val="2"/>
    <w:next w:val="1"/>
    <w:unhideWhenUsed/>
    <w:qFormat/>
    <w:uiPriority w:val="39"/>
    <w:pPr>
      <w:widowControl/>
      <w:spacing w:before="480" w:after="0" w:line="276" w:lineRule="auto"/>
      <w:jc w:val="left"/>
      <w:outlineLvl w:val="9"/>
    </w:pPr>
    <w:rPr>
      <w:rFonts w:ascii="Calibri Light" w:hAnsi="Calibri Light" w:eastAsia="宋体" w:cs="Times New Roman"/>
      <w:color w:val="2E74B5"/>
      <w:kern w:val="0"/>
      <w:sz w:val="28"/>
      <w:szCs w:val="28"/>
    </w:rPr>
  </w:style>
  <w:style w:type="paragraph" w:customStyle="1" w:styleId="6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69">
    <w:name w:val="Table Normal"/>
    <w:basedOn w:val="30"/>
    <w:unhideWhenUsed/>
    <w:qFormat/>
    <w:uiPriority w:val="2"/>
    <w:pPr>
      <w:widowControl w:val="0"/>
    </w:pPr>
    <w:rPr>
      <w:sz w:val="22"/>
      <w:lang w:eastAsia="en-US"/>
    </w:rPr>
    <w:tblPr>
      <w:tblCellMar>
        <w:left w:w="0" w:type="dxa"/>
        <w:right w:w="0" w:type="dxa"/>
      </w:tblCellMar>
    </w:tblPr>
  </w:style>
  <w:style w:type="paragraph" w:customStyle="1" w:styleId="70">
    <w:name w:val="Table Paragraph"/>
    <w:basedOn w:val="1"/>
    <w:qFormat/>
    <w:uiPriority w:val="1"/>
    <w:pPr>
      <w:jc w:val="left"/>
    </w:pPr>
    <w:rPr>
      <w:kern w:val="0"/>
      <w:sz w:val="22"/>
      <w:lang w:eastAsia="en-US"/>
    </w:rPr>
  </w:style>
  <w:style w:type="paragraph" w:customStyle="1" w:styleId="71">
    <w:name w:val="修订2"/>
    <w:hidden/>
    <w:semiHidden/>
    <w:qFormat/>
    <w:uiPriority w:val="99"/>
    <w:rPr>
      <w:rFonts w:asciiTheme="minorHAnsi" w:hAnsiTheme="minorHAnsi" w:eastAsiaTheme="minorEastAsia" w:cstheme="minorBidi"/>
      <w:kern w:val="2"/>
      <w:sz w:val="21"/>
      <w:szCs w:val="22"/>
      <w:lang w:val="en-US" w:eastAsia="zh-CN" w:bidi="ar-SA"/>
    </w:rPr>
  </w:style>
  <w:style w:type="table" w:customStyle="1" w:styleId="72">
    <w:name w:val="中等深浅底纹 1 - 着色 11"/>
    <w:basedOn w:val="30"/>
    <w:qFormat/>
    <w:uiPriority w:val="63"/>
    <w:tblPr>
      <w:tblBorders>
        <w:top w:val="single" w:color="84B3DF" w:sz="8" w:space="0"/>
        <w:left w:val="single" w:color="84B3DF" w:sz="8" w:space="0"/>
        <w:bottom w:val="single" w:color="84B3DF" w:sz="8" w:space="0"/>
        <w:right w:val="single" w:color="84B3DF" w:sz="8" w:space="0"/>
        <w:insideH w:val="single" w:color="84B3DF" w:sz="8" w:space="0"/>
      </w:tblBorders>
    </w:tblPr>
    <w:tblStylePr w:type="firstRow">
      <w:pPr>
        <w:spacing w:before="0" w:after="0" w:line="240" w:lineRule="auto"/>
      </w:pPr>
      <w:rPr>
        <w:b/>
        <w:bCs/>
        <w:color w:val="FFFFFF"/>
      </w:rPr>
      <w:tcPr>
        <w:tcBorders>
          <w:top w:val="single" w:color="84B3DF" w:sz="8" w:space="0"/>
          <w:left w:val="single" w:color="84B3DF" w:sz="8" w:space="0"/>
          <w:bottom w:val="single" w:color="84B3DF" w:sz="8" w:space="0"/>
          <w:right w:val="single" w:color="84B3DF" w:sz="8" w:space="0"/>
          <w:insideH w:val="nil"/>
          <w:insideV w:val="nil"/>
        </w:tcBorders>
        <w:shd w:val="clear" w:color="auto" w:fill="5B9BD5"/>
      </w:tcPr>
    </w:tblStylePr>
    <w:tblStylePr w:type="lastRow">
      <w:pPr>
        <w:spacing w:before="0" w:after="0" w:line="240" w:lineRule="auto"/>
      </w:pPr>
      <w:rPr>
        <w:b/>
        <w:bCs/>
      </w:rPr>
      <w:tcPr>
        <w:tcBorders>
          <w:top w:val="double" w:color="84B3DF" w:sz="6" w:space="0"/>
          <w:left w:val="single" w:color="84B3DF" w:sz="8" w:space="0"/>
          <w:bottom w:val="single" w:color="84B3DF" w:sz="8" w:space="0"/>
          <w:right w:val="single" w:color="84B3DF" w:sz="8" w:space="0"/>
          <w:insideH w:val="nil"/>
          <w:insideV w:val="nil"/>
        </w:tcBorders>
      </w:tcPr>
    </w:tblStylePr>
    <w:tblStylePr w:type="firstCol">
      <w:rPr>
        <w:b/>
        <w:bCs/>
      </w:rPr>
    </w:tblStylePr>
    <w:tblStylePr w:type="lastCol">
      <w:rPr>
        <w:b/>
        <w:bCs/>
      </w:rPr>
    </w:tblStylePr>
    <w:tblStylePr w:type="band1Vert">
      <w:tcPr>
        <w:shd w:val="clear" w:color="auto" w:fill="D6E6F4"/>
      </w:tcPr>
    </w:tblStylePr>
    <w:tblStylePr w:type="band1Horz">
      <w:tcPr>
        <w:tcBorders>
          <w:insideH w:val="nil"/>
          <w:insideV w:val="nil"/>
        </w:tcBorders>
        <w:shd w:val="clear" w:color="auto" w:fill="D6E6F4"/>
      </w:tcPr>
    </w:tblStylePr>
    <w:tblStylePr w:type="band2Horz">
      <w:tcPr>
        <w:tcBorders>
          <w:insideH w:val="nil"/>
          <w:insideV w:val="nil"/>
        </w:tcBorders>
      </w:tcPr>
    </w:tblStylePr>
  </w:style>
  <w:style w:type="paragraph" w:customStyle="1" w:styleId="73">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74">
    <w:name w:val="标题 2 Char1"/>
    <w:basedOn w:val="32"/>
    <w:semiHidden/>
    <w:qFormat/>
    <w:uiPriority w:val="9"/>
    <w:rPr>
      <w:rFonts w:asciiTheme="majorHAnsi" w:hAnsiTheme="majorHAnsi" w:eastAsiaTheme="majorEastAsia" w:cstheme="majorBidi"/>
      <w:b/>
      <w:bCs/>
      <w:sz w:val="32"/>
      <w:szCs w:val="32"/>
    </w:rPr>
  </w:style>
  <w:style w:type="character" w:customStyle="1" w:styleId="75">
    <w:name w:val="标题 4 Char1"/>
    <w:basedOn w:val="32"/>
    <w:semiHidden/>
    <w:qFormat/>
    <w:uiPriority w:val="9"/>
    <w:rPr>
      <w:rFonts w:asciiTheme="majorHAnsi" w:hAnsiTheme="majorHAnsi" w:eastAsiaTheme="majorEastAsia" w:cstheme="majorBidi"/>
      <w:b/>
      <w:bCs/>
      <w:sz w:val="28"/>
      <w:szCs w:val="28"/>
    </w:rPr>
  </w:style>
  <w:style w:type="table" w:customStyle="1" w:styleId="76">
    <w:name w:val="网格型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8">
    <w:name w:val="TOC 标题3"/>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9">
    <w:name w:val="修订4"/>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80">
    <w:name w:val="网格型2"/>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11"/>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2">
    <w:name w:val="普通(网站) Char"/>
    <w:basedOn w:val="32"/>
    <w:link w:val="27"/>
    <w:qFormat/>
    <w:uiPriority w:val="0"/>
    <w:rPr>
      <w:rFonts w:ascii="宋体" w:hAnsi="宋体" w:eastAsia="宋体" w:cs="宋体"/>
      <w:sz w:val="24"/>
      <w:szCs w:val="24"/>
    </w:rPr>
  </w:style>
  <w:style w:type="paragraph" w:customStyle="1" w:styleId="83">
    <w:name w:val="条"/>
    <w:basedOn w:val="1"/>
    <w:link w:val="84"/>
    <w:qFormat/>
    <w:uiPriority w:val="0"/>
    <w:pPr>
      <w:spacing w:line="560" w:lineRule="exact"/>
      <w:ind w:firstLine="640" w:firstLineChars="200"/>
    </w:pPr>
    <w:rPr>
      <w:rFonts w:ascii="仿宋_GB2312" w:hAnsi="仿宋" w:eastAsia="仿宋_GB2312" w:cs="Times New Roman"/>
      <w:sz w:val="32"/>
      <w:szCs w:val="32"/>
    </w:rPr>
  </w:style>
  <w:style w:type="character" w:customStyle="1" w:styleId="84">
    <w:name w:val="条 Char"/>
    <w:basedOn w:val="32"/>
    <w:link w:val="83"/>
    <w:qFormat/>
    <w:uiPriority w:val="0"/>
    <w:rPr>
      <w:rFonts w:ascii="仿宋_GB2312" w:hAnsi="仿宋" w:eastAsia="仿宋_GB2312" w:cs="Times New Roman"/>
      <w:kern w:val="2"/>
      <w:sz w:val="32"/>
      <w:szCs w:val="32"/>
    </w:rPr>
  </w:style>
  <w:style w:type="paragraph" w:customStyle="1" w:styleId="85">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86">
    <w:name w:val="15"/>
    <w:basedOn w:val="32"/>
    <w:qFormat/>
    <w:uiPriority w:val="0"/>
  </w:style>
  <w:style w:type="character" w:customStyle="1" w:styleId="87">
    <w:name w:val="10"/>
    <w:basedOn w:val="32"/>
    <w:qFormat/>
    <w:uiPriority w:val="0"/>
    <w:rPr>
      <w:rFonts w:hint="default" w:ascii="Calibri" w:hAnsi="Calibri" w:cs="Calibri"/>
    </w:rPr>
  </w:style>
  <w:style w:type="character" w:customStyle="1" w:styleId="88">
    <w:name w:val="16"/>
    <w:basedOn w:val="32"/>
    <w:qFormat/>
    <w:uiPriority w:val="0"/>
    <w:rPr>
      <w:rFonts w:hint="default" w:ascii="Calibri" w:hAnsi="Calibri" w:cs="Calibri"/>
      <w:sz w:val="21"/>
      <w:szCs w:val="21"/>
    </w:rPr>
  </w:style>
  <w:style w:type="paragraph" w:customStyle="1" w:styleId="89">
    <w:name w:val="msolistparagraph"/>
    <w:basedOn w:val="1"/>
    <w:qFormat/>
    <w:uiPriority w:val="0"/>
    <w:pPr>
      <w:ind w:firstLine="420" w:firstLineChars="200"/>
    </w:pPr>
    <w:rPr>
      <w:rFonts w:ascii="Calibri" w:hAnsi="Calibri" w:eastAsia="宋体" w:cs="Times New Roman"/>
    </w:rPr>
  </w:style>
  <w:style w:type="table" w:customStyle="1" w:styleId="90">
    <w:name w:val="网格型5"/>
    <w:basedOn w:val="30"/>
    <w:qFormat/>
    <w:uiPriority w:val="0"/>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91">
    <w:name w:val="网格型4"/>
    <w:basedOn w:val="30"/>
    <w:qFormat/>
    <w:uiPriority w:val="0"/>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92">
    <w:name w:val="fontstyle01"/>
    <w:basedOn w:val="32"/>
    <w:qFormat/>
    <w:uiPriority w:val="0"/>
    <w:rPr>
      <w:rFonts w:hint="eastAsia" w:ascii="宋体" w:hAnsi="宋体" w:eastAsia="宋体" w:cs="宋体"/>
      <w:color w:val="000000"/>
      <w:sz w:val="30"/>
      <w:szCs w:val="30"/>
    </w:rPr>
  </w:style>
  <w:style w:type="paragraph" w:customStyle="1" w:styleId="93">
    <w:name w:val="_Style 3"/>
    <w:basedOn w:val="1"/>
    <w:qFormat/>
    <w:uiPriority w:val="0"/>
    <w:pPr>
      <w:keepNext w:val="0"/>
      <w:keepLines w:val="0"/>
      <w:widowControl w:val="0"/>
      <w:suppressLineNumbers w:val="0"/>
      <w:spacing w:before="0" w:beforeAutospacing="0" w:after="0" w:afterAutospacing="0" w:line="560" w:lineRule="exact"/>
      <w:ind w:left="0" w:right="0" w:firstLine="420" w:firstLineChars="200"/>
      <w:jc w:val="both"/>
    </w:pPr>
    <w:rPr>
      <w:rFonts w:hint="eastAsia" w:ascii="仿宋" w:hAnsi="仿宋" w:eastAsia="宋体" w:cs="Times New Roman"/>
      <w:kern w:val="2"/>
      <w:sz w:val="32"/>
      <w:szCs w:val="32"/>
      <w:lang w:val="en-US" w:eastAsia="zh-CN" w:bidi="ar"/>
    </w:rPr>
  </w:style>
  <w:style w:type="paragraph" w:customStyle="1" w:styleId="94">
    <w:name w:val="列出段落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Version="0" ct:_="" ma:_="" ma:contentTypeID="0x010100277BE70400348A4D8EEC7D959D14FCE9" ma:contentTypeDescription="新建文档。" ma:contentTypeScope="" ma:versionID="c2d6fc419c2b1c800d14a129d15d07c3" ma:contentTypeName="文档">
  <xsd:schema xmlns:xsd="http://www.w3.org/2001/XMLSchema" xmlns:xs="http://www.w3.org/2001/XMLSchema" xmlns:p="http://schemas.microsoft.com/office/2006/metadata/properties" ma:fieldsID="9adfd09ad98667f9c194c646e975416a" targetNamespace="http://schemas.microsoft.com/office/2006/metadata/properties" ma:root="true">
    <xsd:element name="properties">
      <xsd:complexType>
        <xsd:sequence>
          <xsd:element name="documentManagement">
            <xsd:complexType>
              <xsd:all/>
            </xsd:complexType>
          </xsd:element>
        </xsd:sequence>
      </xsd:complexType>
    </xsd:element>
  </xsd:schema>
  <xsd:schema xmlns:dc="http://purl.org/dc/elements/1.1/" xmlns="http://schemas.openxmlformats.org/package/2006/metadata/core-properties" xmlns:xsd="http://www.w3.org/2001/XMLSchema" xmlns:xsi="http://www.w3.org/2001/XMLSchema-instance" xmlns:odoc="http://schemas.microsoft.com/internal/obd" xmlns:dcterms="http://purl.org/dc/terms/" elementFormDefault="qualified" blockDefault="#all" attributeFormDefault="unqualified" targetNamespace="http://schemas.openxmlformats.org/package/2006/metadata/core-properties">
    <xsd:import schemaLocation="http://dublincore.org/schemas/xmls/qdc/2003/04/02/dc.xsd" namespace="http://purl.org/dc/elements/1.1/"/>
    <xsd:import schemaLocation="http://dublincore.org/schemas/xmls/qdc/2003/04/02/dcterms.xsd" namespace="http://purl.org/dc/terms/"/>
    <xsd:element name="coreProperties" type="CT_coreProperties"/>
    <xsd:complexType name="CT_coreProperties">
      <xsd:all>
        <xsd:element maxOccurs="1" minOccurs="0" ref="dc:creator"/>
        <xsd:element maxOccurs="1" minOccurs="0" ref="dcterms:created"/>
        <xsd:element maxOccurs="1" minOccurs="0" ref="dc:identifier"/>
        <xsd:element name="contentType" maxOccurs="1" minOccurs="0" ma:displayName="内容类型" type="xsd:string" ma:index="0"/>
        <xsd:element maxOccurs="1" minOccurs="0" ma:displayName="标题" ref="dc:title" ma:index="4"/>
        <xsd:element maxOccurs="1" minOccurs="0" ref="dc:subject"/>
        <xsd:element maxOccurs="1" minOccurs="0" ref="dc:description"/>
        <xsd:element name="keywords" maxOccurs="1" minOccurs="0" type="xsd:string"/>
        <xsd:element maxOccurs="1" minOccurs="0" ref="dc:language"/>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maxOccurs="1" minOccurs="0" ref="dcterms:modified"/>
        <xsd:element name="contentStatus" maxOccurs="1" minOccurs="0" type="xsd:string"/>
      </xsd:all>
    </xsd:complexType>
  </xsd:schema>
  <xs:schema xmlns:xs="http://www.w3.org/2001/XMLSchema" xmlns:pc="http://schemas.microsoft.com/office/infopath/2007/PartnerControls"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001481-D1A3-4ADA-9C98-0A06942E00C9}">
  <ds:schemaRefs/>
</ds:datastoreItem>
</file>

<file path=customXml/itemProps3.xml><?xml version="1.0" encoding="utf-8"?>
<ds:datastoreItem xmlns:ds="http://schemas.openxmlformats.org/officeDocument/2006/customXml" ds:itemID="{FC6A18FF-E983-4701-BFB9-0BA9D69D473D}">
  <ds:schemaRefs/>
</ds:datastoreItem>
</file>

<file path=customXml/itemProps4.xml><?xml version="1.0" encoding="utf-8"?>
<ds:datastoreItem xmlns:ds="http://schemas.openxmlformats.org/officeDocument/2006/customXml" ds:itemID="{29827F24-6880-4D1D-A15E-DB3ED3DF12EF}">
  <ds:schemaRefs/>
</ds:datastoreItem>
</file>

<file path=docProps/app.xml><?xml version="1.0" encoding="utf-8"?>
<Properties xmlns="http://schemas.openxmlformats.org/officeDocument/2006/extended-properties" xmlns:vt="http://schemas.openxmlformats.org/officeDocument/2006/docPropsVTypes">
  <Pages>1</Pages>
  <Words>6826</Words>
  <Characters>38913</Characters>
  <Lines>1</Lines>
  <Paragraphs>1</Paragraphs>
  <TotalTime>25</TotalTime>
  <ScaleCrop>false</ScaleCrop>
  <LinksUpToDate>false</LinksUpToDate>
  <CharactersWithSpaces>45648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2023-10-25T07:06:00Z</dcterms:created>
  <dc:creator>xding</dc:creator>
  <cp:lastModifiedBy>韩蕊</cp:lastModifiedBy>
  <cp:lastPrinted>2023-11-23T11:26:00Z</cp:lastPrinted>
  <dcterms:modified xsi:type="dcterms:W3CDTF">2025-07-17T08:18:40Z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0x010100277BE70400348A4D8EEC7D959D14FCE9</vt:lpwstr>
  </property>
  <property fmtid="{D5CDD505-2E9C-101B-9397-08002B2CF9AE}" pid="3" name="KSOProductBuildVer">
    <vt:lpwstr>2052-11.8.2.11718</vt:lpwstr>
  </property>
  <property fmtid="{D5CDD505-2E9C-101B-9397-08002B2CF9AE}" pid="4" name="ICV">
    <vt:lpwstr>E5BDDCF4BC0E4D669365F43A38801464</vt:lpwstr>
  </property>
</Properties>
</file>