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rPr>
          <w:rFonts w:ascii="黑体" w:hAnsi="黑体" w:eastAsia="黑体"/>
          <w:sz w:val="32"/>
          <w:szCs w:val="32"/>
          <w:highlight w:val="none"/>
        </w:rPr>
      </w:pPr>
      <w:bookmarkStart w:id="323" w:name="_GoBack"/>
      <w:bookmarkEnd w:id="323"/>
      <w:r>
        <w:rPr>
          <w:rFonts w:hint="eastAsia" w:ascii="黑体" w:hAnsi="黑体" w:eastAsia="黑体"/>
          <w:sz w:val="32"/>
          <w:szCs w:val="32"/>
          <w:highlight w:val="none"/>
        </w:rPr>
        <w:t>附件</w:t>
      </w:r>
    </w:p>
    <w:p>
      <w:pPr>
        <w:jc w:val="center"/>
        <w:rPr>
          <w:rFonts w:ascii="方正小标宋简体" w:hAnsi="仿宋" w:eastAsia="方正小标宋简体"/>
          <w:sz w:val="44"/>
          <w:szCs w:val="44"/>
          <w:highlight w:val="none"/>
        </w:rPr>
      </w:pPr>
    </w:p>
    <w:p>
      <w:pPr>
        <w:pStyle w:val="6"/>
        <w:jc w:val="center"/>
        <w:rPr>
          <w:rFonts w:ascii="Times New Roman" w:hAnsi="Times New Roman" w:eastAsia="方正小标宋简体"/>
          <w:sz w:val="44"/>
          <w:szCs w:val="44"/>
          <w:highlight w:val="none"/>
        </w:rPr>
      </w:pPr>
    </w:p>
    <w:p>
      <w:pPr>
        <w:pStyle w:val="6"/>
        <w:jc w:val="center"/>
        <w:rPr>
          <w:rFonts w:ascii="Times New Roman" w:hAnsi="Times New Roman" w:eastAsia="方正小标宋简体"/>
          <w:sz w:val="44"/>
          <w:szCs w:val="44"/>
          <w:highlight w:val="none"/>
        </w:rPr>
      </w:pPr>
    </w:p>
    <w:p>
      <w:pPr>
        <w:pStyle w:val="6"/>
        <w:jc w:val="center"/>
        <w:rPr>
          <w:rFonts w:hint="eastAsia"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深圳证券交易所公开募集</w:t>
      </w:r>
      <w:r>
        <w:rPr>
          <w:rFonts w:hint="eastAsia" w:ascii="Times New Roman" w:hAnsi="Times New Roman" w:eastAsia="方正小标宋简体"/>
          <w:sz w:val="44"/>
          <w:szCs w:val="44"/>
          <w:highlight w:val="none"/>
          <w:lang w:eastAsia="zh-CN"/>
        </w:rPr>
        <w:t>不动产投资信托基金</w:t>
      </w:r>
      <w:r>
        <w:rPr>
          <w:rFonts w:hint="eastAsia" w:ascii="Times New Roman" w:hAnsi="Times New Roman" w:eastAsia="方正小标宋简体"/>
          <w:sz w:val="44"/>
          <w:szCs w:val="44"/>
          <w:highlight w:val="none"/>
        </w:rPr>
        <w:t>业务指南第5号</w:t>
      </w:r>
    </w:p>
    <w:p>
      <w:pPr>
        <w:pStyle w:val="6"/>
        <w:jc w:val="center"/>
        <w:rPr>
          <w:rFonts w:hint="eastAsia" w:ascii="Times New Roman" w:hAnsi="Times New Roman" w:eastAsia="方正小标宋简体"/>
          <w:sz w:val="44"/>
          <w:szCs w:val="44"/>
          <w:highlight w:val="none"/>
          <w:lang w:eastAsia="zh-CN"/>
        </w:rPr>
      </w:pPr>
      <w:r>
        <w:rPr>
          <w:rFonts w:hint="eastAsia" w:ascii="Times New Roman" w:hAnsi="Times New Roman" w:eastAsia="方正小标宋简体"/>
          <w:sz w:val="44"/>
          <w:szCs w:val="44"/>
          <w:highlight w:val="none"/>
        </w:rPr>
        <w:t>——定向扩募业务办理</w:t>
      </w:r>
    </w:p>
    <w:p>
      <w:pPr>
        <w:snapToGrid w:val="0"/>
        <w:jc w:val="center"/>
        <w:rPr>
          <w:rFonts w:ascii="Times New Roman" w:hAnsi="Times New Roman" w:eastAsia="方正小标宋简体" w:cs="Times New Roman"/>
          <w:sz w:val="44"/>
          <w:szCs w:val="44"/>
          <w:highlight w:val="none"/>
        </w:rPr>
      </w:pPr>
    </w:p>
    <w:p>
      <w:pPr>
        <w:snapToGrid w:val="0"/>
        <w:jc w:val="center"/>
        <w:rPr>
          <w:rFonts w:ascii="Times New Roman" w:hAnsi="Times New Roman" w:eastAsia="方正小标宋简体" w:cs="Times New Roman"/>
          <w:sz w:val="44"/>
          <w:szCs w:val="44"/>
          <w:highlight w:val="none"/>
        </w:rPr>
      </w:pPr>
    </w:p>
    <w:p>
      <w:pPr>
        <w:snapToGrid w:val="0"/>
        <w:jc w:val="center"/>
        <w:rPr>
          <w:rFonts w:ascii="Times New Roman" w:hAnsi="Times New Roman" w:eastAsia="方正小标宋简体" w:cs="Times New Roman"/>
          <w:sz w:val="44"/>
          <w:szCs w:val="44"/>
          <w:highlight w:val="none"/>
        </w:rPr>
      </w:pPr>
    </w:p>
    <w:p>
      <w:pPr>
        <w:snapToGrid w:val="0"/>
        <w:jc w:val="center"/>
        <w:rPr>
          <w:rFonts w:ascii="Times New Roman" w:hAnsi="Times New Roman" w:eastAsia="方正小标宋简体" w:cs="Times New Roman"/>
          <w:sz w:val="44"/>
          <w:szCs w:val="44"/>
          <w:highlight w:val="none"/>
        </w:rPr>
      </w:pPr>
    </w:p>
    <w:p>
      <w:pPr>
        <w:snapToGrid w:val="0"/>
        <w:jc w:val="center"/>
        <w:rPr>
          <w:rFonts w:ascii="Times New Roman" w:hAnsi="Times New Roman" w:eastAsia="方正小标宋简体" w:cs="Times New Roman"/>
          <w:sz w:val="44"/>
          <w:szCs w:val="44"/>
          <w:highlight w:val="none"/>
        </w:rPr>
      </w:pPr>
    </w:p>
    <w:p>
      <w:pPr>
        <w:jc w:val="center"/>
        <w:rPr>
          <w:rFonts w:ascii="Times New Roman" w:hAnsi="Times New Roman" w:eastAsia="方正小标宋简体" w:cs="Times New Roman"/>
          <w:sz w:val="40"/>
          <w:szCs w:val="40"/>
          <w:highlight w:val="none"/>
        </w:rPr>
      </w:pPr>
    </w:p>
    <w:p>
      <w:pPr>
        <w:jc w:val="center"/>
        <w:rPr>
          <w:rFonts w:ascii="Times New Roman" w:hAnsi="Times New Roman" w:eastAsia="方正小标宋简体" w:cs="Times New Roman"/>
          <w:sz w:val="40"/>
          <w:szCs w:val="40"/>
          <w:highlight w:val="none"/>
        </w:rPr>
      </w:pPr>
    </w:p>
    <w:p>
      <w:pPr>
        <w:jc w:val="center"/>
        <w:rPr>
          <w:rFonts w:ascii="Times New Roman" w:hAnsi="Times New Roman" w:eastAsia="方正小标宋简体" w:cs="Times New Roman"/>
          <w:sz w:val="40"/>
          <w:szCs w:val="40"/>
          <w:highlight w:val="none"/>
        </w:rPr>
      </w:pPr>
    </w:p>
    <w:p>
      <w:pPr>
        <w:jc w:val="center"/>
        <w:rPr>
          <w:rFonts w:ascii="Times New Roman" w:hAnsi="Times New Roman" w:eastAsia="方正小标宋简体" w:cs="Times New Roman"/>
          <w:sz w:val="40"/>
          <w:szCs w:val="40"/>
          <w:highlight w:val="none"/>
        </w:rPr>
      </w:pPr>
    </w:p>
    <w:p>
      <w:pPr>
        <w:jc w:val="center"/>
        <w:rPr>
          <w:rFonts w:ascii="仿宋" w:hAnsi="仿宋" w:eastAsia="仿宋" w:cs="Times New Roman"/>
          <w:sz w:val="32"/>
          <w:szCs w:val="32"/>
          <w:highlight w:val="none"/>
        </w:rPr>
      </w:pPr>
      <w:r>
        <w:rPr>
          <w:rFonts w:hint="eastAsia" w:ascii="黑体" w:hAnsi="黑体" w:eastAsia="黑体" w:cs="黑体"/>
          <w:sz w:val="32"/>
          <w:szCs w:val="32"/>
          <w:highlight w:val="none"/>
        </w:rPr>
        <w:t>二○二</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年</w:t>
      </w:r>
      <w:r>
        <w:rPr>
          <w:rFonts w:hint="eastAsia" w:ascii="黑体" w:hAnsi="黑体" w:eastAsia="黑体" w:cs="黑体"/>
          <w:sz w:val="32"/>
          <w:szCs w:val="32"/>
          <w:highlight w:val="none"/>
          <w:lang w:eastAsia="zh-CN"/>
        </w:rPr>
        <w:t>十二</w:t>
      </w:r>
      <w:r>
        <w:rPr>
          <w:rFonts w:hint="eastAsia" w:ascii="黑体" w:hAnsi="黑体" w:eastAsia="黑体" w:cs="黑体"/>
          <w:sz w:val="32"/>
          <w:szCs w:val="32"/>
          <w:highlight w:val="none"/>
        </w:rPr>
        <w:t>月</w:t>
      </w:r>
    </w:p>
    <w:p>
      <w:pPr>
        <w:widowControl/>
        <w:jc w:val="left"/>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br w:type="page"/>
      </w:r>
    </w:p>
    <w:p>
      <w:pPr>
        <w:adjustRightInd w:val="0"/>
        <w:snapToGrid w:val="0"/>
        <w:spacing w:line="560" w:lineRule="exact"/>
        <w:ind w:firstLine="643" w:firstLineChars="200"/>
        <w:jc w:val="center"/>
        <w:rPr>
          <w:rFonts w:ascii="Times New Roman" w:hAnsi="Times New Roman" w:eastAsia="宋体" w:cs="Times New Roman"/>
          <w:b/>
          <w:bCs/>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widowControl/>
        <w:spacing w:before="156" w:beforeLines="50" w:after="156" w:afterLines="50" w:line="560" w:lineRule="exact"/>
        <w:jc w:val="center"/>
        <w:rPr>
          <w:rFonts w:hint="eastAsia" w:ascii="方正小标宋简体" w:hAnsi="Times New Roman" w:eastAsia="方正小标宋简体"/>
          <w:bCs w:val="0"/>
          <w:sz w:val="44"/>
          <w:szCs w:val="44"/>
          <w:highlight w:val="none"/>
        </w:rPr>
      </w:pPr>
      <w:r>
        <w:rPr>
          <w:rFonts w:hint="eastAsia" w:ascii="方正小标宋简体" w:hAnsi="Times New Roman" w:eastAsia="方正小标宋简体"/>
          <w:bCs w:val="0"/>
          <w:sz w:val="44"/>
          <w:szCs w:val="44"/>
          <w:highlight w:val="none"/>
        </w:rPr>
        <w:t>版本及修订说明</w:t>
      </w:r>
    </w:p>
    <w:tbl>
      <w:tblPr>
        <w:tblStyle w:val="17"/>
        <w:tblpPr w:leftFromText="180" w:rightFromText="180" w:vertAnchor="text" w:horzAnchor="page" w:tblpX="2332" w:tblpY="630"/>
        <w:tblOverlap w:val="never"/>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19"/>
        <w:gridCol w:w="553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919" w:type="dxa"/>
            <w:tcBorders>
              <w:top w:val="double" w:color="auto" w:sz="4" w:space="0"/>
              <w:bottom w:val="single" w:color="auto" w:sz="6" w:space="0"/>
            </w:tcBorders>
            <w:shd w:val="clear" w:color="auto" w:fill="C0C0C0"/>
            <w:vAlign w:val="center"/>
          </w:tcPr>
          <w:p>
            <w:pPr>
              <w:spacing w:line="240" w:lineRule="auto"/>
              <w:ind w:firstLine="0" w:firstLine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修订时间</w:t>
            </w:r>
          </w:p>
        </w:tc>
        <w:tc>
          <w:tcPr>
            <w:tcW w:w="5534" w:type="dxa"/>
            <w:tcBorders>
              <w:top w:val="double" w:color="auto" w:sz="4" w:space="0"/>
              <w:bottom w:val="single" w:color="auto" w:sz="6" w:space="0"/>
            </w:tcBorders>
            <w:shd w:val="clear" w:color="auto" w:fill="C0C0C0"/>
            <w:vAlign w:val="center"/>
          </w:tcPr>
          <w:p>
            <w:pPr>
              <w:spacing w:line="240" w:lineRule="auto"/>
              <w:ind w:firstLine="0" w:firstLine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主要修订内容说明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919" w:type="dxa"/>
            <w:tcBorders>
              <w:top w:val="single" w:color="auto" w:sz="6" w:space="0"/>
              <w:bottom w:val="single" w:color="auto" w:sz="6" w:space="0"/>
            </w:tcBorders>
            <w:vAlign w:val="center"/>
          </w:tcPr>
          <w:p>
            <w:pPr>
              <w:jc w:val="center"/>
              <w:rPr>
                <w:rFonts w:hint="default" w:ascii="仿宋" w:hAnsi="仿宋" w:eastAsia="仿宋" w:cs="仿宋"/>
                <w:sz w:val="28"/>
                <w:szCs w:val="28"/>
                <w:highlight w:val="none"/>
                <w:lang w:val="en-US" w:eastAsia="zh-CN"/>
              </w:rPr>
            </w:pPr>
            <w:r>
              <w:rPr>
                <w:rFonts w:ascii="仿宋" w:hAnsi="仿宋" w:eastAsia="仿宋"/>
                <w:bCs/>
                <w:sz w:val="28"/>
                <w:szCs w:val="28"/>
                <w:highlight w:val="none"/>
              </w:rPr>
              <w:t>202</w:t>
            </w:r>
            <w:r>
              <w:rPr>
                <w:rFonts w:hint="eastAsia" w:ascii="仿宋" w:hAnsi="仿宋" w:eastAsia="仿宋"/>
                <w:bCs/>
                <w:sz w:val="28"/>
                <w:szCs w:val="28"/>
                <w:highlight w:val="none"/>
                <w:lang w:val="en-US" w:eastAsia="zh-CN"/>
              </w:rPr>
              <w:t>4</w:t>
            </w:r>
            <w:r>
              <w:rPr>
                <w:rFonts w:hint="eastAsia" w:ascii="仿宋" w:hAnsi="仿宋" w:eastAsia="仿宋"/>
                <w:bCs/>
                <w:sz w:val="28"/>
                <w:szCs w:val="28"/>
                <w:highlight w:val="none"/>
                <w:lang w:eastAsia="zh-CN"/>
              </w:rPr>
              <w:t>年</w:t>
            </w:r>
            <w:r>
              <w:rPr>
                <w:rFonts w:hint="eastAsia" w:ascii="仿宋" w:hAnsi="仿宋" w:eastAsia="仿宋"/>
                <w:bCs/>
                <w:sz w:val="28"/>
                <w:szCs w:val="28"/>
                <w:highlight w:val="none"/>
                <w:lang w:val="en-US" w:eastAsia="zh-CN"/>
              </w:rPr>
              <w:t>11月</w:t>
            </w:r>
          </w:p>
        </w:tc>
        <w:tc>
          <w:tcPr>
            <w:tcW w:w="5534" w:type="dxa"/>
            <w:tcBorders>
              <w:top w:val="single" w:color="auto" w:sz="6" w:space="0"/>
              <w:bottom w:val="single" w:color="auto" w:sz="6" w:space="0"/>
            </w:tcBorders>
            <w:vAlign w:val="center"/>
          </w:tcPr>
          <w:p>
            <w:pPr>
              <w:jc w:val="center"/>
              <w:rPr>
                <w:rFonts w:hint="eastAsia" w:ascii="仿宋" w:hAnsi="仿宋" w:eastAsia="仿宋" w:cs="仿宋"/>
                <w:sz w:val="28"/>
                <w:szCs w:val="28"/>
                <w:highlight w:val="none"/>
              </w:rPr>
            </w:pPr>
            <w:r>
              <w:rPr>
                <w:rFonts w:hint="eastAsia" w:ascii="仿宋" w:hAnsi="仿宋" w:eastAsia="仿宋"/>
                <w:bCs/>
                <w:sz w:val="28"/>
                <w:szCs w:val="28"/>
                <w:highlight w:val="none"/>
              </w:rPr>
              <w:t>首次发布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919" w:type="dxa"/>
            <w:tcBorders>
              <w:top w:val="single" w:color="auto" w:sz="6" w:space="0"/>
              <w:bottom w:val="single" w:color="auto" w:sz="6" w:space="0"/>
            </w:tcBorders>
            <w:vAlign w:val="center"/>
          </w:tcPr>
          <w:p>
            <w:pPr>
              <w:jc w:val="center"/>
              <w:rPr>
                <w:rFonts w:hint="default" w:ascii="仿宋" w:hAnsi="仿宋" w:eastAsia="仿宋"/>
                <w:bCs/>
                <w:sz w:val="28"/>
                <w:szCs w:val="28"/>
                <w:highlight w:val="none"/>
                <w:lang w:val="en-US" w:eastAsia="zh-CN"/>
              </w:rPr>
            </w:pPr>
            <w:bookmarkStart w:id="0" w:name="_Toc66721132"/>
            <w:bookmarkStart w:id="1" w:name="_Toc62725166"/>
            <w:bookmarkStart w:id="2" w:name="_Toc74738933"/>
            <w:r>
              <w:rPr>
                <w:rFonts w:hint="eastAsia" w:ascii="仿宋" w:hAnsi="仿宋" w:eastAsia="仿宋"/>
                <w:bCs/>
                <w:sz w:val="28"/>
                <w:szCs w:val="28"/>
                <w:highlight w:val="none"/>
                <w:lang w:val="en-US" w:eastAsia="zh-CN"/>
              </w:rPr>
              <w:t>2025年12月</w:t>
            </w:r>
          </w:p>
        </w:tc>
        <w:tc>
          <w:tcPr>
            <w:tcW w:w="5534" w:type="dxa"/>
            <w:tcBorders>
              <w:top w:val="single" w:color="auto" w:sz="6" w:space="0"/>
              <w:bottom w:val="single" w:color="auto" w:sz="6" w:space="0"/>
            </w:tcBorders>
            <w:vAlign w:val="center"/>
          </w:tcPr>
          <w:p>
            <w:pPr>
              <w:adjustRightInd w:val="0"/>
              <w:snapToGrid w:val="0"/>
              <w:jc w:val="center"/>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根据《深圳证券交易所公开募集不动产投资信托基金业务办法（试行）》相应更新</w:t>
            </w:r>
          </w:p>
        </w:tc>
      </w:tr>
    </w:tbl>
    <w:p>
      <w:pPr>
        <w:pStyle w:val="12"/>
        <w:tabs>
          <w:tab w:val="left" w:pos="1050"/>
        </w:tabs>
        <w:jc w:val="center"/>
        <w:rPr>
          <w:rFonts w:hint="eastAsia" w:ascii="黑体" w:hAnsi="黑体" w:eastAsia="黑体"/>
          <w:sz w:val="40"/>
          <w:szCs w:val="40"/>
          <w:highlight w:val="none"/>
        </w:rPr>
        <w:sectPr>
          <w:footerReference r:id="rId4" w:type="default"/>
          <w:footerReference r:id="rId5" w:type="even"/>
          <w:pgSz w:w="11906" w:h="16838"/>
          <w:pgMar w:top="1440" w:right="1800" w:bottom="1440" w:left="1800" w:header="851" w:footer="992" w:gutter="0"/>
          <w:pgNumType w:fmt="decimal" w:start="1"/>
          <w:cols w:space="425" w:num="1"/>
          <w:docGrid w:type="lines" w:linePitch="312" w:charSpace="0"/>
        </w:sectPr>
      </w:pPr>
    </w:p>
    <w:p>
      <w:pPr>
        <w:pStyle w:val="12"/>
        <w:tabs>
          <w:tab w:val="left" w:pos="1050"/>
        </w:tabs>
        <w:jc w:val="center"/>
        <w:rPr>
          <w:rFonts w:ascii="黑体" w:hAnsi="黑体" w:eastAsia="黑体"/>
          <w:sz w:val="40"/>
          <w:szCs w:val="40"/>
          <w:highlight w:val="none"/>
        </w:rPr>
      </w:pPr>
      <w:r>
        <w:rPr>
          <w:rFonts w:hint="eastAsia" w:ascii="黑体" w:hAnsi="黑体" w:eastAsia="黑体"/>
          <w:sz w:val="40"/>
          <w:szCs w:val="40"/>
          <w:highlight w:val="none"/>
        </w:rPr>
        <w:t>目录</w:t>
      </w:r>
      <w:bookmarkEnd w:id="0"/>
      <w:bookmarkEnd w:id="1"/>
      <w:bookmarkEnd w:id="2"/>
    </w:p>
    <w:p>
      <w:pPr>
        <w:pStyle w:val="12"/>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TOC \o "1-3" \h \z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_Toc4997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第一章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发售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_Toc4997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_Toc9845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一、发售前的工作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_Toc9845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_Toc6205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（一）披露拟购入</w:t>
      </w:r>
      <w:r>
        <w:rPr>
          <w:rFonts w:hint="eastAsia" w:ascii="仿宋" w:hAnsi="仿宋" w:eastAsia="仿宋" w:cs="仿宋"/>
          <w:sz w:val="24"/>
          <w:szCs w:val="24"/>
          <w:highlight w:val="none"/>
          <w:lang w:eastAsia="zh-CN"/>
        </w:rPr>
        <w:t>不动产项目</w:t>
      </w:r>
      <w:r>
        <w:rPr>
          <w:rFonts w:hint="eastAsia" w:ascii="仿宋" w:hAnsi="仿宋" w:eastAsia="仿宋" w:cs="仿宋"/>
          <w:sz w:val="24"/>
          <w:szCs w:val="24"/>
          <w:highlight w:val="none"/>
        </w:rPr>
        <w:t>临时公告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_Toc6205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_Toc28366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（二）履行变更注册程序期间的信息披露</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_Toc28366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_Toc9293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（三）召开基金份额持有人</w:t>
      </w:r>
      <w:r>
        <w:rPr>
          <w:rFonts w:hint="eastAsia" w:ascii="仿宋" w:hAnsi="仿宋" w:eastAsia="仿宋" w:cs="仿宋"/>
          <w:sz w:val="24"/>
          <w:szCs w:val="24"/>
          <w:highlight w:val="none"/>
          <w:lang w:val="en-US" w:eastAsia="zh-CN"/>
        </w:rPr>
        <w:t>大会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_Toc9293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_Toc24943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扩募期间暂停分红业务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_Toc24943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_Toc13725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二、发售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_Toc13725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_Toc26883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（一）扩募发售报备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_Toc26883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_Toc1774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（二）启动发售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_Toc1774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_Toc27913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（三）发售及认购</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_Toc27913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_Toc662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（四）扩募份额备案确认信息披露</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_Toc662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_Toc5123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（五）披露发行情况报告书及战略投资者核查文件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_Toc5123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_Toc11377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三、发售后的工作</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_Toc11377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_Toc29754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一</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REITs信息</w:t>
      </w:r>
      <w:r>
        <w:rPr>
          <w:rFonts w:hint="eastAsia" w:ascii="仿宋" w:hAnsi="仿宋" w:eastAsia="仿宋" w:cs="仿宋"/>
          <w:sz w:val="24"/>
          <w:szCs w:val="24"/>
          <w:highlight w:val="none"/>
        </w:rPr>
        <w:t>报送</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_Toc29754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_Toc17426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）披露交易实施情况报告书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_Toc17426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_Toc3997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）其他事项信息披露</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_Toc3997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_Toc10675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）报送发售总结报告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_Toc10675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2"/>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_Toc7034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第二章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登记、限售及锁定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_Toc7034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_Toc9083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同时包括</w:t>
      </w:r>
      <w:r>
        <w:rPr>
          <w:rFonts w:hint="eastAsia" w:ascii="仿宋" w:hAnsi="仿宋" w:eastAsia="仿宋" w:cs="仿宋"/>
          <w:sz w:val="24"/>
          <w:szCs w:val="24"/>
          <w:highlight w:val="none"/>
        </w:rPr>
        <w:t>场外</w:t>
      </w:r>
      <w:r>
        <w:rPr>
          <w:rFonts w:hint="eastAsia" w:ascii="仿宋" w:hAnsi="仿宋" w:eastAsia="仿宋" w:cs="仿宋"/>
          <w:sz w:val="24"/>
          <w:szCs w:val="24"/>
          <w:highlight w:val="none"/>
          <w:lang w:eastAsia="zh-CN"/>
        </w:rPr>
        <w:t>和场内</w:t>
      </w:r>
      <w:r>
        <w:rPr>
          <w:rFonts w:hint="eastAsia" w:ascii="仿宋" w:hAnsi="仿宋" w:eastAsia="仿宋" w:cs="仿宋"/>
          <w:sz w:val="24"/>
          <w:szCs w:val="24"/>
          <w:highlight w:val="none"/>
        </w:rPr>
        <w:t>扩募份额情形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_Toc9083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_Toc23335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总体时间流程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_Toc23335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_Toc19980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1．</w:t>
      </w:r>
      <w:r>
        <w:rPr>
          <w:rFonts w:hint="eastAsia" w:ascii="仿宋" w:hAnsi="仿宋" w:eastAsia="仿宋" w:cs="仿宋"/>
          <w:sz w:val="24"/>
          <w:szCs w:val="24"/>
          <w:highlight w:val="none"/>
        </w:rPr>
        <w:t>场</w:t>
      </w:r>
      <w:r>
        <w:rPr>
          <w:rFonts w:hint="eastAsia" w:ascii="仿宋" w:hAnsi="仿宋" w:eastAsia="仿宋" w:cs="仿宋"/>
          <w:sz w:val="24"/>
          <w:szCs w:val="24"/>
          <w:highlight w:val="none"/>
          <w:lang w:eastAsia="zh-CN"/>
        </w:rPr>
        <w:t>外</w:t>
      </w:r>
      <w:r>
        <w:rPr>
          <w:rFonts w:hint="eastAsia" w:ascii="仿宋" w:hAnsi="仿宋" w:eastAsia="仿宋" w:cs="仿宋"/>
          <w:sz w:val="24"/>
          <w:szCs w:val="24"/>
          <w:highlight w:val="none"/>
        </w:rPr>
        <w:t>份额登记及</w:t>
      </w:r>
      <w:r>
        <w:rPr>
          <w:rFonts w:hint="eastAsia" w:ascii="仿宋" w:hAnsi="仿宋" w:eastAsia="仿宋" w:cs="仿宋"/>
          <w:sz w:val="24"/>
          <w:szCs w:val="24"/>
          <w:highlight w:val="none"/>
          <w:lang w:eastAsia="zh-CN"/>
        </w:rPr>
        <w:t>锁定时间流程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_Toc19980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_Toc19669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2</w:t>
      </w:r>
      <w:r>
        <w:rPr>
          <w:rFonts w:hint="eastAsia" w:ascii="仿宋" w:hAnsi="仿宋" w:eastAsia="仿宋" w:cs="仿宋"/>
          <w:bCs w:val="0"/>
          <w:sz w:val="24"/>
          <w:szCs w:val="24"/>
          <w:highlight w:val="none"/>
        </w:rPr>
        <w:t>．</w:t>
      </w:r>
      <w:r>
        <w:rPr>
          <w:rFonts w:hint="eastAsia" w:ascii="仿宋" w:hAnsi="仿宋" w:eastAsia="仿宋" w:cs="仿宋"/>
          <w:sz w:val="24"/>
          <w:szCs w:val="24"/>
          <w:highlight w:val="none"/>
        </w:rPr>
        <w:t>场</w:t>
      </w:r>
      <w:r>
        <w:rPr>
          <w:rFonts w:hint="eastAsia" w:ascii="仿宋" w:hAnsi="仿宋" w:eastAsia="仿宋" w:cs="仿宋"/>
          <w:sz w:val="24"/>
          <w:szCs w:val="24"/>
          <w:highlight w:val="none"/>
          <w:lang w:eastAsia="zh-CN"/>
        </w:rPr>
        <w:t>内</w:t>
      </w:r>
      <w:r>
        <w:rPr>
          <w:rFonts w:hint="eastAsia" w:ascii="仿宋" w:hAnsi="仿宋" w:eastAsia="仿宋" w:cs="仿宋"/>
          <w:sz w:val="24"/>
          <w:szCs w:val="24"/>
          <w:highlight w:val="none"/>
        </w:rPr>
        <w:t>份额登记及限售</w:t>
      </w:r>
      <w:r>
        <w:rPr>
          <w:rFonts w:hint="eastAsia" w:ascii="仿宋" w:hAnsi="仿宋" w:eastAsia="仿宋" w:cs="仿宋"/>
          <w:sz w:val="24"/>
          <w:szCs w:val="24"/>
          <w:highlight w:val="none"/>
          <w:lang w:eastAsia="zh-CN"/>
        </w:rPr>
        <w:t>时间流程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_Toc19669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_Toc6782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具体步骤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_Toc6782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_Toc8743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1．</w:t>
      </w:r>
      <w:r>
        <w:rPr>
          <w:rFonts w:hint="eastAsia" w:ascii="仿宋" w:hAnsi="仿宋" w:eastAsia="仿宋" w:cs="仿宋"/>
          <w:sz w:val="24"/>
          <w:szCs w:val="24"/>
          <w:highlight w:val="none"/>
        </w:rPr>
        <w:t>场内份额登记及限售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_Toc8743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_Toc3375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2</w:t>
      </w:r>
      <w:r>
        <w:rPr>
          <w:rFonts w:hint="eastAsia" w:ascii="仿宋" w:hAnsi="仿宋" w:eastAsia="仿宋" w:cs="仿宋"/>
          <w:bCs w:val="0"/>
          <w:sz w:val="24"/>
          <w:szCs w:val="24"/>
          <w:highlight w:val="none"/>
        </w:rPr>
        <w:t>．提交限售锁定申请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_Toc3375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_Toc2622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3</w:t>
      </w:r>
      <w:r>
        <w:rPr>
          <w:rFonts w:hint="eastAsia" w:ascii="仿宋" w:hAnsi="仿宋" w:eastAsia="仿宋" w:cs="仿宋"/>
          <w:bCs w:val="0"/>
          <w:sz w:val="24"/>
          <w:szCs w:val="24"/>
          <w:highlight w:val="none"/>
        </w:rPr>
        <w:t>．提交暂停恢复基金通平台转让、转入转出申请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_Toc2622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_Toc19471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4</w:t>
      </w:r>
      <w:r>
        <w:rPr>
          <w:rFonts w:hint="eastAsia" w:ascii="仿宋" w:hAnsi="仿宋" w:eastAsia="仿宋" w:cs="仿宋"/>
          <w:bCs w:val="0"/>
          <w:sz w:val="24"/>
          <w:szCs w:val="24"/>
          <w:highlight w:val="none"/>
        </w:rPr>
        <w:t>．暂停转托管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_Toc19471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_Toc16723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5</w:t>
      </w:r>
      <w:r>
        <w:rPr>
          <w:rFonts w:hint="eastAsia" w:ascii="仿宋" w:hAnsi="仿宋" w:eastAsia="仿宋" w:cs="仿宋"/>
          <w:bCs w:val="0"/>
          <w:sz w:val="24"/>
          <w:szCs w:val="24"/>
          <w:highlight w:val="none"/>
        </w:rPr>
        <w:t>．场外份额强增及锁定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_Toc16723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_Toc16465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二、仅有场内扩募份额情形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_Toc16465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_Toc14885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w:t>
      </w:r>
      <w:r>
        <w:rPr>
          <w:rFonts w:hint="eastAsia" w:ascii="仿宋" w:hAnsi="仿宋" w:eastAsia="仿宋" w:cs="仿宋"/>
          <w:sz w:val="24"/>
          <w:szCs w:val="24"/>
          <w:highlight w:val="none"/>
          <w:lang w:eastAsia="zh-CN"/>
        </w:rPr>
        <w:t>总体时间流程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_Toc14885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_Toc28333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具体步骤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_Toc28333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_Toc6076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1</w:t>
      </w:r>
      <w:r>
        <w:rPr>
          <w:rFonts w:hint="eastAsia" w:ascii="仿宋" w:hAnsi="仿宋" w:eastAsia="仿宋" w:cs="仿宋"/>
          <w:bCs w:val="0"/>
          <w:sz w:val="24"/>
          <w:szCs w:val="24"/>
          <w:highlight w:val="none"/>
        </w:rPr>
        <w:t>．</w:t>
      </w:r>
      <w:r>
        <w:rPr>
          <w:rFonts w:hint="eastAsia" w:ascii="仿宋" w:hAnsi="仿宋" w:eastAsia="仿宋" w:cs="仿宋"/>
          <w:sz w:val="24"/>
          <w:szCs w:val="24"/>
          <w:highlight w:val="none"/>
        </w:rPr>
        <w:t>场内份额登记及限售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_Toc6076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7"/>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_Toc654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lang w:val="en-US" w:eastAsia="zh-CN"/>
        </w:rPr>
        <w:t>2</w:t>
      </w:r>
      <w:r>
        <w:rPr>
          <w:rFonts w:hint="eastAsia" w:ascii="仿宋" w:hAnsi="仿宋" w:eastAsia="仿宋" w:cs="仿宋"/>
          <w:bCs w:val="0"/>
          <w:sz w:val="24"/>
          <w:szCs w:val="24"/>
          <w:highlight w:val="none"/>
        </w:rPr>
        <w:t>．提交限售申请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_Toc654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2"/>
        <w:tabs>
          <w:tab w:val="right" w:leader="dot" w:pos="8306"/>
          <w:tab w:val="clear" w:pos="829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_Toc8780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eastAsia="zh-CN"/>
        </w:rPr>
        <w:t>第三章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上市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_Toc8780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_Toc11239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一、一致行动人信息填报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_Toc11239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_Toc30790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二、提交扩募份额上市申请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_Toc30790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_Toc11400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三、披露上市交易公告书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_Toc11400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_Toc1238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四、披露上市交易提示性公告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_Toc1238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_Toc6431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附件1</w:t>
      </w:r>
      <w:r>
        <w:rPr>
          <w:rFonts w:hint="eastAsia" w:ascii="仿宋" w:hAnsi="仿宋" w:eastAsia="仿宋" w:cs="仿宋"/>
          <w:bCs w:val="0"/>
          <w:sz w:val="24"/>
          <w:szCs w:val="24"/>
          <w:highlight w:val="none"/>
          <w:lang w:eastAsia="zh-CN"/>
        </w:rPr>
        <w:t>：定向扩募信息披露公告类别</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_Toc6431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_Toc20315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附件</w:t>
      </w:r>
      <w:r>
        <w:rPr>
          <w:rFonts w:hint="eastAsia" w:ascii="仿宋" w:hAnsi="仿宋" w:eastAsia="仿宋" w:cs="仿宋"/>
          <w:bCs w:val="0"/>
          <w:sz w:val="24"/>
          <w:szCs w:val="24"/>
          <w:highlight w:val="none"/>
          <w:lang w:val="en-US" w:eastAsia="zh-CN"/>
        </w:rPr>
        <w:t>2：产品变更草案必备要素</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_Toc20315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_Toc13137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附件</w:t>
      </w:r>
      <w:r>
        <w:rPr>
          <w:rFonts w:hint="eastAsia" w:ascii="仿宋" w:hAnsi="仿宋" w:eastAsia="仿宋" w:cs="仿宋"/>
          <w:bCs w:val="0"/>
          <w:sz w:val="24"/>
          <w:szCs w:val="24"/>
          <w:highlight w:val="none"/>
          <w:lang w:val="en-US" w:eastAsia="zh-CN"/>
        </w:rPr>
        <w:t>3：扩募方案必备要素</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_Toc13137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_Toc5025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附件</w:t>
      </w:r>
      <w:r>
        <w:rPr>
          <w:rFonts w:hint="eastAsia" w:ascii="仿宋" w:hAnsi="仿宋" w:eastAsia="仿宋" w:cs="仿宋"/>
          <w:bCs w:val="0"/>
          <w:sz w:val="24"/>
          <w:szCs w:val="24"/>
          <w:highlight w:val="none"/>
          <w:lang w:val="en-US" w:eastAsia="zh-CN"/>
        </w:rPr>
        <w:t>4：REITs定向扩募基本情况表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_Toc5025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_Toc11662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附件</w:t>
      </w:r>
      <w:r>
        <w:rPr>
          <w:rFonts w:hint="eastAsia" w:ascii="仿宋" w:hAnsi="仿宋" w:eastAsia="仿宋" w:cs="仿宋"/>
          <w:bCs w:val="0"/>
          <w:sz w:val="24"/>
          <w:szCs w:val="24"/>
          <w:highlight w:val="none"/>
          <w:lang w:val="en-US" w:eastAsia="zh-CN"/>
        </w:rPr>
        <w:t>5：基金合同更新公告必备要素</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_Toc11662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_Toc20704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附件</w:t>
      </w:r>
      <w:r>
        <w:rPr>
          <w:rFonts w:hint="eastAsia" w:ascii="仿宋" w:hAnsi="仿宋" w:eastAsia="仿宋" w:cs="仿宋"/>
          <w:bCs w:val="0"/>
          <w:sz w:val="24"/>
          <w:szCs w:val="24"/>
          <w:highlight w:val="none"/>
          <w:lang w:val="en-US" w:eastAsia="zh-CN"/>
        </w:rPr>
        <w:t>6：</w:t>
      </w:r>
      <w:r>
        <w:rPr>
          <w:rFonts w:hint="eastAsia" w:ascii="仿宋" w:hAnsi="仿宋" w:eastAsia="仿宋" w:cs="仿宋"/>
          <w:sz w:val="24"/>
          <w:szCs w:val="24"/>
          <w:highlight w:val="none"/>
          <w:lang w:eastAsia="zh-CN"/>
        </w:rPr>
        <w:t>不动产基金</w:t>
      </w:r>
      <w:r>
        <w:rPr>
          <w:rFonts w:hint="eastAsia" w:ascii="仿宋" w:hAnsi="仿宋" w:eastAsia="仿宋" w:cs="仿宋"/>
          <w:sz w:val="24"/>
          <w:szCs w:val="24"/>
          <w:highlight w:val="none"/>
        </w:rPr>
        <w:t>限售份额《证券登记申报明细清单》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_Toc20704 \h </w:instrText>
      </w:r>
      <w:r>
        <w:rPr>
          <w:rFonts w:hint="eastAsia" w:ascii="仿宋" w:hAnsi="仿宋" w:eastAsia="仿宋" w:cs="仿宋"/>
          <w:sz w:val="24"/>
          <w:szCs w:val="24"/>
        </w:rPr>
        <w:fldChar w:fldCharType="separate"/>
      </w:r>
      <w:r>
        <w:rPr>
          <w:rFonts w:hint="eastAsia" w:ascii="仿宋" w:hAnsi="仿宋" w:eastAsia="仿宋" w:cs="仿宋"/>
          <w:sz w:val="24"/>
          <w:szCs w:val="24"/>
        </w:rPr>
        <w:t>24</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_Toc28299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附件</w:t>
      </w:r>
      <w:r>
        <w:rPr>
          <w:rFonts w:hint="eastAsia" w:ascii="仿宋" w:hAnsi="仿宋" w:eastAsia="仿宋" w:cs="仿宋"/>
          <w:bCs w:val="0"/>
          <w:sz w:val="24"/>
          <w:szCs w:val="24"/>
          <w:highlight w:val="none"/>
          <w:lang w:val="en-US" w:eastAsia="zh-CN"/>
        </w:rPr>
        <w:t>7：</w:t>
      </w:r>
      <w:r>
        <w:rPr>
          <w:rFonts w:hint="eastAsia" w:ascii="仿宋" w:hAnsi="仿宋" w:eastAsia="仿宋" w:cs="仿宋"/>
          <w:sz w:val="24"/>
          <w:szCs w:val="24"/>
          <w:highlight w:val="none"/>
        </w:rPr>
        <w:t>限售公告必备要素</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_Toc28299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_Toc11733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附件</w:t>
      </w:r>
      <w:r>
        <w:rPr>
          <w:rFonts w:hint="eastAsia" w:ascii="仿宋" w:hAnsi="仿宋" w:eastAsia="仿宋" w:cs="仿宋"/>
          <w:bCs w:val="0"/>
          <w:sz w:val="24"/>
          <w:szCs w:val="24"/>
          <w:highlight w:val="none"/>
          <w:lang w:val="en-US" w:eastAsia="zh-CN"/>
        </w:rPr>
        <w:t>8：</w:t>
      </w:r>
      <w:r>
        <w:rPr>
          <w:rFonts w:hint="eastAsia" w:ascii="仿宋" w:hAnsi="仿宋" w:eastAsia="仿宋" w:cs="仿宋"/>
          <w:sz w:val="24"/>
          <w:szCs w:val="24"/>
          <w:highlight w:val="none"/>
          <w:lang w:eastAsia="zh-CN"/>
        </w:rPr>
        <w:t>不动产基金</w:t>
      </w:r>
      <w:r>
        <w:rPr>
          <w:rFonts w:hint="eastAsia" w:ascii="仿宋" w:hAnsi="仿宋" w:eastAsia="仿宋" w:cs="仿宋"/>
          <w:sz w:val="24"/>
          <w:szCs w:val="24"/>
          <w:highlight w:val="none"/>
        </w:rPr>
        <w:t>新增场内份额限售申请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_Toc11733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_Toc22920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附件</w:t>
      </w:r>
      <w:r>
        <w:rPr>
          <w:rFonts w:hint="eastAsia" w:ascii="仿宋" w:hAnsi="仿宋" w:eastAsia="仿宋" w:cs="仿宋"/>
          <w:bCs w:val="0"/>
          <w:sz w:val="24"/>
          <w:szCs w:val="24"/>
          <w:highlight w:val="none"/>
          <w:lang w:val="en-US" w:eastAsia="zh-CN"/>
        </w:rPr>
        <w:t>9：</w:t>
      </w:r>
      <w:r>
        <w:rPr>
          <w:rFonts w:hint="eastAsia" w:ascii="仿宋" w:hAnsi="仿宋" w:eastAsia="仿宋" w:cs="仿宋"/>
          <w:sz w:val="24"/>
          <w:szCs w:val="24"/>
          <w:highlight w:val="none"/>
          <w:lang w:eastAsia="zh-CN"/>
        </w:rPr>
        <w:t>不动产基金</w:t>
      </w:r>
      <w:r>
        <w:rPr>
          <w:rFonts w:hint="eastAsia" w:ascii="仿宋" w:hAnsi="仿宋" w:eastAsia="仿宋" w:cs="仿宋"/>
          <w:sz w:val="24"/>
          <w:szCs w:val="24"/>
          <w:highlight w:val="none"/>
        </w:rPr>
        <w:t>新增场外份额锁定申请表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_Toc22920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_Toc17000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附件</w:t>
      </w:r>
      <w:r>
        <w:rPr>
          <w:rFonts w:hint="eastAsia" w:ascii="仿宋" w:hAnsi="仿宋" w:eastAsia="仿宋" w:cs="仿宋"/>
          <w:bCs w:val="0"/>
          <w:sz w:val="24"/>
          <w:szCs w:val="24"/>
          <w:highlight w:val="none"/>
          <w:lang w:val="en-US" w:eastAsia="zh-CN"/>
        </w:rPr>
        <w:t>10：</w:t>
      </w:r>
      <w:r>
        <w:rPr>
          <w:rFonts w:hint="eastAsia" w:ascii="仿宋" w:hAnsi="仿宋" w:eastAsia="仿宋" w:cs="仿宋"/>
          <w:sz w:val="24"/>
          <w:szCs w:val="24"/>
          <w:highlight w:val="none"/>
        </w:rPr>
        <w:t>扩募份额上市申请书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_Toc17000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13"/>
        <w:tabs>
          <w:tab w:val="right" w:leader="dot" w:pos="8306"/>
        </w:tabs>
        <w:rPr>
          <w:rFonts w:hint="eastAsia" w:ascii="仿宋" w:hAnsi="仿宋" w:eastAsia="仿宋" w:cs="仿宋"/>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_Toc2509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附件</w:t>
      </w:r>
      <w:r>
        <w:rPr>
          <w:rFonts w:hint="eastAsia" w:ascii="仿宋" w:hAnsi="仿宋" w:eastAsia="仿宋" w:cs="仿宋"/>
          <w:bCs w:val="0"/>
          <w:sz w:val="24"/>
          <w:szCs w:val="24"/>
          <w:highlight w:val="none"/>
          <w:lang w:val="en-US" w:eastAsia="zh-CN"/>
        </w:rPr>
        <w:t>11：</w:t>
      </w:r>
      <w:r>
        <w:rPr>
          <w:rFonts w:hint="eastAsia" w:ascii="仿宋" w:hAnsi="仿宋" w:eastAsia="仿宋" w:cs="仿宋"/>
          <w:sz w:val="24"/>
          <w:szCs w:val="24"/>
          <w:highlight w:val="none"/>
        </w:rPr>
        <w:t>上市交易公告书必备要素</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_Toc2509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sz w:val="24"/>
          <w:szCs w:val="24"/>
          <w:highlight w:val="none"/>
        </w:rPr>
        <w:fldChar w:fldCharType="end"/>
      </w:r>
    </w:p>
    <w:p>
      <w:pPr>
        <w:pStyle w:val="6"/>
        <w:rPr>
          <w:rFonts w:ascii="Times New Roman" w:hAnsi="Times New Roman" w:eastAsia="方正仿宋简体" w:cs="Times New Roman"/>
          <w:sz w:val="32"/>
          <w:szCs w:val="32"/>
          <w:highlight w:val="none"/>
        </w:rPr>
      </w:pPr>
      <w:r>
        <w:rPr>
          <w:rFonts w:hint="eastAsia" w:ascii="仿宋" w:hAnsi="仿宋" w:eastAsia="仿宋" w:cs="仿宋"/>
          <w:sz w:val="24"/>
          <w:szCs w:val="24"/>
          <w:highlight w:val="none"/>
        </w:rPr>
        <w:fldChar w:fldCharType="end"/>
      </w:r>
    </w:p>
    <w:p>
      <w:pPr>
        <w:widowControl/>
        <w:spacing w:before="0" w:beforeLines="-2147483648" w:after="0" w:afterLines="-2147483648" w:line="240" w:lineRule="auto"/>
        <w:jc w:val="center"/>
        <w:rPr>
          <w:rFonts w:ascii="Times New Roman" w:hAnsi="Times New Roman" w:eastAsia="仿宋"/>
          <w:sz w:val="32"/>
          <w:szCs w:val="32"/>
          <w:highlight w:val="none"/>
        </w:rPr>
        <w:sectPr>
          <w:footerReference r:id="rId6" w:type="default"/>
          <w:footerReference r:id="rId7" w:type="even"/>
          <w:pgSz w:w="11906" w:h="16838"/>
          <w:pgMar w:top="1440" w:right="1800" w:bottom="1440" w:left="1800" w:header="851" w:footer="992" w:gutter="0"/>
          <w:pgNumType w:fmt="decimal"/>
          <w:cols w:space="425" w:num="1"/>
          <w:docGrid w:type="lines" w:linePitch="312" w:charSpace="0"/>
        </w:sectPr>
      </w:pPr>
    </w:p>
    <w:p>
      <w:pPr>
        <w:widowControl/>
        <w:spacing w:before="0" w:beforeLines="-2147483648" w:after="0" w:afterLines="-2147483648" w:line="240" w:lineRule="auto"/>
        <w:jc w:val="center"/>
        <w:rPr>
          <w:rFonts w:ascii="方正小标宋简体" w:hAnsi="Times New Roman" w:eastAsia="方正小标宋简体"/>
          <w:sz w:val="44"/>
          <w:szCs w:val="44"/>
          <w:highlight w:val="none"/>
        </w:rPr>
      </w:pPr>
      <w:r>
        <w:rPr>
          <w:rFonts w:hint="eastAsia" w:ascii="方正小标宋简体" w:hAnsi="Times New Roman" w:eastAsia="方正小标宋简体"/>
          <w:sz w:val="44"/>
          <w:szCs w:val="44"/>
          <w:highlight w:val="none"/>
        </w:rPr>
        <w:t>重要提示</w:t>
      </w:r>
    </w:p>
    <w:p>
      <w:pPr>
        <w:widowControl/>
        <w:spacing w:before="156" w:beforeLines="50" w:after="156" w:afterLines="50" w:line="560" w:lineRule="exact"/>
        <w:rPr>
          <w:rFonts w:ascii="方正小标宋简体" w:hAnsi="Times New Roman" w:eastAsia="方正小标宋简体"/>
          <w:sz w:val="44"/>
          <w:szCs w:val="44"/>
          <w:highlight w:val="none"/>
        </w:rPr>
      </w:pPr>
    </w:p>
    <w:p>
      <w:pPr>
        <w:pStyle w:val="6"/>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一、本指南仅为办理</w:t>
      </w:r>
      <w:r>
        <w:rPr>
          <w:rFonts w:hint="eastAsia" w:ascii="仿宋" w:hAnsi="仿宋" w:eastAsia="仿宋"/>
          <w:sz w:val="32"/>
          <w:szCs w:val="32"/>
          <w:highlight w:val="none"/>
          <w:lang w:eastAsia="zh-CN"/>
        </w:rPr>
        <w:t>不动产投资信托基金</w:t>
      </w:r>
      <w:r>
        <w:rPr>
          <w:rFonts w:hint="eastAsia" w:ascii="仿宋" w:hAnsi="仿宋" w:eastAsia="仿宋"/>
          <w:sz w:val="32"/>
          <w:szCs w:val="32"/>
          <w:highlight w:val="none"/>
        </w:rPr>
        <w:t>（以下简称</w:t>
      </w:r>
      <w:r>
        <w:rPr>
          <w:rFonts w:hint="eastAsia" w:ascii="仿宋" w:hAnsi="仿宋" w:eastAsia="仿宋"/>
          <w:sz w:val="32"/>
          <w:szCs w:val="32"/>
          <w:highlight w:val="none"/>
          <w:lang w:val="en-US" w:eastAsia="zh-CN"/>
        </w:rPr>
        <w:t>REITs或</w:t>
      </w:r>
      <w:r>
        <w:rPr>
          <w:rFonts w:hint="eastAsia" w:ascii="仿宋" w:hAnsi="仿宋" w:eastAsia="仿宋"/>
          <w:sz w:val="32"/>
          <w:szCs w:val="32"/>
          <w:highlight w:val="none"/>
          <w:lang w:eastAsia="zh-CN"/>
        </w:rPr>
        <w:t>不动产基金</w:t>
      </w:r>
      <w:r>
        <w:rPr>
          <w:rFonts w:hint="eastAsia" w:ascii="仿宋" w:hAnsi="仿宋" w:eastAsia="仿宋"/>
          <w:sz w:val="32"/>
          <w:szCs w:val="32"/>
          <w:highlight w:val="none"/>
        </w:rPr>
        <w:t>）定向扩募相关业务之用，并非深圳证券交易所（以下简称本所或深交所）业务规则或对规则的解释。如本指南与国家法律、法规及有关业务规则发生冲突，应当以法律、法规及有关业务规则为准。本指南未尽事宜，参照本所上市基金相关业务指南的规定办理。</w:t>
      </w:r>
    </w:p>
    <w:p>
      <w:pPr>
        <w:pStyle w:val="6"/>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二、基金管理人应确保向本所提交的业务申请和</w:t>
      </w:r>
      <w:r>
        <w:rPr>
          <w:rFonts w:hint="eastAsia" w:ascii="仿宋" w:hAnsi="仿宋" w:eastAsia="仿宋"/>
          <w:sz w:val="32"/>
          <w:szCs w:val="32"/>
          <w:highlight w:val="none"/>
          <w:lang w:eastAsia="zh-CN"/>
        </w:rPr>
        <w:t>不动产基金</w:t>
      </w:r>
      <w:r>
        <w:rPr>
          <w:rFonts w:hint="eastAsia" w:ascii="仿宋" w:hAnsi="仿宋" w:eastAsia="仿宋"/>
          <w:sz w:val="32"/>
          <w:szCs w:val="32"/>
          <w:highlight w:val="none"/>
        </w:rPr>
        <w:t>公告内容一致，提供给指定媒介的</w:t>
      </w:r>
      <w:r>
        <w:rPr>
          <w:rFonts w:hint="eastAsia" w:ascii="仿宋" w:hAnsi="仿宋" w:eastAsia="仿宋"/>
          <w:sz w:val="32"/>
          <w:szCs w:val="32"/>
          <w:highlight w:val="none"/>
          <w:lang w:eastAsia="zh-CN"/>
        </w:rPr>
        <w:t>不动产基金</w:t>
      </w:r>
      <w:r>
        <w:rPr>
          <w:rFonts w:hint="eastAsia" w:ascii="仿宋" w:hAnsi="仿宋" w:eastAsia="仿宋"/>
          <w:sz w:val="32"/>
          <w:szCs w:val="32"/>
          <w:highlight w:val="none"/>
        </w:rPr>
        <w:t>公告内容和提供给本所的一致。基金管理人应当指定专人负责存续期业务办理，指定专人变更的，应当及时与本所联系。</w:t>
      </w:r>
    </w:p>
    <w:p>
      <w:pPr>
        <w:pStyle w:val="6"/>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三、本指南要求基金管理人提供的相关材料在</w:t>
      </w:r>
      <w:r>
        <w:rPr>
          <w:rFonts w:hint="eastAsia" w:ascii="仿宋" w:hAnsi="仿宋" w:eastAsia="仿宋"/>
          <w:sz w:val="32"/>
          <w:szCs w:val="32"/>
          <w:highlight w:val="none"/>
          <w:lang w:eastAsia="zh-CN"/>
        </w:rPr>
        <w:t>本所</w:t>
      </w:r>
      <w:r>
        <w:rPr>
          <w:rFonts w:hint="eastAsia" w:ascii="仿宋" w:hAnsi="仿宋" w:eastAsia="仿宋"/>
          <w:sz w:val="32"/>
          <w:szCs w:val="32"/>
          <w:highlight w:val="none"/>
        </w:rPr>
        <w:t>基金业务专区相应业务表单中有明确列示，部分材料在报送说明中附有模板，基金管理人应当按照</w:t>
      </w:r>
      <w:r>
        <w:rPr>
          <w:rFonts w:hint="eastAsia" w:ascii="仿宋" w:hAnsi="仿宋" w:eastAsia="仿宋"/>
          <w:sz w:val="32"/>
          <w:szCs w:val="32"/>
          <w:highlight w:val="none"/>
          <w:lang w:eastAsia="zh-CN"/>
        </w:rPr>
        <w:t>本所</w:t>
      </w:r>
      <w:r>
        <w:rPr>
          <w:rFonts w:hint="eastAsia" w:ascii="仿宋" w:hAnsi="仿宋" w:eastAsia="仿宋"/>
          <w:sz w:val="32"/>
          <w:szCs w:val="32"/>
          <w:highlight w:val="none"/>
        </w:rPr>
        <w:t>基金业务专区中最新模板（注：红色“</w:t>
      </w:r>
      <w:r>
        <w:rPr>
          <w:rFonts w:ascii="仿宋" w:hAnsi="仿宋" w:eastAsia="仿宋"/>
          <w:sz w:val="32"/>
          <w:szCs w:val="32"/>
          <w:highlight w:val="none"/>
        </w:rPr>
        <w:t>*</w:t>
      </w:r>
      <w:r>
        <w:rPr>
          <w:rFonts w:hint="eastAsia" w:ascii="仿宋" w:hAnsi="仿宋" w:eastAsia="仿宋"/>
          <w:sz w:val="32"/>
          <w:szCs w:val="32"/>
          <w:highlight w:val="none"/>
        </w:rPr>
        <w:t>”标注的为必须提交材料）提交材料。</w:t>
      </w:r>
    </w:p>
    <w:p>
      <w:pPr>
        <w:pStyle w:val="6"/>
        <w:spacing w:line="560" w:lineRule="exact"/>
        <w:ind w:firstLine="640" w:firstLineChars="200"/>
        <w:jc w:val="both"/>
        <w:rPr>
          <w:rFonts w:ascii="仿宋" w:hAnsi="仿宋" w:eastAsia="仿宋"/>
          <w:sz w:val="32"/>
          <w:szCs w:val="32"/>
          <w:highlight w:val="none"/>
        </w:rPr>
      </w:pPr>
      <w:r>
        <w:rPr>
          <w:rFonts w:hint="eastAsia" w:ascii="仿宋" w:hAnsi="仿宋" w:eastAsia="仿宋"/>
          <w:sz w:val="32"/>
          <w:szCs w:val="32"/>
          <w:highlight w:val="none"/>
        </w:rPr>
        <w:t>四、本所将根据业务需要不定期对本指南作出修订，并保留对本指南的最终解释权。</w:t>
      </w:r>
    </w:p>
    <w:p>
      <w:pPr>
        <w:rPr>
          <w:rFonts w:ascii="Times New Roman" w:hAnsi="Times New Roman" w:eastAsia="仿宋"/>
          <w:sz w:val="32"/>
          <w:szCs w:val="32"/>
          <w:highlight w:val="none"/>
        </w:rPr>
      </w:pPr>
    </w:p>
    <w:p>
      <w:pPr>
        <w:pStyle w:val="6"/>
        <w:rPr>
          <w:rFonts w:ascii="Times New Roman" w:hAnsi="Times New Roman" w:eastAsia="仿宋"/>
          <w:sz w:val="32"/>
          <w:szCs w:val="32"/>
          <w:highlight w:val="none"/>
        </w:rPr>
        <w:sectPr>
          <w:footerReference r:id="rId8" w:type="default"/>
          <w:footerReference r:id="rId9" w:type="even"/>
          <w:pgSz w:w="11906" w:h="16838"/>
          <w:pgMar w:top="1440" w:right="1800" w:bottom="1440" w:left="1800" w:header="851" w:footer="992" w:gutter="0"/>
          <w:pgNumType w:fmt="decimal"/>
          <w:cols w:space="425" w:num="1"/>
          <w:docGrid w:type="lines" w:linePitch="312" w:charSpace="0"/>
        </w:sectPr>
      </w:pPr>
    </w:p>
    <w:p>
      <w:pPr>
        <w:pStyle w:val="2"/>
        <w:keepNext w:val="0"/>
        <w:keepLines w:val="0"/>
        <w:numPr>
          <w:ilvl w:val="-1"/>
          <w:numId w:val="0"/>
        </w:numPr>
        <w:adjustRightInd w:val="0"/>
        <w:snapToGrid w:val="0"/>
        <w:spacing w:line="240" w:lineRule="auto"/>
        <w:ind w:left="0" w:firstLine="0"/>
        <w:jc w:val="center"/>
        <w:rPr>
          <w:rFonts w:ascii="黑体" w:hAnsi="黑体" w:eastAsia="黑体"/>
          <w:b w:val="0"/>
          <w:sz w:val="32"/>
          <w:szCs w:val="32"/>
          <w:highlight w:val="none"/>
        </w:rPr>
      </w:pPr>
      <w:bookmarkStart w:id="3" w:name="_Toc146725905"/>
      <w:bookmarkStart w:id="4" w:name="_Toc15887"/>
      <w:bookmarkStart w:id="5" w:name="_Toc6575"/>
      <w:bookmarkStart w:id="6" w:name="_Toc6256"/>
      <w:bookmarkStart w:id="7" w:name="_Toc4997"/>
      <w:bookmarkStart w:id="8" w:name="_Toc32418"/>
      <w:bookmarkStart w:id="9" w:name="_Toc27666"/>
      <w:r>
        <w:rPr>
          <w:rFonts w:hint="eastAsia" w:ascii="黑体" w:hAnsi="黑体" w:eastAsia="黑体"/>
          <w:b w:val="0"/>
          <w:sz w:val="32"/>
          <w:szCs w:val="32"/>
          <w:highlight w:val="none"/>
          <w:lang w:eastAsia="zh-CN"/>
        </w:rPr>
        <w:t>第一章</w:t>
      </w:r>
      <w:r>
        <w:rPr>
          <w:rFonts w:hint="eastAsia" w:ascii="黑体" w:hAnsi="黑体" w:eastAsia="黑体"/>
          <w:b w:val="0"/>
          <w:sz w:val="32"/>
          <w:szCs w:val="32"/>
          <w:highlight w:val="none"/>
          <w:lang w:val="en-US" w:eastAsia="zh-CN"/>
        </w:rPr>
        <w:t xml:space="preserve"> </w:t>
      </w:r>
      <w:r>
        <w:rPr>
          <w:rFonts w:hint="eastAsia" w:ascii="黑体" w:hAnsi="黑体" w:eastAsia="黑体"/>
          <w:b w:val="0"/>
          <w:sz w:val="32"/>
          <w:szCs w:val="32"/>
          <w:highlight w:val="none"/>
        </w:rPr>
        <w:t>发售</w:t>
      </w:r>
      <w:bookmarkEnd w:id="3"/>
      <w:bookmarkEnd w:id="4"/>
      <w:bookmarkEnd w:id="5"/>
      <w:bookmarkEnd w:id="6"/>
      <w:bookmarkEnd w:id="7"/>
      <w:bookmarkEnd w:id="8"/>
      <w:bookmarkEnd w:id="9"/>
    </w:p>
    <w:p>
      <w:pPr>
        <w:pStyle w:val="3"/>
        <w:keepNext w:val="0"/>
        <w:keepLines w:val="0"/>
        <w:spacing w:before="0" w:after="0" w:line="560" w:lineRule="exact"/>
        <w:ind w:firstLine="640" w:firstLineChars="200"/>
        <w:rPr>
          <w:rFonts w:eastAsia="黑体"/>
          <w:b w:val="0"/>
          <w:highlight w:val="none"/>
        </w:rPr>
      </w:pPr>
      <w:bookmarkStart w:id="10" w:name="_Toc3200"/>
      <w:bookmarkStart w:id="11" w:name="_Toc17464"/>
      <w:bookmarkStart w:id="12" w:name="_Toc16424"/>
      <w:bookmarkStart w:id="13" w:name="_Toc26386"/>
      <w:bookmarkStart w:id="14" w:name="_Toc26387"/>
      <w:bookmarkStart w:id="15" w:name="_Toc146725906"/>
      <w:bookmarkStart w:id="16" w:name="_Toc9845"/>
      <w:r>
        <w:rPr>
          <w:rFonts w:hint="eastAsia" w:eastAsia="黑体"/>
          <w:b w:val="0"/>
          <w:highlight w:val="none"/>
        </w:rPr>
        <w:t>一、发售前的工作</w:t>
      </w:r>
      <w:bookmarkEnd w:id="10"/>
      <w:bookmarkEnd w:id="11"/>
      <w:bookmarkEnd w:id="12"/>
      <w:bookmarkEnd w:id="13"/>
      <w:bookmarkEnd w:id="14"/>
      <w:bookmarkEnd w:id="15"/>
      <w:bookmarkEnd w:id="16"/>
    </w:p>
    <w:p>
      <w:pPr>
        <w:pStyle w:val="4"/>
        <w:keepNext w:val="0"/>
        <w:keepLines w:val="0"/>
        <w:spacing w:before="0" w:after="0" w:line="560" w:lineRule="exact"/>
        <w:ind w:firstLine="640" w:firstLineChars="200"/>
        <w:rPr>
          <w:rFonts w:eastAsia="楷体"/>
          <w:b w:val="0"/>
          <w:highlight w:val="none"/>
        </w:rPr>
      </w:pPr>
      <w:bookmarkStart w:id="17" w:name="_Toc11331"/>
      <w:bookmarkStart w:id="18" w:name="_Toc6205"/>
      <w:bookmarkStart w:id="19" w:name="_Toc146725907"/>
      <w:bookmarkStart w:id="20" w:name="_Toc26403"/>
      <w:bookmarkStart w:id="21" w:name="_Toc28837"/>
      <w:bookmarkStart w:id="22" w:name="_Toc15035"/>
      <w:bookmarkStart w:id="23" w:name="_Toc32500"/>
      <w:r>
        <w:rPr>
          <w:rFonts w:hint="eastAsia" w:eastAsia="楷体"/>
          <w:b w:val="0"/>
          <w:highlight w:val="none"/>
        </w:rPr>
        <w:t>（一）披露拟购入</w:t>
      </w:r>
      <w:r>
        <w:rPr>
          <w:rFonts w:hint="eastAsia" w:eastAsia="楷体"/>
          <w:b w:val="0"/>
          <w:highlight w:val="none"/>
          <w:lang w:eastAsia="zh-CN"/>
        </w:rPr>
        <w:t>不动产项目</w:t>
      </w:r>
      <w:r>
        <w:rPr>
          <w:rFonts w:hint="eastAsia" w:eastAsia="楷体"/>
          <w:b w:val="0"/>
          <w:highlight w:val="none"/>
        </w:rPr>
        <w:t>临时公告</w:t>
      </w:r>
      <w:bookmarkEnd w:id="17"/>
      <w:bookmarkEnd w:id="18"/>
      <w:bookmarkEnd w:id="19"/>
      <w:bookmarkEnd w:id="20"/>
      <w:bookmarkEnd w:id="21"/>
      <w:bookmarkEnd w:id="22"/>
      <w:bookmarkEnd w:id="23"/>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基金管理人完成拟购入</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的尽调工作，与交易对方就</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购入进行磋商谈判。在作出拟购入</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决定前，</w:t>
      </w:r>
      <w:r>
        <w:rPr>
          <w:rFonts w:hint="eastAsia" w:ascii="仿宋" w:hAnsi="仿宋" w:eastAsia="仿宋"/>
          <w:sz w:val="32"/>
          <w:szCs w:val="32"/>
          <w:highlight w:val="none"/>
          <w:lang w:eastAsia="zh-CN"/>
        </w:rPr>
        <w:t>基金管理人</w:t>
      </w:r>
      <w:r>
        <w:rPr>
          <w:rFonts w:hint="eastAsia" w:ascii="仿宋" w:hAnsi="仿宋" w:eastAsia="仿宋"/>
          <w:sz w:val="32"/>
          <w:szCs w:val="32"/>
          <w:highlight w:val="none"/>
        </w:rPr>
        <w:t>履行必要内部决策程序，并于作出拟购入</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决定后当日或次日通过本所基金业务专区中的“业务办理—&gt;信息披露—&gt;基金临时报告—&gt;项目购入或出售（REITs）”提交临时信息披露申请，披露材料包括拟购入</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的决定公告</w:t>
      </w:r>
      <w:r>
        <w:rPr>
          <w:rFonts w:hint="eastAsia" w:ascii="仿宋" w:hAnsi="仿宋" w:eastAsia="仿宋"/>
          <w:sz w:val="32"/>
          <w:szCs w:val="32"/>
          <w:highlight w:val="none"/>
          <w:lang w:eastAsia="zh-CN"/>
        </w:rPr>
        <w:t>，并将</w:t>
      </w:r>
      <w:r>
        <w:rPr>
          <w:rFonts w:hint="eastAsia" w:ascii="仿宋" w:hAnsi="仿宋" w:eastAsia="仿宋"/>
          <w:sz w:val="32"/>
          <w:szCs w:val="32"/>
          <w:highlight w:val="none"/>
        </w:rPr>
        <w:t>产品变更草案、扩募方案（如有）</w:t>
      </w:r>
      <w:r>
        <w:rPr>
          <w:rFonts w:hint="eastAsia" w:ascii="仿宋" w:hAnsi="仿宋" w:eastAsia="仿宋"/>
          <w:sz w:val="32"/>
          <w:szCs w:val="32"/>
          <w:highlight w:val="none"/>
          <w:lang w:eastAsia="zh-CN"/>
        </w:rPr>
        <w:t>作为公告的附件一同披露</w:t>
      </w:r>
      <w:r>
        <w:rPr>
          <w:rFonts w:hint="eastAsia" w:ascii="仿宋" w:hAnsi="仿宋" w:eastAsia="仿宋"/>
          <w:sz w:val="32"/>
          <w:szCs w:val="32"/>
          <w:highlight w:val="none"/>
        </w:rPr>
        <w:t>，公告类别详见</w:t>
      </w:r>
      <w:r>
        <w:rPr>
          <w:rFonts w:hint="eastAsia" w:ascii="仿宋" w:hAnsi="仿宋" w:eastAsia="仿宋"/>
          <w:sz w:val="32"/>
          <w:szCs w:val="32"/>
          <w:highlight w:val="none"/>
          <w:lang w:eastAsia="zh-CN"/>
        </w:rPr>
        <w:t>附件1</w:t>
      </w:r>
      <w:r>
        <w:rPr>
          <w:rFonts w:hint="eastAsia" w:ascii="仿宋" w:hAnsi="仿宋" w:eastAsia="仿宋"/>
          <w:sz w:val="32"/>
          <w:szCs w:val="32"/>
          <w:highlight w:val="none"/>
        </w:rPr>
        <w:t>。</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其中，产品变更草案的内容包括交易概况、拟购入</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及交易对方的基本情况、拟购入</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定价方式和定价依据、资金来源、交易主要风险、交易各方声明与承诺，以及本次交易存在的其他重大因素等</w:t>
      </w:r>
      <w:r>
        <w:rPr>
          <w:rFonts w:hint="eastAsia" w:ascii="仿宋" w:hAnsi="仿宋" w:eastAsia="仿宋"/>
          <w:sz w:val="32"/>
          <w:szCs w:val="32"/>
          <w:highlight w:val="none"/>
          <w:lang w:eastAsia="zh-CN"/>
        </w:rPr>
        <w:t>，必备要素详见附件2</w:t>
      </w:r>
      <w:r>
        <w:rPr>
          <w:rFonts w:hint="eastAsia" w:ascii="仿宋" w:hAnsi="仿宋" w:eastAsia="仿宋"/>
          <w:sz w:val="32"/>
          <w:szCs w:val="32"/>
          <w:highlight w:val="none"/>
        </w:rPr>
        <w:t>。扩募方案（如有）的内容包括</w:t>
      </w:r>
      <w:r>
        <w:rPr>
          <w:rFonts w:hint="eastAsia" w:ascii="仿宋" w:hAnsi="仿宋" w:eastAsia="仿宋"/>
          <w:sz w:val="32"/>
          <w:szCs w:val="32"/>
          <w:highlight w:val="none"/>
          <w:lang w:eastAsia="zh-CN"/>
        </w:rPr>
        <w:t>发售</w:t>
      </w:r>
      <w:r>
        <w:rPr>
          <w:rFonts w:hint="eastAsia" w:ascii="仿宋" w:hAnsi="仿宋" w:eastAsia="仿宋"/>
          <w:sz w:val="32"/>
          <w:szCs w:val="32"/>
          <w:highlight w:val="none"/>
        </w:rPr>
        <w:t>方式、</w:t>
      </w:r>
      <w:r>
        <w:rPr>
          <w:rFonts w:hint="eastAsia" w:ascii="仿宋" w:hAnsi="仿宋" w:eastAsia="仿宋"/>
          <w:sz w:val="32"/>
          <w:szCs w:val="32"/>
          <w:highlight w:val="none"/>
          <w:lang w:eastAsia="zh-CN"/>
        </w:rPr>
        <w:t>发售</w:t>
      </w:r>
      <w:r>
        <w:rPr>
          <w:rFonts w:hint="eastAsia" w:ascii="仿宋" w:hAnsi="仿宋" w:eastAsia="仿宋"/>
          <w:sz w:val="32"/>
          <w:szCs w:val="32"/>
          <w:highlight w:val="none"/>
        </w:rPr>
        <w:t>对象、定价方式、募集资金用途、对原基金份额持有人的影响、</w:t>
      </w:r>
      <w:r>
        <w:rPr>
          <w:rFonts w:hint="eastAsia" w:ascii="仿宋" w:hAnsi="仿宋" w:eastAsia="仿宋"/>
          <w:sz w:val="32"/>
          <w:szCs w:val="32"/>
          <w:highlight w:val="none"/>
          <w:lang w:eastAsia="zh-CN"/>
        </w:rPr>
        <w:t>发售</w:t>
      </w:r>
      <w:r>
        <w:rPr>
          <w:rFonts w:hint="eastAsia" w:ascii="仿宋" w:hAnsi="仿宋" w:eastAsia="仿宋"/>
          <w:sz w:val="32"/>
          <w:szCs w:val="32"/>
          <w:highlight w:val="none"/>
        </w:rPr>
        <w:t>前累计收益的分配方案（如有）等</w:t>
      </w:r>
      <w:r>
        <w:rPr>
          <w:rFonts w:hint="eastAsia" w:ascii="仿宋" w:hAnsi="仿宋" w:eastAsia="仿宋"/>
          <w:sz w:val="32"/>
          <w:szCs w:val="32"/>
          <w:highlight w:val="none"/>
          <w:lang w:eastAsia="zh-CN"/>
        </w:rPr>
        <w:t>，必备要素详见附件3</w:t>
      </w:r>
      <w:r>
        <w:rPr>
          <w:rFonts w:hint="eastAsia" w:ascii="仿宋" w:hAnsi="仿宋" w:eastAsia="仿宋"/>
          <w:sz w:val="32"/>
          <w:szCs w:val="32"/>
          <w:highlight w:val="none"/>
        </w:rPr>
        <w:t>。</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基金管理人首次发布新购入</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临时公告至提交基金变更注册申请之前，应当通过本所基金业务专区中的“业务办理—&gt;信息披露—&gt;基金临时报告”提交临时信息披露申请，定期发布进展公告，说明本次购入</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的具体进展情况。若购入</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发生重大进展或者重大变化，基金管理人应当及时按照上述流程进行披露。</w:t>
      </w:r>
    </w:p>
    <w:p>
      <w:pPr>
        <w:pStyle w:val="4"/>
        <w:keepNext w:val="0"/>
        <w:keepLines w:val="0"/>
        <w:spacing w:before="0" w:after="0" w:line="560" w:lineRule="exact"/>
        <w:ind w:firstLine="640" w:firstLineChars="200"/>
        <w:rPr>
          <w:rFonts w:eastAsia="楷体"/>
          <w:b w:val="0"/>
          <w:highlight w:val="none"/>
        </w:rPr>
      </w:pPr>
      <w:bookmarkStart w:id="24" w:name="_Toc10945"/>
      <w:bookmarkStart w:id="25" w:name="_Toc146725908"/>
      <w:bookmarkStart w:id="26" w:name="_Toc30338"/>
      <w:bookmarkStart w:id="27" w:name="_Toc21172"/>
      <w:bookmarkStart w:id="28" w:name="_Toc21262"/>
      <w:bookmarkStart w:id="29" w:name="_Toc29107"/>
      <w:bookmarkStart w:id="30" w:name="_Toc28366"/>
      <w:r>
        <w:rPr>
          <w:rFonts w:hint="eastAsia" w:eastAsia="楷体"/>
          <w:b w:val="0"/>
          <w:highlight w:val="none"/>
        </w:rPr>
        <w:t>（二）履行变更注册程序期间的信息披露</w:t>
      </w:r>
      <w:bookmarkEnd w:id="24"/>
      <w:bookmarkEnd w:id="25"/>
      <w:bookmarkEnd w:id="26"/>
      <w:bookmarkEnd w:id="27"/>
      <w:bookmarkEnd w:id="28"/>
      <w:bookmarkEnd w:id="29"/>
      <w:bookmarkEnd w:id="30"/>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基金管理人在履行中国证监会变更注册、本所</w:t>
      </w:r>
      <w:r>
        <w:rPr>
          <w:rFonts w:hint="eastAsia" w:ascii="仿宋" w:hAnsi="仿宋" w:eastAsia="仿宋"/>
          <w:sz w:val="32"/>
          <w:szCs w:val="32"/>
          <w:highlight w:val="none"/>
          <w:lang w:eastAsia="zh-CN"/>
        </w:rPr>
        <w:t>不动产基金</w:t>
      </w:r>
      <w:r>
        <w:rPr>
          <w:rFonts w:hint="eastAsia" w:ascii="仿宋" w:hAnsi="仿宋" w:eastAsia="仿宋"/>
          <w:sz w:val="32"/>
          <w:szCs w:val="32"/>
          <w:highlight w:val="none"/>
        </w:rPr>
        <w:t>产品变更和</w:t>
      </w:r>
      <w:r>
        <w:rPr>
          <w:rFonts w:hint="eastAsia" w:ascii="仿宋" w:hAnsi="仿宋" w:eastAsia="仿宋"/>
          <w:sz w:val="32"/>
          <w:szCs w:val="32"/>
          <w:highlight w:val="none"/>
          <w:lang w:eastAsia="zh-CN"/>
        </w:rPr>
        <w:t>不动产资产支持证券</w:t>
      </w:r>
      <w:r>
        <w:rPr>
          <w:rFonts w:hint="eastAsia" w:ascii="仿宋" w:hAnsi="仿宋" w:eastAsia="仿宋"/>
          <w:sz w:val="32"/>
          <w:szCs w:val="32"/>
          <w:highlight w:val="none"/>
        </w:rPr>
        <w:t>相关申请确认程序期间，应通过本所基金业务专区中的“业务办理—&gt;信息披露—&gt;变更注册公告（REITs）”提交信息披露申请，公告类别详见</w:t>
      </w:r>
      <w:r>
        <w:rPr>
          <w:rFonts w:hint="eastAsia" w:ascii="仿宋" w:hAnsi="仿宋" w:eastAsia="仿宋"/>
          <w:sz w:val="32"/>
          <w:szCs w:val="32"/>
          <w:highlight w:val="none"/>
          <w:lang w:eastAsia="zh-CN"/>
        </w:rPr>
        <w:t>附件1</w:t>
      </w:r>
      <w:r>
        <w:rPr>
          <w:rFonts w:hint="eastAsia" w:ascii="仿宋" w:hAnsi="仿宋" w:eastAsia="仿宋"/>
          <w:sz w:val="32"/>
          <w:szCs w:val="32"/>
          <w:highlight w:val="none"/>
        </w:rPr>
        <w:t>。信息披露时间及具体情形如下：</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1．在当日提交信息披露申请</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向本所提交</w:t>
      </w:r>
      <w:r>
        <w:rPr>
          <w:rFonts w:hint="eastAsia" w:ascii="仿宋" w:hAnsi="仿宋" w:eastAsia="仿宋"/>
          <w:sz w:val="32"/>
          <w:szCs w:val="32"/>
          <w:highlight w:val="none"/>
          <w:lang w:eastAsia="zh-CN"/>
        </w:rPr>
        <w:t>不动产基金</w:t>
      </w:r>
      <w:r>
        <w:rPr>
          <w:rFonts w:hint="eastAsia" w:ascii="仿宋" w:hAnsi="仿宋" w:eastAsia="仿宋"/>
          <w:sz w:val="32"/>
          <w:szCs w:val="32"/>
          <w:highlight w:val="none"/>
        </w:rPr>
        <w:t>产品变更申请和</w:t>
      </w:r>
      <w:r>
        <w:rPr>
          <w:rFonts w:hint="eastAsia" w:ascii="仿宋" w:hAnsi="仿宋" w:eastAsia="仿宋"/>
          <w:sz w:val="32"/>
          <w:szCs w:val="32"/>
          <w:highlight w:val="none"/>
          <w:lang w:eastAsia="zh-CN"/>
        </w:rPr>
        <w:t>不动产资产支持证券</w:t>
      </w:r>
      <w:r>
        <w:rPr>
          <w:rFonts w:hint="eastAsia" w:ascii="仿宋" w:hAnsi="仿宋" w:eastAsia="仿宋"/>
          <w:sz w:val="32"/>
          <w:szCs w:val="32"/>
          <w:highlight w:val="none"/>
        </w:rPr>
        <w:t>相关申请时，应在申请当日提交信息披露申请。</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2．在发生之日起当日或次日提交信息披露申请</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发生下列情形之一的，应在当日或次日提交信息披露申请：</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（1）收到中国证监会或者本所的受理通知书；</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（2）收到本所问询；</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（3）提交问询答复</w:t>
      </w:r>
      <w:r>
        <w:rPr>
          <w:rFonts w:hint="eastAsia" w:ascii="仿宋" w:hAnsi="仿宋" w:eastAsia="仿宋"/>
          <w:sz w:val="32"/>
          <w:szCs w:val="32"/>
          <w:highlight w:val="none"/>
          <w:lang w:eastAsia="zh-CN"/>
        </w:rPr>
        <w:t>以及有关</w:t>
      </w:r>
      <w:r>
        <w:rPr>
          <w:rFonts w:hint="eastAsia" w:ascii="仿宋" w:hAnsi="仿宋" w:eastAsia="仿宋"/>
          <w:sz w:val="32"/>
          <w:szCs w:val="32"/>
          <w:highlight w:val="none"/>
        </w:rPr>
        <w:t>文件；</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（4）收到本所关于变更申请的无异议函或者终止审核通知；</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（5）收到中国证监会关于基金变更注册或者不予注册的批复；</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3．其他情况下的信息披露申请</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履行变更注册程序期间，基金管理人决定撤回申请的，应当说明原因并提交信息披露申请。</w:t>
      </w:r>
    </w:p>
    <w:p>
      <w:pPr>
        <w:pStyle w:val="4"/>
        <w:keepNext w:val="0"/>
        <w:keepLines w:val="0"/>
        <w:spacing w:before="0" w:after="0" w:line="560" w:lineRule="exact"/>
        <w:ind w:firstLine="640" w:firstLineChars="200"/>
        <w:rPr>
          <w:rFonts w:hint="eastAsia" w:eastAsia="楷体"/>
          <w:b w:val="0"/>
          <w:highlight w:val="none"/>
          <w:lang w:val="en-US" w:eastAsia="zh-CN"/>
        </w:rPr>
      </w:pPr>
      <w:bookmarkStart w:id="31" w:name="_Toc146725909"/>
      <w:bookmarkStart w:id="32" w:name="_Toc17886"/>
      <w:bookmarkStart w:id="33" w:name="_Toc4659"/>
      <w:bookmarkStart w:id="34" w:name="_Toc9293"/>
      <w:bookmarkStart w:id="35" w:name="_Toc18638"/>
      <w:bookmarkStart w:id="36" w:name="_Toc28872"/>
      <w:bookmarkStart w:id="37" w:name="_Toc10094"/>
      <w:r>
        <w:rPr>
          <w:rFonts w:hint="eastAsia" w:eastAsia="楷体"/>
          <w:b w:val="0"/>
          <w:highlight w:val="none"/>
        </w:rPr>
        <w:t>（三）召开基金份额持有人</w:t>
      </w:r>
      <w:bookmarkEnd w:id="31"/>
      <w:r>
        <w:rPr>
          <w:rFonts w:hint="eastAsia" w:eastAsia="楷体"/>
          <w:b w:val="0"/>
          <w:highlight w:val="none"/>
          <w:lang w:val="en-US" w:eastAsia="zh-CN"/>
        </w:rPr>
        <w:t>大会</w:t>
      </w:r>
      <w:bookmarkEnd w:id="32"/>
      <w:bookmarkEnd w:id="33"/>
      <w:bookmarkEnd w:id="34"/>
      <w:bookmarkEnd w:id="35"/>
      <w:bookmarkEnd w:id="36"/>
      <w:bookmarkEnd w:id="37"/>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履行完毕基金变更注册程序后，</w:t>
      </w:r>
      <w:r>
        <w:rPr>
          <w:rFonts w:hint="eastAsia" w:ascii="仿宋" w:hAnsi="仿宋" w:eastAsia="仿宋"/>
          <w:sz w:val="32"/>
          <w:szCs w:val="32"/>
          <w:highlight w:val="none"/>
        </w:rPr>
        <w:t>基金管理人应当</w:t>
      </w:r>
      <w:r>
        <w:rPr>
          <w:rFonts w:ascii="仿宋" w:hAnsi="仿宋" w:eastAsia="仿宋"/>
          <w:sz w:val="32"/>
          <w:szCs w:val="32"/>
          <w:highlight w:val="none"/>
        </w:rPr>
        <w:t>召开基金份额持有人大会</w:t>
      </w:r>
      <w:r>
        <w:rPr>
          <w:rFonts w:hint="eastAsia" w:ascii="仿宋" w:hAnsi="仿宋" w:eastAsia="仿宋"/>
          <w:sz w:val="32"/>
          <w:szCs w:val="32"/>
          <w:highlight w:val="none"/>
        </w:rPr>
        <w:t>，并进行相关信息披露。</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1．披露召开持有人大会的通知公告及提示性公告</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（1）披露召开持有人大会的通知公告</w:t>
      </w:r>
    </w:p>
    <w:p>
      <w:pPr>
        <w:numPr>
          <w:ilvl w:val="-1"/>
          <w:numId w:val="0"/>
        </w:numPr>
        <w:adjustRightInd w:val="0"/>
        <w:snapToGrid w:val="0"/>
        <w:spacing w:line="56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基金管理人</w:t>
      </w:r>
      <w:r>
        <w:rPr>
          <w:rFonts w:ascii="仿宋" w:hAnsi="仿宋" w:eastAsia="仿宋"/>
          <w:sz w:val="32"/>
          <w:szCs w:val="32"/>
          <w:highlight w:val="none"/>
        </w:rPr>
        <w:t>至少</w:t>
      </w:r>
      <w:r>
        <w:rPr>
          <w:rFonts w:hint="eastAsia" w:ascii="仿宋" w:hAnsi="仿宋" w:eastAsia="仿宋"/>
          <w:sz w:val="32"/>
          <w:szCs w:val="32"/>
          <w:highlight w:val="none"/>
        </w:rPr>
        <w:t>在召开持有人大会</w:t>
      </w:r>
      <w:r>
        <w:rPr>
          <w:rFonts w:ascii="仿宋" w:hAnsi="仿宋" w:eastAsia="仿宋"/>
          <w:sz w:val="32"/>
          <w:szCs w:val="32"/>
          <w:highlight w:val="none"/>
        </w:rPr>
        <w:t>前30日</w:t>
      </w:r>
      <w:r>
        <w:rPr>
          <w:rFonts w:hint="eastAsia" w:ascii="仿宋" w:hAnsi="仿宋" w:eastAsia="仿宋"/>
          <w:sz w:val="32"/>
          <w:szCs w:val="32"/>
          <w:highlight w:val="none"/>
        </w:rPr>
        <w:t>刊登</w:t>
      </w:r>
      <w:r>
        <w:rPr>
          <w:rFonts w:ascii="仿宋" w:hAnsi="仿宋" w:eastAsia="仿宋"/>
          <w:sz w:val="32"/>
          <w:szCs w:val="32"/>
          <w:highlight w:val="none"/>
        </w:rPr>
        <w:t>召开基金份额持有人大会的通知</w:t>
      </w:r>
      <w:r>
        <w:rPr>
          <w:rFonts w:hint="eastAsia" w:ascii="仿宋" w:hAnsi="仿宋" w:eastAsia="仿宋"/>
          <w:sz w:val="32"/>
          <w:szCs w:val="32"/>
          <w:highlight w:val="none"/>
        </w:rPr>
        <w:t>公告</w:t>
      </w:r>
      <w:r>
        <w:rPr>
          <w:rFonts w:ascii="仿宋" w:hAnsi="仿宋" w:eastAsia="仿宋"/>
          <w:sz w:val="32"/>
          <w:szCs w:val="32"/>
          <w:highlight w:val="none"/>
        </w:rPr>
        <w:t>并附相关表决议案</w:t>
      </w:r>
      <w:r>
        <w:rPr>
          <w:rFonts w:hint="eastAsia" w:ascii="仿宋" w:hAnsi="仿宋" w:eastAsia="仿宋"/>
          <w:sz w:val="32"/>
          <w:szCs w:val="32"/>
          <w:highlight w:val="none"/>
        </w:rPr>
        <w:t>，</w:t>
      </w:r>
      <w:r>
        <w:rPr>
          <w:rFonts w:ascii="仿宋" w:hAnsi="仿宋" w:eastAsia="仿宋"/>
          <w:sz w:val="32"/>
          <w:szCs w:val="32"/>
          <w:highlight w:val="none"/>
        </w:rPr>
        <w:t>同时披露招募说明书</w:t>
      </w:r>
      <w:r>
        <w:rPr>
          <w:rFonts w:hint="eastAsia" w:ascii="仿宋" w:hAnsi="仿宋" w:eastAsia="仿宋"/>
          <w:sz w:val="32"/>
          <w:szCs w:val="32"/>
          <w:highlight w:val="none"/>
        </w:rPr>
        <w:t>（草案）</w:t>
      </w:r>
      <w:r>
        <w:rPr>
          <w:rFonts w:ascii="仿宋" w:hAnsi="仿宋" w:eastAsia="仿宋"/>
          <w:sz w:val="32"/>
          <w:szCs w:val="32"/>
          <w:highlight w:val="none"/>
        </w:rPr>
        <w:t>、基金合同</w:t>
      </w:r>
      <w:r>
        <w:rPr>
          <w:rFonts w:hint="eastAsia" w:ascii="仿宋" w:hAnsi="仿宋" w:eastAsia="仿宋"/>
          <w:sz w:val="32"/>
          <w:szCs w:val="32"/>
          <w:highlight w:val="none"/>
        </w:rPr>
        <w:t>（草案）</w:t>
      </w:r>
      <w:r>
        <w:rPr>
          <w:rFonts w:ascii="仿宋" w:hAnsi="仿宋" w:eastAsia="仿宋"/>
          <w:sz w:val="32"/>
          <w:szCs w:val="32"/>
          <w:highlight w:val="none"/>
        </w:rPr>
        <w:t>、托管协议</w:t>
      </w:r>
      <w:r>
        <w:rPr>
          <w:rFonts w:hint="eastAsia" w:ascii="仿宋" w:hAnsi="仿宋" w:eastAsia="仿宋"/>
          <w:sz w:val="32"/>
          <w:szCs w:val="32"/>
          <w:highlight w:val="none"/>
        </w:rPr>
        <w:t>（草案）</w:t>
      </w:r>
      <w:r>
        <w:rPr>
          <w:rFonts w:ascii="仿宋" w:hAnsi="仿宋" w:eastAsia="仿宋"/>
          <w:sz w:val="32"/>
          <w:szCs w:val="32"/>
          <w:highlight w:val="none"/>
        </w:rPr>
        <w:t>和法律意见书等文件或其相关修订情况（如有）</w:t>
      </w:r>
      <w:r>
        <w:rPr>
          <w:rFonts w:hint="eastAsia" w:ascii="仿宋" w:hAnsi="仿宋" w:eastAsia="仿宋"/>
          <w:sz w:val="32"/>
          <w:szCs w:val="32"/>
          <w:highlight w:val="none"/>
        </w:rPr>
        <w:t>，并将停复牌业务申请作为附件报备</w:t>
      </w:r>
      <w:r>
        <w:rPr>
          <w:rFonts w:ascii="仿宋" w:hAnsi="仿宋" w:eastAsia="仿宋"/>
          <w:sz w:val="32"/>
          <w:szCs w:val="32"/>
          <w:highlight w:val="none"/>
        </w:rPr>
        <w:t>。</w:t>
      </w:r>
      <w:r>
        <w:rPr>
          <w:rFonts w:hint="eastAsia" w:ascii="仿宋" w:hAnsi="仿宋" w:eastAsia="仿宋"/>
          <w:sz w:val="32"/>
          <w:szCs w:val="32"/>
          <w:highlight w:val="none"/>
        </w:rPr>
        <w:t>基金管理人应通过本所基金业务专区中的“业务办理—&gt;信息披露—&gt;基金临时报告—&gt;基金持有人大会通知”提交上述临时信息披露申请，将停复牌业务申请作为附件上传，并填写两次停牌时间：第一次停牌为公告日开市起至当日10:30，第二次停牌为基金持有人大会召开之日（</w:t>
      </w:r>
      <w:r>
        <w:rPr>
          <w:rFonts w:hint="eastAsia" w:ascii="仿宋" w:hAnsi="仿宋" w:eastAsia="仿宋"/>
          <w:sz w:val="32"/>
          <w:szCs w:val="32"/>
          <w:highlight w:val="none"/>
          <w:lang w:eastAsia="zh-CN"/>
        </w:rPr>
        <w:t>以</w:t>
      </w:r>
      <w:r>
        <w:rPr>
          <w:rFonts w:hint="eastAsia" w:ascii="仿宋" w:hAnsi="仿宋" w:eastAsia="仿宋"/>
          <w:sz w:val="32"/>
          <w:szCs w:val="32"/>
          <w:highlight w:val="none"/>
        </w:rPr>
        <w:t>通讯方式</w:t>
      </w:r>
      <w:r>
        <w:rPr>
          <w:rFonts w:hint="eastAsia" w:ascii="仿宋" w:hAnsi="仿宋" w:eastAsia="仿宋"/>
          <w:sz w:val="32"/>
          <w:szCs w:val="32"/>
          <w:highlight w:val="none"/>
          <w:lang w:eastAsia="zh-CN"/>
        </w:rPr>
        <w:t>召开的</w:t>
      </w:r>
      <w:r>
        <w:rPr>
          <w:rFonts w:hint="eastAsia" w:ascii="仿宋" w:hAnsi="仿宋" w:eastAsia="仿宋"/>
          <w:sz w:val="32"/>
          <w:szCs w:val="32"/>
          <w:highlight w:val="none"/>
        </w:rPr>
        <w:t>为计票日）开市起，暂不填写复牌日期。</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基金份额持有人大会拟购入</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的议案及拟作出的决议，应至少包含拟购入</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和交易对方，交易价格或者价格区间，定价方式或者定价依据，</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自定价基准日至交割日期间损益的归属，</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办理权属转移的合同义务和违约责任，扩募方案（如有），决议有效期，对基金管理人办理本次</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交易及扩募（如有）的具体授权，招募说明书、基金合同、托管协议等文件针对本次</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购入事项的相关修订以及其他需要明确的事项等内容。</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（2）披露召开持有人大会的两次提示性公告</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刊登</w:t>
      </w:r>
      <w:r>
        <w:rPr>
          <w:rFonts w:ascii="仿宋" w:hAnsi="仿宋" w:eastAsia="仿宋"/>
          <w:sz w:val="32"/>
          <w:szCs w:val="32"/>
          <w:highlight w:val="none"/>
        </w:rPr>
        <w:t>召开基金份额持有人大会通知</w:t>
      </w:r>
      <w:r>
        <w:rPr>
          <w:rFonts w:hint="eastAsia" w:ascii="仿宋" w:hAnsi="仿宋" w:eastAsia="仿宋"/>
          <w:sz w:val="32"/>
          <w:szCs w:val="32"/>
          <w:highlight w:val="none"/>
          <w:lang w:eastAsia="zh-CN"/>
        </w:rPr>
        <w:t>公告</w:t>
      </w:r>
      <w:r>
        <w:rPr>
          <w:rFonts w:hint="eastAsia" w:ascii="仿宋" w:hAnsi="仿宋" w:eastAsia="仿宋"/>
          <w:sz w:val="32"/>
          <w:szCs w:val="32"/>
          <w:highlight w:val="none"/>
        </w:rPr>
        <w:t>后，需在2个交易日内连续</w:t>
      </w:r>
      <w:r>
        <w:rPr>
          <w:rFonts w:hint="eastAsia" w:ascii="仿宋" w:hAnsi="仿宋" w:eastAsia="仿宋"/>
          <w:sz w:val="32"/>
          <w:szCs w:val="32"/>
          <w:highlight w:val="none"/>
          <w:lang w:eastAsia="zh-CN"/>
        </w:rPr>
        <w:t>刊登</w:t>
      </w:r>
      <w:r>
        <w:rPr>
          <w:rFonts w:hint="eastAsia" w:ascii="仿宋" w:hAnsi="仿宋" w:eastAsia="仿宋"/>
          <w:sz w:val="32"/>
          <w:szCs w:val="32"/>
          <w:highlight w:val="none"/>
        </w:rPr>
        <w:t>提示性公告。提示性公告前一交易日，基金管理人需通过本所基金业务专区中的“业务办理—&gt;信息披露—&gt;基金临时报告—&gt;基金持有人大会通知”提交召开基金持有人大会通知的提示性公告信息披露申请，并于次一交易日对外披露，提示性公告披露日无需停牌。</w:t>
      </w:r>
    </w:p>
    <w:p>
      <w:pPr>
        <w:adjustRightInd w:val="0"/>
        <w:snapToGrid w:val="0"/>
        <w:spacing w:line="560" w:lineRule="exact"/>
        <w:ind w:firstLine="640" w:firstLineChars="200"/>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披露召开持有人大会期间停牌的提示性公告</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基金管理人应于基金持有人大会召开之日（</w:t>
      </w:r>
      <w:r>
        <w:rPr>
          <w:rFonts w:hint="eastAsia" w:ascii="仿宋" w:hAnsi="仿宋" w:eastAsia="仿宋"/>
          <w:sz w:val="32"/>
          <w:szCs w:val="32"/>
          <w:highlight w:val="none"/>
          <w:lang w:eastAsia="zh-CN"/>
        </w:rPr>
        <w:t>以</w:t>
      </w:r>
      <w:r>
        <w:rPr>
          <w:rFonts w:hint="eastAsia" w:ascii="仿宋" w:hAnsi="仿宋" w:eastAsia="仿宋"/>
          <w:sz w:val="32"/>
          <w:szCs w:val="32"/>
          <w:highlight w:val="none"/>
        </w:rPr>
        <w:t>通讯方式</w:t>
      </w:r>
      <w:r>
        <w:rPr>
          <w:rFonts w:hint="eastAsia" w:ascii="仿宋" w:hAnsi="仿宋" w:eastAsia="仿宋"/>
          <w:sz w:val="32"/>
          <w:szCs w:val="32"/>
          <w:highlight w:val="none"/>
          <w:lang w:eastAsia="zh-CN"/>
        </w:rPr>
        <w:t>召开的</w:t>
      </w:r>
      <w:r>
        <w:rPr>
          <w:rFonts w:hint="eastAsia" w:ascii="仿宋" w:hAnsi="仿宋" w:eastAsia="仿宋"/>
          <w:sz w:val="32"/>
          <w:szCs w:val="32"/>
          <w:highlight w:val="none"/>
        </w:rPr>
        <w:t>为计票日）前一交易日，通过本所基金业务专区中的“业务办理—</w:t>
      </w:r>
      <w:r>
        <w:rPr>
          <w:rFonts w:ascii="仿宋" w:hAnsi="仿宋" w:eastAsia="仿宋"/>
          <w:sz w:val="32"/>
          <w:szCs w:val="32"/>
          <w:highlight w:val="none"/>
        </w:rPr>
        <w:t>&gt;</w:t>
      </w:r>
      <w:r>
        <w:rPr>
          <w:rFonts w:hint="eastAsia" w:ascii="仿宋" w:hAnsi="仿宋" w:eastAsia="仿宋"/>
          <w:sz w:val="32"/>
          <w:szCs w:val="32"/>
          <w:highlight w:val="none"/>
        </w:rPr>
        <w:t>信息披露—</w:t>
      </w:r>
      <w:r>
        <w:rPr>
          <w:rFonts w:ascii="仿宋" w:hAnsi="仿宋" w:eastAsia="仿宋"/>
          <w:sz w:val="32"/>
          <w:szCs w:val="32"/>
          <w:highlight w:val="none"/>
        </w:rPr>
        <w:t>&gt;</w:t>
      </w:r>
      <w:r>
        <w:rPr>
          <w:rFonts w:hint="eastAsia" w:ascii="仿宋" w:hAnsi="仿宋" w:eastAsia="仿宋"/>
          <w:sz w:val="32"/>
          <w:szCs w:val="32"/>
          <w:highlight w:val="none"/>
        </w:rPr>
        <w:t>基金临时报告”提交召开基金份额持有人大会期间停牌的提示性公告信息披露申请。</w:t>
      </w:r>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3．披露持有人大会决议生效公告</w:t>
      </w:r>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基金管理人于基金份额持有人大会决议生效公告日的前一交易日，通过本所基金业务专区中的“业务办理—&gt;信息披露—&gt;基金临时报告”提交基金份额持有人大会决议生效公告、本次会议法律意见书，以及</w:t>
      </w:r>
      <w:r>
        <w:rPr>
          <w:rFonts w:hint="eastAsia" w:ascii="仿宋" w:hAnsi="仿宋" w:eastAsia="仿宋"/>
          <w:bCs/>
          <w:sz w:val="32"/>
          <w:szCs w:val="32"/>
          <w:highlight w:val="none"/>
        </w:rPr>
        <w:t>招募说明书、基金合同、托管协议、基金产品资料概要信息披露申请</w:t>
      </w:r>
      <w:r>
        <w:rPr>
          <w:rFonts w:hint="eastAsia" w:ascii="仿宋" w:hAnsi="仿宋" w:eastAsia="仿宋"/>
          <w:sz w:val="32"/>
          <w:szCs w:val="32"/>
          <w:highlight w:val="none"/>
        </w:rPr>
        <w:t>，将停复牌申请作为附件报备并申请于决议生效公告日上午10:30起复牌（如持有人大会决议公布日为非交易日，则公布后首个交易日开市时复牌）。</w:t>
      </w:r>
    </w:p>
    <w:p>
      <w:pPr>
        <w:pStyle w:val="4"/>
        <w:keepNext w:val="0"/>
        <w:keepLines w:val="0"/>
        <w:spacing w:before="0" w:after="0" w:line="560" w:lineRule="exact"/>
        <w:ind w:firstLine="640" w:firstLineChars="200"/>
        <w:rPr>
          <w:rFonts w:hint="eastAsia" w:eastAsia="楷体"/>
          <w:b w:val="0"/>
          <w:highlight w:val="none"/>
          <w:lang w:val="en-US" w:eastAsia="zh-CN"/>
        </w:rPr>
      </w:pPr>
      <w:bookmarkStart w:id="38" w:name="_Toc36"/>
      <w:bookmarkStart w:id="39" w:name="_Toc31332"/>
      <w:bookmarkStart w:id="40" w:name="_Toc16819"/>
      <w:bookmarkStart w:id="41" w:name="_Toc25836"/>
      <w:bookmarkStart w:id="42" w:name="_Toc24943"/>
      <w:r>
        <w:rPr>
          <w:rFonts w:hint="eastAsia" w:eastAsia="楷体"/>
          <w:b w:val="0"/>
          <w:highlight w:val="none"/>
        </w:rPr>
        <w:t>（</w:t>
      </w:r>
      <w:r>
        <w:rPr>
          <w:rFonts w:hint="eastAsia" w:eastAsia="楷体"/>
          <w:b w:val="0"/>
          <w:highlight w:val="none"/>
          <w:lang w:eastAsia="zh-CN"/>
        </w:rPr>
        <w:t>四</w:t>
      </w:r>
      <w:r>
        <w:rPr>
          <w:rFonts w:hint="eastAsia" w:eastAsia="楷体"/>
          <w:b w:val="0"/>
          <w:highlight w:val="none"/>
        </w:rPr>
        <w:t>）</w:t>
      </w:r>
      <w:r>
        <w:rPr>
          <w:rFonts w:hint="eastAsia" w:eastAsia="楷体"/>
          <w:b w:val="0"/>
          <w:highlight w:val="none"/>
          <w:lang w:eastAsia="zh-CN"/>
        </w:rPr>
        <w:t>扩募期间暂停分红业务</w:t>
      </w:r>
      <w:bookmarkEnd w:id="38"/>
      <w:bookmarkEnd w:id="39"/>
      <w:bookmarkEnd w:id="40"/>
      <w:bookmarkEnd w:id="41"/>
      <w:bookmarkEnd w:id="42"/>
    </w:p>
    <w:p>
      <w:pPr>
        <w:adjustRightInd w:val="0"/>
        <w:snapToGrid w:val="0"/>
        <w:spacing w:line="560" w:lineRule="exact"/>
        <w:ind w:firstLine="640" w:firstLineChars="200"/>
        <w:rPr>
          <w:rFonts w:hint="eastAsia" w:ascii="仿宋" w:hAnsi="仿宋" w:eastAsia="仿宋"/>
          <w:sz w:val="32"/>
          <w:szCs w:val="32"/>
          <w:highlight w:val="none"/>
        </w:rPr>
      </w:pPr>
      <w:r>
        <w:rPr>
          <w:rFonts w:hint="eastAsia" w:ascii="仿宋" w:eastAsia="仿宋" w:cs="仿宋"/>
          <w:kern w:val="0"/>
          <w:sz w:val="32"/>
          <w:szCs w:val="32"/>
          <w:highlight w:val="none"/>
          <w:lang w:eastAsia="zh-CN"/>
        </w:rPr>
        <w:t>基金管理人应当在启动扩募发售前统筹安排不动产基金分红事宜，</w:t>
      </w:r>
      <w:r>
        <w:rPr>
          <w:rFonts w:hint="eastAsia" w:ascii="仿宋" w:eastAsia="仿宋" w:cs="仿宋"/>
          <w:kern w:val="0"/>
          <w:sz w:val="32"/>
          <w:szCs w:val="32"/>
          <w:highlight w:val="none"/>
        </w:rPr>
        <w:t>自扩募发售期首日至上市日间不</w:t>
      </w:r>
      <w:r>
        <w:rPr>
          <w:rFonts w:hint="eastAsia" w:ascii="仿宋" w:eastAsia="仿宋" w:cs="仿宋"/>
          <w:kern w:val="0"/>
          <w:sz w:val="32"/>
          <w:szCs w:val="32"/>
          <w:highlight w:val="none"/>
          <w:lang w:eastAsia="zh-CN"/>
        </w:rPr>
        <w:t>办理</w:t>
      </w:r>
      <w:r>
        <w:rPr>
          <w:rFonts w:hint="eastAsia" w:ascii="仿宋" w:eastAsia="仿宋" w:cs="仿宋"/>
          <w:kern w:val="0"/>
          <w:sz w:val="32"/>
          <w:szCs w:val="32"/>
          <w:highlight w:val="none"/>
        </w:rPr>
        <w:t>分红业务</w:t>
      </w:r>
      <w:r>
        <w:rPr>
          <w:rFonts w:hint="eastAsia" w:ascii="仿宋" w:eastAsia="仿宋" w:cs="仿宋"/>
          <w:kern w:val="0"/>
          <w:sz w:val="32"/>
          <w:szCs w:val="32"/>
          <w:highlight w:val="none"/>
          <w:lang w:eastAsia="zh-CN"/>
        </w:rPr>
        <w:t>，防止扩募期间分红可能造成的基金份额价值波动，避免扩募份额变动可能导致的分红权益登记和红利派发错误</w:t>
      </w:r>
      <w:r>
        <w:rPr>
          <w:rFonts w:hint="eastAsia" w:ascii="仿宋" w:eastAsia="仿宋" w:cs="仿宋"/>
          <w:kern w:val="0"/>
          <w:sz w:val="32"/>
          <w:szCs w:val="32"/>
          <w:highlight w:val="none"/>
        </w:rPr>
        <w:t>。</w:t>
      </w:r>
    </w:p>
    <w:p>
      <w:pPr>
        <w:pStyle w:val="3"/>
        <w:keepNext w:val="0"/>
        <w:keepLines w:val="0"/>
        <w:spacing w:before="0" w:after="0" w:line="560" w:lineRule="exact"/>
        <w:ind w:firstLine="640" w:firstLineChars="200"/>
        <w:rPr>
          <w:rFonts w:eastAsia="黑体"/>
          <w:b w:val="0"/>
          <w:highlight w:val="none"/>
        </w:rPr>
      </w:pPr>
      <w:bookmarkStart w:id="43" w:name="_Toc59024597"/>
      <w:bookmarkStart w:id="44" w:name="_Toc13204"/>
      <w:bookmarkStart w:id="45" w:name="_Toc12838"/>
      <w:bookmarkStart w:id="46" w:name="_Toc13725"/>
      <w:bookmarkStart w:id="47" w:name="_Toc28508"/>
      <w:bookmarkStart w:id="48" w:name="_Toc1775"/>
      <w:bookmarkStart w:id="49" w:name="_Toc146725910"/>
      <w:bookmarkStart w:id="50" w:name="_Toc24259"/>
      <w:r>
        <w:rPr>
          <w:rFonts w:hint="eastAsia" w:eastAsia="黑体"/>
          <w:b w:val="0"/>
          <w:highlight w:val="none"/>
        </w:rPr>
        <w:t>二、</w:t>
      </w:r>
      <w:bookmarkEnd w:id="43"/>
      <w:r>
        <w:rPr>
          <w:rFonts w:hint="eastAsia" w:eastAsia="黑体"/>
          <w:b w:val="0"/>
          <w:highlight w:val="none"/>
        </w:rPr>
        <w:t>发售</w:t>
      </w:r>
      <w:bookmarkEnd w:id="44"/>
      <w:bookmarkEnd w:id="45"/>
      <w:bookmarkEnd w:id="46"/>
      <w:bookmarkEnd w:id="47"/>
      <w:bookmarkEnd w:id="48"/>
      <w:bookmarkEnd w:id="49"/>
      <w:bookmarkEnd w:id="50"/>
    </w:p>
    <w:p>
      <w:pPr>
        <w:pStyle w:val="4"/>
        <w:keepNext w:val="0"/>
        <w:keepLines w:val="0"/>
        <w:spacing w:before="0" w:after="0" w:line="560" w:lineRule="exact"/>
        <w:ind w:firstLine="640" w:firstLineChars="200"/>
        <w:rPr>
          <w:rFonts w:eastAsia="楷体"/>
          <w:b w:val="0"/>
          <w:highlight w:val="none"/>
        </w:rPr>
      </w:pPr>
      <w:bookmarkStart w:id="51" w:name="_Toc25551"/>
      <w:bookmarkStart w:id="52" w:name="_Toc1450"/>
      <w:bookmarkStart w:id="53" w:name="_Toc2212"/>
      <w:bookmarkStart w:id="54" w:name="_Toc19654"/>
      <w:bookmarkStart w:id="55" w:name="_Toc26883"/>
      <w:bookmarkStart w:id="56" w:name="_Toc146725911"/>
      <w:bookmarkStart w:id="57" w:name="_Toc26902"/>
      <w:r>
        <w:rPr>
          <w:rFonts w:hint="eastAsia" w:eastAsia="楷体"/>
          <w:b w:val="0"/>
          <w:highlight w:val="none"/>
        </w:rPr>
        <w:t>（一）扩募发售报备</w:t>
      </w:r>
      <w:bookmarkEnd w:id="51"/>
      <w:bookmarkEnd w:id="52"/>
      <w:bookmarkEnd w:id="53"/>
      <w:bookmarkEnd w:id="54"/>
      <w:bookmarkEnd w:id="55"/>
      <w:bookmarkEnd w:id="56"/>
      <w:bookmarkEnd w:id="57"/>
    </w:p>
    <w:p>
      <w:pPr>
        <w:widowControl/>
        <w:spacing w:line="560" w:lineRule="exact"/>
        <w:ind w:firstLine="640" w:firstLineChars="200"/>
        <w:rPr>
          <w:rFonts w:ascii="仿宋" w:hAnsi="仿宋" w:eastAsia="仿宋"/>
          <w:bCs/>
          <w:sz w:val="32"/>
          <w:szCs w:val="32"/>
          <w:highlight w:val="none"/>
        </w:rPr>
      </w:pPr>
      <w:r>
        <w:rPr>
          <w:rFonts w:hint="eastAsia" w:ascii="仿宋" w:hAnsi="仿宋" w:eastAsia="仿宋"/>
          <w:bCs/>
          <w:sz w:val="32"/>
          <w:szCs w:val="32"/>
          <w:highlight w:val="none"/>
        </w:rPr>
        <w:t>基金份额持有人大会通过拟购入</w:t>
      </w:r>
      <w:r>
        <w:rPr>
          <w:rFonts w:hint="eastAsia" w:ascii="仿宋" w:hAnsi="仿宋" w:eastAsia="仿宋"/>
          <w:bCs/>
          <w:sz w:val="32"/>
          <w:szCs w:val="32"/>
          <w:highlight w:val="none"/>
          <w:lang w:eastAsia="zh-CN"/>
        </w:rPr>
        <w:t>不动产项目</w:t>
      </w:r>
      <w:r>
        <w:rPr>
          <w:rFonts w:hint="eastAsia" w:ascii="仿宋" w:hAnsi="仿宋" w:eastAsia="仿宋"/>
          <w:bCs/>
          <w:sz w:val="32"/>
          <w:szCs w:val="32"/>
          <w:highlight w:val="none"/>
        </w:rPr>
        <w:t>决议后，基金管理人通过</w:t>
      </w:r>
      <w:r>
        <w:rPr>
          <w:rFonts w:hint="eastAsia" w:ascii="仿宋" w:hAnsi="仿宋" w:eastAsia="仿宋"/>
          <w:bCs/>
          <w:sz w:val="32"/>
          <w:szCs w:val="32"/>
          <w:highlight w:val="none"/>
          <w:lang w:eastAsia="zh-CN"/>
        </w:rPr>
        <w:t>本</w:t>
      </w:r>
      <w:r>
        <w:rPr>
          <w:rFonts w:hint="eastAsia" w:ascii="仿宋" w:hAnsi="仿宋" w:eastAsia="仿宋"/>
          <w:bCs/>
          <w:sz w:val="32"/>
          <w:szCs w:val="32"/>
          <w:highlight w:val="none"/>
        </w:rPr>
        <w:t>所基金业务专区中的“业务办理—&gt;基金发行—&gt;扩募发售报备（REITs）”，选择扩募类别为定向扩募，并提交下列文件：</w:t>
      </w:r>
    </w:p>
    <w:p>
      <w:pPr>
        <w:autoSpaceDE w:val="0"/>
        <w:autoSpaceDN w:val="0"/>
        <w:adjustRightInd w:val="0"/>
        <w:spacing w:line="56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1．发售方案</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基金管理人、财务顾问（如有）</w:t>
      </w:r>
      <w:r>
        <w:rPr>
          <w:rFonts w:ascii="仿宋" w:hAnsi="仿宋" w:eastAsia="仿宋"/>
          <w:sz w:val="32"/>
          <w:szCs w:val="32"/>
          <w:highlight w:val="none"/>
        </w:rPr>
        <w:t>盖章</w:t>
      </w:r>
      <w:r>
        <w:rPr>
          <w:rFonts w:hint="eastAsia" w:ascii="仿宋" w:hAnsi="仿宋" w:eastAsia="仿宋"/>
          <w:sz w:val="32"/>
          <w:szCs w:val="32"/>
          <w:highlight w:val="none"/>
        </w:rPr>
        <w:t>扫描件；此处财务顾问指受托办理发售业务的财务顾问，全文同</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w:t>
      </w:r>
    </w:p>
    <w:p>
      <w:pPr>
        <w:autoSpaceDE w:val="0"/>
        <w:autoSpaceDN w:val="0"/>
        <w:adjustRightInd w:val="0"/>
        <w:spacing w:line="560" w:lineRule="exact"/>
        <w:ind w:firstLine="640" w:firstLineChars="200"/>
        <w:jc w:val="left"/>
        <w:rPr>
          <w:rFonts w:ascii="仿宋" w:hAnsi="仿宋" w:eastAsia="仿宋" w:cs="宋体"/>
          <w:sz w:val="32"/>
          <w:szCs w:val="32"/>
          <w:highlight w:val="none"/>
        </w:rPr>
      </w:pPr>
      <w:r>
        <w:rPr>
          <w:rFonts w:hint="eastAsia" w:ascii="仿宋" w:hAnsi="仿宋" w:eastAsia="仿宋" w:cs="宋体"/>
          <w:sz w:val="32"/>
          <w:szCs w:val="32"/>
          <w:highlight w:val="none"/>
        </w:rPr>
        <w:t>发售方案应包括：</w:t>
      </w:r>
    </w:p>
    <w:p>
      <w:pPr>
        <w:autoSpaceDE w:val="0"/>
        <w:autoSpaceDN w:val="0"/>
        <w:adjustRightInd w:val="0"/>
        <w:spacing w:line="560" w:lineRule="exact"/>
        <w:ind w:firstLine="640" w:firstLineChars="200"/>
        <w:jc w:val="left"/>
        <w:rPr>
          <w:rFonts w:ascii="仿宋" w:hAnsi="仿宋" w:eastAsia="仿宋" w:cs="宋体"/>
          <w:sz w:val="32"/>
          <w:szCs w:val="32"/>
          <w:highlight w:val="none"/>
        </w:rPr>
      </w:pPr>
      <w:r>
        <w:rPr>
          <w:rFonts w:hint="eastAsia" w:ascii="仿宋" w:hAnsi="仿宋" w:eastAsia="仿宋" w:cs="宋体"/>
          <w:sz w:val="32"/>
          <w:szCs w:val="32"/>
          <w:highlight w:val="none"/>
        </w:rPr>
        <w:t>（1）拟购入</w:t>
      </w:r>
      <w:r>
        <w:rPr>
          <w:rFonts w:hint="eastAsia" w:ascii="仿宋" w:hAnsi="仿宋" w:eastAsia="仿宋" w:cs="宋体"/>
          <w:sz w:val="32"/>
          <w:szCs w:val="32"/>
          <w:highlight w:val="none"/>
          <w:lang w:eastAsia="zh-CN"/>
        </w:rPr>
        <w:t>不动产项目</w:t>
      </w:r>
      <w:r>
        <w:rPr>
          <w:rFonts w:hint="eastAsia" w:ascii="仿宋" w:hAnsi="仿宋" w:eastAsia="仿宋" w:cs="宋体"/>
          <w:sz w:val="32"/>
          <w:szCs w:val="32"/>
          <w:highlight w:val="none"/>
        </w:rPr>
        <w:t>基本情况。</w:t>
      </w:r>
    </w:p>
    <w:p>
      <w:pPr>
        <w:autoSpaceDE w:val="0"/>
        <w:autoSpaceDN w:val="0"/>
        <w:adjustRightInd w:val="0"/>
        <w:spacing w:line="560" w:lineRule="exact"/>
        <w:ind w:firstLine="640" w:firstLineChars="200"/>
        <w:jc w:val="left"/>
        <w:rPr>
          <w:rFonts w:ascii="仿宋" w:hAnsi="仿宋" w:eastAsia="仿宋" w:cs="宋体"/>
          <w:sz w:val="32"/>
          <w:szCs w:val="32"/>
          <w:highlight w:val="none"/>
        </w:rPr>
      </w:pPr>
      <w:r>
        <w:rPr>
          <w:rFonts w:hint="eastAsia" w:ascii="仿宋" w:hAnsi="仿宋" w:eastAsia="仿宋" w:cs="宋体"/>
          <w:sz w:val="32"/>
          <w:szCs w:val="32"/>
          <w:highlight w:val="none"/>
        </w:rPr>
        <w:t>（2）本次</w:t>
      </w:r>
      <w:r>
        <w:rPr>
          <w:rFonts w:hint="eastAsia" w:ascii="仿宋" w:hAnsi="仿宋" w:eastAsia="仿宋" w:cs="宋体"/>
          <w:sz w:val="32"/>
          <w:szCs w:val="32"/>
          <w:highlight w:val="none"/>
          <w:lang w:eastAsia="zh-CN"/>
        </w:rPr>
        <w:t>发售</w:t>
      </w:r>
      <w:r>
        <w:rPr>
          <w:rFonts w:hint="eastAsia" w:ascii="仿宋" w:hAnsi="仿宋" w:eastAsia="仿宋" w:cs="宋体"/>
          <w:sz w:val="32"/>
          <w:szCs w:val="32"/>
          <w:highlight w:val="none"/>
        </w:rPr>
        <w:t>基本情况。包括</w:t>
      </w:r>
      <w:r>
        <w:rPr>
          <w:rFonts w:hint="eastAsia" w:ascii="仿宋" w:hAnsi="仿宋" w:eastAsia="仿宋" w:cs="宋体"/>
          <w:sz w:val="32"/>
          <w:szCs w:val="32"/>
          <w:highlight w:val="none"/>
          <w:lang w:eastAsia="zh-CN"/>
        </w:rPr>
        <w:t>发售</w:t>
      </w:r>
      <w:r>
        <w:rPr>
          <w:rFonts w:hint="eastAsia" w:ascii="仿宋" w:hAnsi="仿宋" w:eastAsia="仿宋" w:cs="宋体"/>
          <w:sz w:val="32"/>
          <w:szCs w:val="32"/>
          <w:highlight w:val="none"/>
        </w:rPr>
        <w:t>份额、</w:t>
      </w:r>
      <w:r>
        <w:rPr>
          <w:rFonts w:hint="eastAsia" w:ascii="仿宋" w:hAnsi="仿宋" w:eastAsia="仿宋" w:cs="宋体"/>
          <w:sz w:val="32"/>
          <w:szCs w:val="32"/>
          <w:highlight w:val="none"/>
          <w:lang w:eastAsia="zh-CN"/>
        </w:rPr>
        <w:t>发售</w:t>
      </w:r>
      <w:r>
        <w:rPr>
          <w:rFonts w:hint="eastAsia" w:ascii="仿宋" w:hAnsi="仿宋" w:eastAsia="仿宋" w:cs="宋体"/>
          <w:sz w:val="32"/>
          <w:szCs w:val="32"/>
          <w:highlight w:val="none"/>
        </w:rPr>
        <w:t>价格或</w:t>
      </w:r>
      <w:r>
        <w:rPr>
          <w:rFonts w:ascii="仿宋" w:hAnsi="仿宋" w:eastAsia="仿宋" w:cs="宋体"/>
          <w:sz w:val="32"/>
          <w:szCs w:val="32"/>
          <w:highlight w:val="none"/>
        </w:rPr>
        <w:t>定价原则、</w:t>
      </w:r>
      <w:r>
        <w:rPr>
          <w:rFonts w:hint="eastAsia" w:ascii="仿宋" w:hAnsi="仿宋" w:eastAsia="仿宋" w:cs="宋体"/>
          <w:sz w:val="32"/>
          <w:szCs w:val="32"/>
          <w:highlight w:val="none"/>
          <w:lang w:eastAsia="zh-CN"/>
        </w:rPr>
        <w:t>发售</w:t>
      </w:r>
      <w:r>
        <w:rPr>
          <w:rFonts w:hint="eastAsia" w:ascii="仿宋" w:hAnsi="仿宋" w:eastAsia="仿宋" w:cs="宋体"/>
          <w:sz w:val="32"/>
          <w:szCs w:val="32"/>
          <w:highlight w:val="none"/>
        </w:rPr>
        <w:t>对象、</w:t>
      </w:r>
      <w:r>
        <w:rPr>
          <w:rFonts w:hint="eastAsia" w:ascii="仿宋" w:hAnsi="仿宋" w:eastAsia="仿宋" w:cs="宋体"/>
          <w:sz w:val="32"/>
          <w:szCs w:val="32"/>
          <w:highlight w:val="none"/>
          <w:lang w:eastAsia="zh-CN"/>
        </w:rPr>
        <w:t>发售</w:t>
      </w:r>
      <w:r>
        <w:rPr>
          <w:rFonts w:hint="eastAsia" w:ascii="仿宋" w:hAnsi="仿宋" w:eastAsia="仿宋" w:cs="宋体"/>
          <w:sz w:val="32"/>
          <w:szCs w:val="32"/>
          <w:highlight w:val="none"/>
        </w:rPr>
        <w:t>时间安排、申购配售缴款安排、追加</w:t>
      </w:r>
      <w:r>
        <w:rPr>
          <w:rFonts w:ascii="仿宋" w:hAnsi="仿宋" w:eastAsia="仿宋" w:cs="宋体"/>
          <w:sz w:val="32"/>
          <w:szCs w:val="32"/>
          <w:highlight w:val="none"/>
        </w:rPr>
        <w:t>认购安排</w:t>
      </w:r>
      <w:r>
        <w:rPr>
          <w:rFonts w:hint="eastAsia" w:ascii="仿宋" w:hAnsi="仿宋" w:eastAsia="仿宋" w:cs="宋体"/>
          <w:sz w:val="32"/>
          <w:szCs w:val="32"/>
          <w:highlight w:val="none"/>
        </w:rPr>
        <w:t>（如有）、中止</w:t>
      </w:r>
      <w:r>
        <w:rPr>
          <w:rFonts w:hint="eastAsia" w:ascii="仿宋" w:hAnsi="仿宋" w:eastAsia="仿宋" w:cs="宋体"/>
          <w:sz w:val="32"/>
          <w:szCs w:val="32"/>
          <w:highlight w:val="none"/>
          <w:lang w:eastAsia="zh-CN"/>
        </w:rPr>
        <w:t>发售</w:t>
      </w:r>
      <w:r>
        <w:rPr>
          <w:rFonts w:hint="eastAsia" w:ascii="仿宋" w:hAnsi="仿宋" w:eastAsia="仿宋" w:cs="宋体"/>
          <w:sz w:val="32"/>
          <w:szCs w:val="32"/>
          <w:highlight w:val="none"/>
        </w:rPr>
        <w:t>安排、</w:t>
      </w:r>
      <w:r>
        <w:rPr>
          <w:rFonts w:hint="eastAsia" w:ascii="仿宋" w:hAnsi="仿宋" w:eastAsia="仿宋" w:cs="宋体"/>
          <w:sz w:val="32"/>
          <w:szCs w:val="32"/>
          <w:highlight w:val="none"/>
          <w:lang w:eastAsia="zh-CN"/>
        </w:rPr>
        <w:t>发售</w:t>
      </w:r>
      <w:r>
        <w:rPr>
          <w:rFonts w:hint="eastAsia" w:ascii="仿宋" w:hAnsi="仿宋" w:eastAsia="仿宋" w:cs="宋体"/>
          <w:sz w:val="32"/>
          <w:szCs w:val="32"/>
          <w:highlight w:val="none"/>
        </w:rPr>
        <w:t>失败</w:t>
      </w:r>
      <w:r>
        <w:rPr>
          <w:rFonts w:ascii="仿宋" w:hAnsi="仿宋" w:eastAsia="仿宋" w:cs="宋体"/>
          <w:sz w:val="32"/>
          <w:szCs w:val="32"/>
          <w:highlight w:val="none"/>
        </w:rPr>
        <w:t>安排、</w:t>
      </w:r>
      <w:r>
        <w:rPr>
          <w:rFonts w:hint="eastAsia" w:ascii="仿宋" w:hAnsi="仿宋" w:eastAsia="仿宋" w:cs="宋体"/>
          <w:sz w:val="32"/>
          <w:szCs w:val="32"/>
          <w:highlight w:val="none"/>
        </w:rPr>
        <w:t>上市安排、限售情况等。针对报送拟发送认购邀请书对象名单后、启动</w:t>
      </w:r>
      <w:r>
        <w:rPr>
          <w:rFonts w:hint="eastAsia" w:ascii="仿宋" w:hAnsi="仿宋" w:eastAsia="仿宋" w:cs="宋体"/>
          <w:sz w:val="32"/>
          <w:szCs w:val="32"/>
          <w:highlight w:val="none"/>
          <w:lang w:eastAsia="zh-CN"/>
        </w:rPr>
        <w:t>发售</w:t>
      </w:r>
      <w:r>
        <w:rPr>
          <w:rFonts w:hint="eastAsia" w:ascii="仿宋" w:hAnsi="仿宋" w:eastAsia="仿宋" w:cs="宋体"/>
          <w:sz w:val="32"/>
          <w:szCs w:val="32"/>
          <w:highlight w:val="none"/>
        </w:rPr>
        <w:t>前，或者发送认购邀请书后、竞价开始前，新增认购对象的情形，</w:t>
      </w:r>
      <w:r>
        <w:rPr>
          <w:rFonts w:hint="eastAsia" w:ascii="仿宋" w:hAnsi="仿宋" w:eastAsia="仿宋" w:cs="宋体"/>
          <w:sz w:val="32"/>
          <w:szCs w:val="32"/>
          <w:highlight w:val="none"/>
          <w:lang w:eastAsia="zh-CN"/>
        </w:rPr>
        <w:t>发售</w:t>
      </w:r>
      <w:r>
        <w:rPr>
          <w:rFonts w:hint="eastAsia" w:ascii="仿宋" w:hAnsi="仿宋" w:eastAsia="仿宋" w:cs="宋体"/>
          <w:sz w:val="32"/>
          <w:szCs w:val="32"/>
          <w:highlight w:val="none"/>
        </w:rPr>
        <w:t>方案</w:t>
      </w:r>
      <w:r>
        <w:rPr>
          <w:rFonts w:ascii="仿宋" w:hAnsi="仿宋" w:eastAsia="仿宋" w:cs="宋体"/>
          <w:sz w:val="32"/>
          <w:szCs w:val="32"/>
          <w:highlight w:val="none"/>
        </w:rPr>
        <w:t>可以约定相应</w:t>
      </w:r>
      <w:r>
        <w:rPr>
          <w:rFonts w:hint="eastAsia" w:ascii="仿宋" w:hAnsi="仿宋" w:eastAsia="仿宋" w:cs="宋体"/>
          <w:sz w:val="32"/>
          <w:szCs w:val="32"/>
          <w:highlight w:val="none"/>
        </w:rPr>
        <w:t>处理原则和程序等。</w:t>
      </w:r>
    </w:p>
    <w:p>
      <w:pPr>
        <w:autoSpaceDE w:val="0"/>
        <w:autoSpaceDN w:val="0"/>
        <w:adjustRightInd w:val="0"/>
        <w:spacing w:line="560" w:lineRule="exact"/>
        <w:ind w:firstLine="640" w:firstLineChars="200"/>
        <w:jc w:val="left"/>
        <w:rPr>
          <w:rFonts w:ascii="仿宋" w:hAnsi="仿宋" w:eastAsia="仿宋" w:cs="宋体"/>
          <w:sz w:val="32"/>
          <w:szCs w:val="32"/>
          <w:highlight w:val="none"/>
        </w:rPr>
      </w:pPr>
      <w:r>
        <w:rPr>
          <w:rFonts w:hint="eastAsia" w:ascii="仿宋" w:hAnsi="仿宋" w:eastAsia="仿宋" w:cs="宋体"/>
          <w:sz w:val="32"/>
          <w:szCs w:val="32"/>
          <w:highlight w:val="none"/>
        </w:rPr>
        <w:t>基金份额持有人大会决议确定发售对象的</w:t>
      </w:r>
      <w:r>
        <w:rPr>
          <w:rFonts w:ascii="仿宋" w:hAnsi="仿宋" w:eastAsia="仿宋" w:cs="宋体"/>
          <w:sz w:val="32"/>
          <w:szCs w:val="32"/>
          <w:highlight w:val="none"/>
        </w:rPr>
        <w:t>，</w:t>
      </w:r>
      <w:r>
        <w:rPr>
          <w:rFonts w:hint="eastAsia" w:ascii="仿宋" w:hAnsi="仿宋" w:eastAsia="仿宋" w:cs="宋体"/>
          <w:sz w:val="32"/>
          <w:szCs w:val="32"/>
          <w:highlight w:val="none"/>
        </w:rPr>
        <w:t>需</w:t>
      </w:r>
      <w:r>
        <w:rPr>
          <w:rFonts w:ascii="仿宋" w:hAnsi="仿宋" w:eastAsia="仿宋" w:cs="宋体"/>
          <w:sz w:val="32"/>
          <w:szCs w:val="32"/>
          <w:highlight w:val="none"/>
        </w:rPr>
        <w:t>在发</w:t>
      </w:r>
      <w:r>
        <w:rPr>
          <w:rFonts w:hint="eastAsia" w:ascii="仿宋" w:hAnsi="仿宋" w:eastAsia="仿宋" w:cs="宋体"/>
          <w:sz w:val="32"/>
          <w:szCs w:val="32"/>
          <w:highlight w:val="none"/>
        </w:rPr>
        <w:t>售</w:t>
      </w:r>
      <w:r>
        <w:rPr>
          <w:rFonts w:ascii="仿宋" w:hAnsi="仿宋" w:eastAsia="仿宋" w:cs="宋体"/>
          <w:sz w:val="32"/>
          <w:szCs w:val="32"/>
          <w:highlight w:val="none"/>
        </w:rPr>
        <w:t>方案中披露</w:t>
      </w:r>
      <w:r>
        <w:rPr>
          <w:rFonts w:hint="eastAsia" w:ascii="仿宋" w:hAnsi="仿宋" w:eastAsia="仿宋" w:cs="宋体"/>
          <w:sz w:val="32"/>
          <w:szCs w:val="32"/>
          <w:highlight w:val="none"/>
        </w:rPr>
        <w:t>已</w:t>
      </w:r>
      <w:r>
        <w:rPr>
          <w:rFonts w:ascii="仿宋" w:hAnsi="仿宋" w:eastAsia="仿宋" w:cs="宋体"/>
          <w:sz w:val="32"/>
          <w:szCs w:val="32"/>
          <w:highlight w:val="none"/>
        </w:rPr>
        <w:t>确定</w:t>
      </w:r>
      <w:r>
        <w:rPr>
          <w:rFonts w:hint="eastAsia" w:ascii="仿宋" w:hAnsi="仿宋" w:eastAsia="仿宋" w:cs="宋体"/>
          <w:sz w:val="32"/>
          <w:szCs w:val="32"/>
          <w:highlight w:val="none"/>
          <w:lang w:eastAsia="zh-CN"/>
        </w:rPr>
        <w:t>发售</w:t>
      </w:r>
      <w:r>
        <w:rPr>
          <w:rFonts w:hint="eastAsia" w:ascii="仿宋" w:hAnsi="仿宋" w:eastAsia="仿宋" w:cs="宋体"/>
          <w:sz w:val="32"/>
          <w:szCs w:val="32"/>
          <w:highlight w:val="none"/>
        </w:rPr>
        <w:t>对象</w:t>
      </w:r>
      <w:r>
        <w:rPr>
          <w:rFonts w:ascii="仿宋" w:hAnsi="仿宋" w:eastAsia="仿宋" w:cs="宋体"/>
          <w:sz w:val="32"/>
          <w:szCs w:val="32"/>
          <w:highlight w:val="none"/>
        </w:rPr>
        <w:t>的基本情况、认购数量或金额</w:t>
      </w:r>
      <w:r>
        <w:rPr>
          <w:rFonts w:hint="eastAsia" w:ascii="仿宋" w:hAnsi="仿宋" w:eastAsia="仿宋" w:cs="宋体"/>
          <w:sz w:val="32"/>
          <w:szCs w:val="32"/>
          <w:highlight w:val="none"/>
        </w:rPr>
        <w:t>、</w:t>
      </w:r>
      <w:r>
        <w:rPr>
          <w:rFonts w:ascii="仿宋" w:hAnsi="仿宋" w:eastAsia="仿宋" w:cs="宋体"/>
          <w:sz w:val="32"/>
          <w:szCs w:val="32"/>
          <w:highlight w:val="none"/>
        </w:rPr>
        <w:t>已签署的附生效条件</w:t>
      </w:r>
      <w:r>
        <w:rPr>
          <w:rFonts w:hint="eastAsia" w:ascii="仿宋" w:hAnsi="仿宋" w:eastAsia="仿宋" w:cs="宋体"/>
          <w:sz w:val="32"/>
          <w:szCs w:val="32"/>
          <w:highlight w:val="none"/>
        </w:rPr>
        <w:t>基金份额</w:t>
      </w:r>
      <w:r>
        <w:rPr>
          <w:rFonts w:ascii="仿宋" w:hAnsi="仿宋" w:eastAsia="仿宋" w:cs="宋体"/>
          <w:sz w:val="32"/>
          <w:szCs w:val="32"/>
          <w:highlight w:val="none"/>
        </w:rPr>
        <w:t>认购合同摘要</w:t>
      </w:r>
      <w:r>
        <w:rPr>
          <w:rFonts w:hint="eastAsia" w:ascii="仿宋" w:hAnsi="仿宋" w:eastAsia="仿宋" w:cs="宋体"/>
          <w:sz w:val="32"/>
          <w:szCs w:val="32"/>
          <w:highlight w:val="none"/>
        </w:rPr>
        <w:t>。</w:t>
      </w:r>
    </w:p>
    <w:p>
      <w:pPr>
        <w:autoSpaceDE w:val="0"/>
        <w:autoSpaceDN w:val="0"/>
        <w:adjustRightInd w:val="0"/>
        <w:spacing w:line="560" w:lineRule="exact"/>
        <w:ind w:firstLine="640" w:firstLineChars="200"/>
        <w:jc w:val="left"/>
        <w:rPr>
          <w:rFonts w:ascii="仿宋" w:hAnsi="仿宋" w:eastAsia="仿宋" w:cs="宋体"/>
          <w:sz w:val="32"/>
          <w:szCs w:val="32"/>
          <w:highlight w:val="none"/>
        </w:rPr>
      </w:pPr>
      <w:r>
        <w:rPr>
          <w:rFonts w:hint="eastAsia" w:ascii="仿宋" w:hAnsi="仿宋" w:eastAsia="仿宋" w:cs="宋体"/>
          <w:sz w:val="32"/>
          <w:szCs w:val="32"/>
          <w:highlight w:val="none"/>
        </w:rPr>
        <w:t>（3）</w:t>
      </w:r>
      <w:r>
        <w:rPr>
          <w:rFonts w:hint="eastAsia" w:ascii="仿宋" w:hAnsi="仿宋" w:eastAsia="仿宋" w:cs="宋体"/>
          <w:sz w:val="32"/>
          <w:szCs w:val="32"/>
          <w:highlight w:val="none"/>
          <w:lang w:eastAsia="zh-CN"/>
        </w:rPr>
        <w:t>发售</w:t>
      </w:r>
      <w:r>
        <w:rPr>
          <w:rFonts w:hint="eastAsia" w:ascii="仿宋" w:hAnsi="仿宋" w:eastAsia="仿宋" w:cs="宋体"/>
          <w:sz w:val="32"/>
          <w:szCs w:val="32"/>
          <w:highlight w:val="none"/>
        </w:rPr>
        <w:t>准备工作，如竞价</w:t>
      </w:r>
      <w:r>
        <w:rPr>
          <w:rFonts w:ascii="仿宋" w:hAnsi="仿宋" w:eastAsia="仿宋" w:cs="宋体"/>
          <w:sz w:val="32"/>
          <w:szCs w:val="32"/>
          <w:highlight w:val="none"/>
        </w:rPr>
        <w:t>安排、投资者适当性要求等</w:t>
      </w:r>
      <w:r>
        <w:rPr>
          <w:rFonts w:hint="eastAsia" w:ascii="仿宋" w:hAnsi="仿宋" w:eastAsia="仿宋" w:cs="宋体"/>
          <w:sz w:val="32"/>
          <w:szCs w:val="32"/>
          <w:highlight w:val="none"/>
        </w:rPr>
        <w:t>。</w:t>
      </w:r>
    </w:p>
    <w:p>
      <w:pPr>
        <w:autoSpaceDE w:val="0"/>
        <w:autoSpaceDN w:val="0"/>
        <w:adjustRightInd w:val="0"/>
        <w:spacing w:line="560" w:lineRule="exact"/>
        <w:ind w:firstLine="640" w:firstLineChars="200"/>
        <w:jc w:val="left"/>
        <w:rPr>
          <w:rFonts w:ascii="仿宋" w:hAnsi="仿宋" w:eastAsia="仿宋" w:cs="宋体"/>
          <w:sz w:val="32"/>
          <w:szCs w:val="32"/>
          <w:highlight w:val="none"/>
        </w:rPr>
      </w:pPr>
      <w:r>
        <w:rPr>
          <w:rFonts w:hint="eastAsia" w:ascii="仿宋" w:hAnsi="仿宋" w:eastAsia="仿宋" w:cs="宋体"/>
          <w:sz w:val="32"/>
          <w:szCs w:val="32"/>
          <w:highlight w:val="none"/>
        </w:rPr>
        <w:t>（4）</w:t>
      </w:r>
      <w:r>
        <w:rPr>
          <w:rFonts w:hint="eastAsia" w:ascii="仿宋" w:hAnsi="仿宋" w:eastAsia="仿宋" w:cs="宋体"/>
          <w:sz w:val="32"/>
          <w:szCs w:val="32"/>
          <w:highlight w:val="none"/>
          <w:lang w:eastAsia="zh-CN"/>
        </w:rPr>
        <w:t>发售</w:t>
      </w:r>
      <w:r>
        <w:rPr>
          <w:rFonts w:hint="eastAsia" w:ascii="仿宋" w:hAnsi="仿宋" w:eastAsia="仿宋" w:cs="宋体"/>
          <w:sz w:val="32"/>
          <w:szCs w:val="32"/>
          <w:highlight w:val="none"/>
        </w:rPr>
        <w:t>可能遇到的问题和拟采取的措施。</w:t>
      </w:r>
    </w:p>
    <w:p>
      <w:pPr>
        <w:autoSpaceDE w:val="0"/>
        <w:autoSpaceDN w:val="0"/>
        <w:adjustRightInd w:val="0"/>
        <w:spacing w:line="560" w:lineRule="exact"/>
        <w:ind w:firstLine="640" w:firstLineChars="200"/>
        <w:jc w:val="left"/>
        <w:rPr>
          <w:rFonts w:ascii="仿宋" w:hAnsi="仿宋" w:eastAsia="仿宋" w:cs="宋体"/>
          <w:sz w:val="32"/>
          <w:szCs w:val="32"/>
          <w:highlight w:val="none"/>
        </w:rPr>
      </w:pPr>
      <w:r>
        <w:rPr>
          <w:rFonts w:hint="eastAsia" w:ascii="仿宋" w:hAnsi="仿宋" w:eastAsia="仿宋" w:cs="宋体"/>
          <w:sz w:val="32"/>
          <w:szCs w:val="32"/>
          <w:highlight w:val="none"/>
        </w:rPr>
        <w:t>（5）根据法律法规、业务规则等需要说明的其他事项，以及基金管理人</w:t>
      </w:r>
      <w:r>
        <w:rPr>
          <w:rFonts w:hint="eastAsia" w:ascii="仿宋" w:hAnsi="仿宋" w:eastAsia="仿宋" w:cs="宋体"/>
          <w:sz w:val="32"/>
          <w:szCs w:val="32"/>
          <w:highlight w:val="none"/>
          <w:lang w:eastAsia="zh-CN"/>
        </w:rPr>
        <w:t>、</w:t>
      </w:r>
      <w:r>
        <w:rPr>
          <w:rFonts w:hint="eastAsia" w:ascii="仿宋" w:hAnsi="仿宋" w:eastAsia="仿宋" w:cs="宋体"/>
          <w:sz w:val="32"/>
          <w:szCs w:val="32"/>
          <w:highlight w:val="none"/>
        </w:rPr>
        <w:t>财务顾问</w:t>
      </w:r>
      <w:r>
        <w:rPr>
          <w:rFonts w:hint="eastAsia" w:ascii="仿宋" w:hAnsi="仿宋" w:eastAsia="仿宋" w:cs="宋体"/>
          <w:sz w:val="32"/>
          <w:szCs w:val="32"/>
          <w:highlight w:val="none"/>
          <w:lang w:eastAsia="zh-CN"/>
        </w:rPr>
        <w:t>（如有）</w:t>
      </w:r>
      <w:r>
        <w:rPr>
          <w:rFonts w:ascii="仿宋" w:hAnsi="仿宋" w:eastAsia="仿宋" w:cs="宋体"/>
          <w:sz w:val="32"/>
          <w:szCs w:val="32"/>
          <w:highlight w:val="none"/>
        </w:rPr>
        <w:t>认为需要说明的</w:t>
      </w:r>
      <w:r>
        <w:rPr>
          <w:rFonts w:hint="eastAsia" w:ascii="仿宋" w:hAnsi="仿宋" w:eastAsia="仿宋" w:cs="宋体"/>
          <w:sz w:val="32"/>
          <w:szCs w:val="32"/>
          <w:highlight w:val="none"/>
        </w:rPr>
        <w:t>相关</w:t>
      </w:r>
      <w:r>
        <w:rPr>
          <w:rFonts w:ascii="仿宋" w:hAnsi="仿宋" w:eastAsia="仿宋" w:cs="宋体"/>
          <w:sz w:val="32"/>
          <w:szCs w:val="32"/>
          <w:highlight w:val="none"/>
        </w:rPr>
        <w:t>事项</w:t>
      </w:r>
      <w:r>
        <w:rPr>
          <w:rFonts w:hint="eastAsia" w:ascii="仿宋" w:hAnsi="仿宋" w:eastAsia="仿宋" w:cs="宋体"/>
          <w:sz w:val="32"/>
          <w:szCs w:val="32"/>
          <w:highlight w:val="none"/>
        </w:rPr>
        <w:t>。</w:t>
      </w:r>
    </w:p>
    <w:p>
      <w:pPr>
        <w:autoSpaceDE w:val="0"/>
        <w:autoSpaceDN w:val="0"/>
        <w:adjustRightInd w:val="0"/>
        <w:spacing w:line="560" w:lineRule="exact"/>
        <w:ind w:firstLine="640" w:firstLineChars="200"/>
        <w:jc w:val="left"/>
        <w:rPr>
          <w:rFonts w:ascii="仿宋" w:hAnsi="仿宋" w:eastAsia="仿宋" w:cs="宋体"/>
          <w:sz w:val="32"/>
          <w:szCs w:val="32"/>
          <w:highlight w:val="none"/>
        </w:rPr>
      </w:pPr>
      <w:r>
        <w:rPr>
          <w:rFonts w:hint="eastAsia" w:ascii="仿宋" w:hAnsi="仿宋" w:eastAsia="仿宋" w:cs="宋体"/>
          <w:sz w:val="32"/>
          <w:szCs w:val="32"/>
          <w:highlight w:val="none"/>
        </w:rPr>
        <w:t>（6）基金管理人及财务顾问</w:t>
      </w:r>
      <w:r>
        <w:rPr>
          <w:rFonts w:hint="eastAsia" w:ascii="仿宋" w:hAnsi="仿宋" w:eastAsia="仿宋" w:cs="宋体"/>
          <w:sz w:val="32"/>
          <w:szCs w:val="32"/>
          <w:highlight w:val="none"/>
          <w:lang w:eastAsia="zh-CN"/>
        </w:rPr>
        <w:t>（如有）</w:t>
      </w:r>
      <w:r>
        <w:rPr>
          <w:rFonts w:hint="eastAsia" w:ascii="仿宋" w:hAnsi="仿宋" w:eastAsia="仿宋" w:cs="宋体"/>
          <w:sz w:val="32"/>
          <w:szCs w:val="32"/>
          <w:highlight w:val="none"/>
        </w:rPr>
        <w:t>联系方式。</w:t>
      </w:r>
    </w:p>
    <w:p>
      <w:pPr>
        <w:autoSpaceDE w:val="0"/>
        <w:autoSpaceDN w:val="0"/>
        <w:adjustRightInd w:val="0"/>
        <w:spacing w:line="56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2．中国证监会准予基金变更注册的批文（扫描件）。</w:t>
      </w:r>
    </w:p>
    <w:p>
      <w:pPr>
        <w:autoSpaceDE w:val="0"/>
        <w:autoSpaceDN w:val="0"/>
        <w:adjustRightInd w:val="0"/>
        <w:spacing w:line="560" w:lineRule="exact"/>
        <w:ind w:firstLine="640" w:firstLineChars="200"/>
        <w:jc w:val="left"/>
        <w:rPr>
          <w:rFonts w:ascii="仿宋" w:eastAsia="仿宋" w:cs="仿宋"/>
          <w:kern w:val="0"/>
          <w:sz w:val="32"/>
          <w:szCs w:val="32"/>
          <w:highlight w:val="none"/>
        </w:rPr>
      </w:pPr>
      <w:r>
        <w:rPr>
          <w:rFonts w:hint="eastAsia" w:ascii="仿宋" w:hAnsi="仿宋" w:eastAsia="仿宋"/>
          <w:sz w:val="32"/>
          <w:szCs w:val="32"/>
          <w:highlight w:val="none"/>
        </w:rPr>
        <w:t>3．</w:t>
      </w:r>
      <w:r>
        <w:rPr>
          <w:rFonts w:hint="eastAsia" w:ascii="仿宋" w:hAnsi="仿宋" w:eastAsia="仿宋"/>
          <w:bCs/>
          <w:sz w:val="32"/>
          <w:szCs w:val="32"/>
          <w:highlight w:val="none"/>
        </w:rPr>
        <w:t>认购邀请书</w:t>
      </w:r>
      <w:r>
        <w:rPr>
          <w:rFonts w:hint="eastAsia" w:ascii="仿宋" w:hAnsi="仿宋" w:eastAsia="仿宋"/>
          <w:bCs/>
          <w:sz w:val="32"/>
          <w:szCs w:val="32"/>
          <w:highlight w:val="none"/>
          <w:lang w:val="en-US" w:eastAsia="zh-CN"/>
        </w:rPr>
        <w:t>[</w:t>
      </w:r>
      <w:r>
        <w:rPr>
          <w:rFonts w:hint="eastAsia" w:ascii="仿宋" w:eastAsia="仿宋" w:cs="仿宋"/>
          <w:kern w:val="0"/>
          <w:sz w:val="32"/>
          <w:szCs w:val="32"/>
          <w:highlight w:val="none"/>
        </w:rPr>
        <w:t>基金管理人、财务顾问</w:t>
      </w:r>
      <w:r>
        <w:rPr>
          <w:rFonts w:hint="eastAsia" w:ascii="仿宋" w:eastAsia="仿宋" w:cs="仿宋"/>
          <w:kern w:val="0"/>
          <w:sz w:val="32"/>
          <w:szCs w:val="32"/>
          <w:highlight w:val="none"/>
          <w:lang w:eastAsia="zh-CN"/>
        </w:rPr>
        <w:t>（如有）</w:t>
      </w:r>
      <w:r>
        <w:rPr>
          <w:rFonts w:hint="eastAsia" w:ascii="仿宋" w:eastAsia="仿宋" w:cs="仿宋"/>
          <w:kern w:val="0"/>
          <w:sz w:val="32"/>
          <w:szCs w:val="32"/>
          <w:highlight w:val="none"/>
        </w:rPr>
        <w:t>盖章扫描件</w:t>
      </w:r>
      <w:r>
        <w:rPr>
          <w:rFonts w:hint="eastAsia" w:ascii="仿宋" w:hAnsi="仿宋" w:eastAsia="仿宋"/>
          <w:bCs/>
          <w:sz w:val="32"/>
          <w:szCs w:val="32"/>
          <w:highlight w:val="none"/>
          <w:lang w:val="en-US" w:eastAsia="zh-CN"/>
        </w:rPr>
        <w:t>]</w:t>
      </w:r>
      <w:r>
        <w:rPr>
          <w:rFonts w:hint="eastAsia" w:ascii="仿宋" w:hAnsi="仿宋" w:eastAsia="仿宋"/>
          <w:sz w:val="32"/>
          <w:szCs w:val="32"/>
          <w:highlight w:val="none"/>
        </w:rPr>
        <w:t>。</w:t>
      </w:r>
    </w:p>
    <w:p>
      <w:pPr>
        <w:snapToGrid w:val="0"/>
        <w:spacing w:line="560" w:lineRule="exact"/>
        <w:ind w:firstLine="640" w:firstLineChars="200"/>
        <w:jc w:val="left"/>
        <w:rPr>
          <w:rFonts w:ascii="仿宋" w:hAnsi="仿宋" w:eastAsia="仿宋"/>
          <w:sz w:val="32"/>
          <w:szCs w:val="32"/>
          <w:highlight w:val="none"/>
        </w:rPr>
      </w:pPr>
      <w:r>
        <w:rPr>
          <w:rFonts w:hint="eastAsia" w:ascii="仿宋" w:eastAsia="仿宋" w:cs="仿宋"/>
          <w:kern w:val="0"/>
          <w:sz w:val="32"/>
          <w:szCs w:val="32"/>
          <w:highlight w:val="none"/>
        </w:rPr>
        <w:t>4</w:t>
      </w:r>
      <w:r>
        <w:rPr>
          <w:rFonts w:hint="eastAsia" w:ascii="仿宋" w:hAnsi="仿宋" w:eastAsia="仿宋"/>
          <w:sz w:val="32"/>
          <w:szCs w:val="32"/>
          <w:highlight w:val="none"/>
        </w:rPr>
        <w:t>．</w:t>
      </w:r>
      <w:r>
        <w:rPr>
          <w:rFonts w:hint="eastAsia" w:ascii="仿宋" w:hAnsi="仿宋" w:eastAsia="仿宋"/>
          <w:bCs/>
          <w:sz w:val="32"/>
          <w:szCs w:val="32"/>
          <w:highlight w:val="none"/>
        </w:rPr>
        <w:t>拟发送认购邀请书名单</w:t>
      </w:r>
      <w:r>
        <w:rPr>
          <w:rFonts w:hint="eastAsia" w:ascii="仿宋" w:hAnsi="仿宋" w:eastAsia="仿宋"/>
          <w:bCs/>
          <w:sz w:val="32"/>
          <w:szCs w:val="32"/>
          <w:highlight w:val="none"/>
          <w:lang w:val="en-US" w:eastAsia="zh-CN"/>
        </w:rPr>
        <w:t>[</w:t>
      </w:r>
      <w:r>
        <w:rPr>
          <w:rFonts w:hint="eastAsia" w:ascii="仿宋" w:eastAsia="仿宋" w:cs="仿宋"/>
          <w:kern w:val="0"/>
          <w:sz w:val="32"/>
          <w:szCs w:val="32"/>
          <w:highlight w:val="none"/>
        </w:rPr>
        <w:t>基金管理人、财务顾问</w:t>
      </w:r>
      <w:r>
        <w:rPr>
          <w:rFonts w:hint="eastAsia" w:ascii="仿宋" w:eastAsia="仿宋" w:cs="仿宋"/>
          <w:kern w:val="0"/>
          <w:sz w:val="32"/>
          <w:szCs w:val="32"/>
          <w:highlight w:val="none"/>
          <w:lang w:eastAsia="zh-CN"/>
        </w:rPr>
        <w:t>（</w:t>
      </w:r>
      <w:r>
        <w:rPr>
          <w:rFonts w:hint="eastAsia" w:ascii="仿宋" w:hAnsi="仿宋" w:eastAsia="仿宋"/>
          <w:bCs/>
          <w:sz w:val="32"/>
          <w:szCs w:val="32"/>
          <w:highlight w:val="none"/>
        </w:rPr>
        <w:t>如有</w:t>
      </w:r>
      <w:r>
        <w:rPr>
          <w:rFonts w:hint="eastAsia" w:ascii="仿宋" w:eastAsia="仿宋" w:cs="仿宋"/>
          <w:kern w:val="0"/>
          <w:sz w:val="32"/>
          <w:szCs w:val="32"/>
          <w:highlight w:val="none"/>
          <w:lang w:eastAsia="zh-CN"/>
        </w:rPr>
        <w:t>）</w:t>
      </w:r>
      <w:r>
        <w:rPr>
          <w:rFonts w:hint="eastAsia" w:ascii="仿宋" w:eastAsia="仿宋" w:cs="仿宋"/>
          <w:kern w:val="0"/>
          <w:sz w:val="32"/>
          <w:szCs w:val="32"/>
          <w:highlight w:val="none"/>
        </w:rPr>
        <w:t>盖章扫描件</w:t>
      </w:r>
      <w:r>
        <w:rPr>
          <w:rFonts w:hint="eastAsia" w:ascii="仿宋" w:hAnsi="仿宋" w:eastAsia="仿宋"/>
          <w:bCs/>
          <w:sz w:val="32"/>
          <w:szCs w:val="32"/>
          <w:highlight w:val="none"/>
          <w:lang w:val="en-US" w:eastAsia="zh-CN"/>
        </w:rPr>
        <w:t>]</w:t>
      </w:r>
      <w:r>
        <w:rPr>
          <w:rFonts w:hint="eastAsia" w:ascii="仿宋" w:hAnsi="仿宋" w:eastAsia="仿宋"/>
          <w:sz w:val="32"/>
          <w:szCs w:val="32"/>
          <w:highlight w:val="none"/>
        </w:rPr>
        <w:t>。</w:t>
      </w:r>
    </w:p>
    <w:p>
      <w:pPr>
        <w:autoSpaceDE w:val="0"/>
        <w:autoSpaceDN w:val="0"/>
        <w:adjustRightInd w:val="0"/>
        <w:spacing w:line="560" w:lineRule="exact"/>
        <w:ind w:firstLine="640" w:firstLineChars="200"/>
        <w:rPr>
          <w:rFonts w:ascii="仿宋" w:eastAsia="仿宋" w:cs="仿宋"/>
          <w:kern w:val="0"/>
          <w:sz w:val="32"/>
          <w:szCs w:val="32"/>
          <w:highlight w:val="none"/>
        </w:rPr>
      </w:pPr>
      <w:r>
        <w:rPr>
          <w:rFonts w:hint="eastAsia" w:ascii="仿宋" w:eastAsia="仿宋" w:cs="仿宋"/>
          <w:kern w:val="0"/>
          <w:sz w:val="32"/>
          <w:szCs w:val="32"/>
          <w:highlight w:val="none"/>
        </w:rPr>
        <w:t>5</w:t>
      </w:r>
      <w:r>
        <w:rPr>
          <w:rFonts w:hint="eastAsia" w:ascii="仿宋" w:hAnsi="仿宋" w:eastAsia="仿宋"/>
          <w:sz w:val="32"/>
          <w:szCs w:val="32"/>
          <w:highlight w:val="none"/>
        </w:rPr>
        <w:t>．</w:t>
      </w:r>
      <w:r>
        <w:rPr>
          <w:rFonts w:hint="eastAsia" w:ascii="仿宋" w:eastAsia="仿宋" w:cs="仿宋"/>
          <w:kern w:val="0"/>
          <w:sz w:val="32"/>
          <w:szCs w:val="32"/>
          <w:highlight w:val="none"/>
        </w:rPr>
        <w:t>发售上市期间报送文件的相关承诺</w:t>
      </w:r>
      <w:r>
        <w:rPr>
          <w:rFonts w:hint="eastAsia" w:ascii="仿宋" w:eastAsia="仿宋" w:cs="仿宋"/>
          <w:kern w:val="0"/>
          <w:sz w:val="32"/>
          <w:szCs w:val="32"/>
          <w:highlight w:val="none"/>
          <w:lang w:val="en-US" w:eastAsia="zh-CN"/>
        </w:rPr>
        <w:t>[</w:t>
      </w:r>
      <w:r>
        <w:rPr>
          <w:rFonts w:hint="eastAsia" w:ascii="仿宋" w:eastAsia="仿宋" w:cs="仿宋"/>
          <w:kern w:val="0"/>
          <w:sz w:val="32"/>
          <w:szCs w:val="32"/>
          <w:highlight w:val="none"/>
        </w:rPr>
        <w:t>基金管理人、财务顾问</w:t>
      </w:r>
      <w:r>
        <w:rPr>
          <w:rFonts w:hint="eastAsia" w:ascii="仿宋" w:eastAsia="仿宋" w:cs="仿宋"/>
          <w:kern w:val="0"/>
          <w:sz w:val="32"/>
          <w:szCs w:val="32"/>
          <w:highlight w:val="none"/>
          <w:lang w:eastAsia="zh-CN"/>
        </w:rPr>
        <w:t>（</w:t>
      </w:r>
      <w:r>
        <w:rPr>
          <w:rFonts w:hint="eastAsia" w:ascii="仿宋" w:eastAsia="仿宋" w:cs="仿宋"/>
          <w:kern w:val="0"/>
          <w:sz w:val="32"/>
          <w:szCs w:val="32"/>
          <w:highlight w:val="none"/>
        </w:rPr>
        <w:t>如有</w:t>
      </w:r>
      <w:r>
        <w:rPr>
          <w:rFonts w:hint="eastAsia" w:ascii="仿宋" w:eastAsia="仿宋" w:cs="仿宋"/>
          <w:kern w:val="0"/>
          <w:sz w:val="32"/>
          <w:szCs w:val="32"/>
          <w:highlight w:val="none"/>
          <w:lang w:eastAsia="zh-CN"/>
        </w:rPr>
        <w:t>）</w:t>
      </w:r>
      <w:r>
        <w:rPr>
          <w:rFonts w:hint="eastAsia" w:ascii="仿宋" w:eastAsia="仿宋" w:cs="仿宋"/>
          <w:kern w:val="0"/>
          <w:sz w:val="32"/>
          <w:szCs w:val="32"/>
          <w:highlight w:val="none"/>
        </w:rPr>
        <w:t>盖章扫描件</w:t>
      </w:r>
      <w:r>
        <w:rPr>
          <w:rFonts w:hint="eastAsia" w:ascii="仿宋" w:eastAsia="仿宋" w:cs="仿宋"/>
          <w:kern w:val="0"/>
          <w:sz w:val="32"/>
          <w:szCs w:val="32"/>
          <w:highlight w:val="none"/>
          <w:lang w:val="en-US" w:eastAsia="zh-CN"/>
        </w:rPr>
        <w:t>]</w:t>
      </w:r>
      <w:r>
        <w:rPr>
          <w:rFonts w:hint="eastAsia" w:ascii="仿宋" w:eastAsia="仿宋" w:cs="仿宋"/>
          <w:kern w:val="0"/>
          <w:sz w:val="32"/>
          <w:szCs w:val="32"/>
          <w:highlight w:val="none"/>
        </w:rPr>
        <w:t>，承诺内容应包括发售上市期间向本所报送的文件与向投资者提供的纸质文件和电子文件内容一致，与经本所审核、对外披露的公告内容一致。全套申请材料不存在虚假记载、误导性陈述或重大遗漏，基金管理人、财务顾问（如有）对材料的真实性、准确性和完整性承担相应法律责任。</w:t>
      </w:r>
    </w:p>
    <w:p>
      <w:pPr>
        <w:autoSpaceDE w:val="0"/>
        <w:autoSpaceDN w:val="0"/>
        <w:adjustRightInd w:val="0"/>
        <w:spacing w:line="560" w:lineRule="exact"/>
        <w:ind w:firstLine="640" w:firstLineChars="200"/>
        <w:rPr>
          <w:rFonts w:ascii="仿宋" w:eastAsia="仿宋" w:cs="仿宋"/>
          <w:kern w:val="0"/>
          <w:sz w:val="32"/>
          <w:szCs w:val="32"/>
          <w:highlight w:val="none"/>
        </w:rPr>
      </w:pPr>
      <w:r>
        <w:rPr>
          <w:rFonts w:hint="eastAsia" w:ascii="仿宋" w:eastAsia="仿宋" w:cs="仿宋"/>
          <w:kern w:val="0"/>
          <w:sz w:val="32"/>
          <w:szCs w:val="32"/>
          <w:highlight w:val="none"/>
        </w:rPr>
        <w:t>6</w:t>
      </w:r>
      <w:r>
        <w:rPr>
          <w:rFonts w:hint="eastAsia" w:ascii="仿宋" w:hAnsi="仿宋" w:eastAsia="仿宋"/>
          <w:sz w:val="32"/>
          <w:szCs w:val="32"/>
          <w:highlight w:val="none"/>
        </w:rPr>
        <w:t>．</w:t>
      </w:r>
      <w:r>
        <w:rPr>
          <w:rFonts w:hint="eastAsia" w:ascii="仿宋" w:eastAsia="仿宋" w:cs="仿宋"/>
          <w:kern w:val="0"/>
          <w:sz w:val="32"/>
          <w:szCs w:val="32"/>
          <w:highlight w:val="none"/>
        </w:rPr>
        <w:t>其他文件（如有）</w:t>
      </w:r>
      <w:r>
        <w:rPr>
          <w:rFonts w:ascii="仿宋" w:hAnsi="仿宋" w:eastAsia="仿宋"/>
          <w:bCs/>
          <w:sz w:val="32"/>
          <w:szCs w:val="32"/>
          <w:highlight w:val="none"/>
        </w:rPr>
        <w:t>。</w:t>
      </w:r>
    </w:p>
    <w:p>
      <w:pPr>
        <w:spacing w:line="560" w:lineRule="exact"/>
        <w:ind w:firstLine="640" w:firstLineChars="200"/>
        <w:rPr>
          <w:rFonts w:ascii="仿宋" w:hAnsi="仿宋" w:eastAsia="仿宋"/>
          <w:sz w:val="32"/>
          <w:szCs w:val="32"/>
          <w:highlight w:val="none"/>
        </w:rPr>
      </w:pPr>
      <w:r>
        <w:rPr>
          <w:rFonts w:hint="eastAsia" w:ascii="仿宋" w:eastAsia="仿宋" w:cs="仿宋"/>
          <w:kern w:val="0"/>
          <w:sz w:val="32"/>
          <w:szCs w:val="32"/>
          <w:highlight w:val="none"/>
          <w:lang w:eastAsia="zh-CN"/>
        </w:rPr>
        <w:t>上述文件应于当日</w:t>
      </w:r>
      <w:r>
        <w:rPr>
          <w:rFonts w:hint="eastAsia" w:ascii="仿宋" w:eastAsia="仿宋" w:cs="仿宋"/>
          <w:kern w:val="0"/>
          <w:sz w:val="32"/>
          <w:szCs w:val="32"/>
          <w:highlight w:val="none"/>
        </w:rPr>
        <w:t>13:00前</w:t>
      </w:r>
      <w:r>
        <w:rPr>
          <w:rFonts w:hint="eastAsia" w:ascii="仿宋" w:eastAsia="仿宋" w:cs="仿宋"/>
          <w:kern w:val="0"/>
          <w:sz w:val="32"/>
          <w:szCs w:val="32"/>
          <w:highlight w:val="none"/>
          <w:lang w:eastAsia="zh-CN"/>
        </w:rPr>
        <w:t>提交，</w:t>
      </w:r>
      <w:r>
        <w:rPr>
          <w:rFonts w:hint="eastAsia" w:ascii="仿宋" w:eastAsia="仿宋" w:cs="仿宋"/>
          <w:kern w:val="0"/>
          <w:sz w:val="32"/>
          <w:szCs w:val="32"/>
          <w:highlight w:val="none"/>
        </w:rPr>
        <w:t>13:00后提交的不纳入工作日</w:t>
      </w:r>
      <w:r>
        <w:rPr>
          <w:rFonts w:hint="eastAsia" w:ascii="仿宋" w:eastAsia="仿宋" w:cs="仿宋"/>
          <w:kern w:val="0"/>
          <w:sz w:val="32"/>
          <w:szCs w:val="32"/>
          <w:highlight w:val="none"/>
          <w:lang w:eastAsia="zh-CN"/>
        </w:rPr>
        <w:t>计时。</w:t>
      </w:r>
      <w:r>
        <w:rPr>
          <w:rFonts w:hint="eastAsia" w:ascii="仿宋" w:eastAsia="仿宋" w:cs="仿宋"/>
          <w:kern w:val="0"/>
          <w:sz w:val="32"/>
          <w:szCs w:val="32"/>
          <w:highlight w:val="none"/>
        </w:rPr>
        <w:t>本所收到基金管理人的发售方案3个工作日内完成审批，并通过</w:t>
      </w:r>
      <w:r>
        <w:rPr>
          <w:rFonts w:hint="eastAsia" w:ascii="仿宋" w:eastAsia="仿宋" w:cs="仿宋"/>
          <w:kern w:val="0"/>
          <w:sz w:val="32"/>
          <w:szCs w:val="32"/>
          <w:highlight w:val="none"/>
          <w:lang w:eastAsia="zh-CN"/>
        </w:rPr>
        <w:t>本所</w:t>
      </w:r>
      <w:r>
        <w:rPr>
          <w:rFonts w:hint="eastAsia" w:ascii="仿宋" w:eastAsia="仿宋" w:cs="仿宋"/>
          <w:kern w:val="0"/>
          <w:sz w:val="32"/>
          <w:szCs w:val="32"/>
          <w:highlight w:val="none"/>
        </w:rPr>
        <w:t>基金业务专区向申请人推送确认定价基准日和发售期首日待办。基金管理人</w:t>
      </w:r>
      <w:r>
        <w:rPr>
          <w:rFonts w:hint="eastAsia" w:ascii="仿宋" w:hAnsi="仿宋" w:eastAsia="仿宋"/>
          <w:sz w:val="32"/>
          <w:szCs w:val="32"/>
          <w:highlight w:val="none"/>
        </w:rPr>
        <w:t>报送的发售方案不符合《</w:t>
      </w:r>
      <w:r>
        <w:rPr>
          <w:rFonts w:hint="eastAsia" w:ascii="仿宋" w:hAnsi="仿宋" w:eastAsia="仿宋"/>
          <w:sz w:val="32"/>
          <w:szCs w:val="32"/>
          <w:highlight w:val="none"/>
          <w:lang w:eastAsia="zh-CN"/>
        </w:rPr>
        <w:t>深圳证券交易所公开募集不动产投资信托基金业务指引第3号——扩募及新购入不动产（试行）</w:t>
      </w:r>
      <w:r>
        <w:rPr>
          <w:rFonts w:hint="eastAsia" w:ascii="仿宋" w:hAnsi="仿宋" w:eastAsia="仿宋"/>
          <w:sz w:val="32"/>
          <w:szCs w:val="32"/>
          <w:highlight w:val="none"/>
        </w:rPr>
        <w:t>》规定</w:t>
      </w:r>
      <w:r>
        <w:rPr>
          <w:rFonts w:hint="eastAsia" w:ascii="仿宋" w:hAnsi="仿宋" w:eastAsia="仿宋" w:cs="宋体"/>
          <w:kern w:val="0"/>
          <w:sz w:val="32"/>
          <w:szCs w:val="32"/>
          <w:highlight w:val="none"/>
        </w:rPr>
        <w:t>或其他相关要求</w:t>
      </w:r>
      <w:r>
        <w:rPr>
          <w:rFonts w:hint="eastAsia" w:ascii="仿宋" w:hAnsi="仿宋" w:eastAsia="仿宋"/>
          <w:sz w:val="32"/>
          <w:szCs w:val="32"/>
          <w:highlight w:val="none"/>
        </w:rPr>
        <w:t>的，应当按照本所要求予以补正，补正时间不计入前述3个工作日内。</w:t>
      </w:r>
    </w:p>
    <w:p>
      <w:pPr>
        <w:pStyle w:val="4"/>
        <w:keepNext w:val="0"/>
        <w:keepLines w:val="0"/>
        <w:spacing w:before="0" w:after="0" w:line="560" w:lineRule="exact"/>
        <w:ind w:firstLine="640" w:firstLineChars="200"/>
        <w:rPr>
          <w:rFonts w:eastAsia="楷体"/>
          <w:b w:val="0"/>
          <w:highlight w:val="none"/>
        </w:rPr>
      </w:pPr>
      <w:bookmarkStart w:id="58" w:name="_Toc146725912"/>
      <w:bookmarkStart w:id="59" w:name="_Toc2035"/>
      <w:bookmarkStart w:id="60" w:name="_Toc782"/>
      <w:bookmarkStart w:id="61" w:name="_Toc225"/>
      <w:bookmarkStart w:id="62" w:name="_Toc31265"/>
      <w:bookmarkStart w:id="63" w:name="_Toc1774"/>
      <w:bookmarkStart w:id="64" w:name="_Toc29782"/>
      <w:r>
        <w:rPr>
          <w:rFonts w:hint="eastAsia" w:eastAsia="楷体"/>
          <w:b w:val="0"/>
          <w:highlight w:val="none"/>
        </w:rPr>
        <w:t>（二）启动发售</w:t>
      </w:r>
      <w:bookmarkEnd w:id="58"/>
      <w:bookmarkEnd w:id="59"/>
      <w:bookmarkEnd w:id="60"/>
      <w:bookmarkEnd w:id="61"/>
      <w:bookmarkEnd w:id="62"/>
      <w:bookmarkEnd w:id="63"/>
      <w:bookmarkEnd w:id="64"/>
    </w:p>
    <w:p>
      <w:pPr>
        <w:spacing w:line="560" w:lineRule="exact"/>
        <w:ind w:firstLine="640" w:firstLineChars="200"/>
        <w:rPr>
          <w:rFonts w:ascii="仿宋" w:eastAsia="仿宋" w:cs="仿宋"/>
          <w:kern w:val="0"/>
          <w:sz w:val="32"/>
          <w:szCs w:val="32"/>
          <w:highlight w:val="none"/>
        </w:rPr>
      </w:pPr>
      <w:r>
        <w:rPr>
          <w:rFonts w:hint="eastAsia" w:ascii="仿宋" w:eastAsia="仿宋" w:cs="仿宋"/>
          <w:kern w:val="0"/>
          <w:sz w:val="32"/>
          <w:szCs w:val="32"/>
          <w:highlight w:val="none"/>
        </w:rPr>
        <w:t>基金管理人确定发售时间后，应至少于</w:t>
      </w:r>
      <w:r>
        <w:rPr>
          <w:rFonts w:hint="eastAsia" w:ascii="仿宋" w:hAnsi="仿宋" w:eastAsia="仿宋"/>
          <w:sz w:val="32"/>
          <w:szCs w:val="32"/>
          <w:highlight w:val="none"/>
        </w:rPr>
        <w:t>T</w:t>
      </w:r>
      <w:r>
        <w:rPr>
          <w:rFonts w:hint="eastAsia" w:ascii="仿宋" w:hAnsi="仿宋" w:eastAsia="仿宋"/>
          <w:sz w:val="32"/>
          <w:szCs w:val="32"/>
          <w:highlight w:val="none"/>
          <w:vertAlign w:val="subscript"/>
        </w:rPr>
        <w:t>1</w:t>
      </w:r>
      <w:r>
        <w:rPr>
          <w:rFonts w:hint="eastAsia" w:ascii="仿宋" w:hAnsi="仿宋" w:eastAsia="仿宋"/>
          <w:sz w:val="32"/>
          <w:szCs w:val="32"/>
          <w:highlight w:val="none"/>
        </w:rPr>
        <w:t>日</w:t>
      </w:r>
      <w:r>
        <w:rPr>
          <w:rFonts w:hint="eastAsia" w:ascii="仿宋" w:eastAsia="仿宋" w:cs="仿宋"/>
          <w:kern w:val="0"/>
          <w:sz w:val="32"/>
          <w:szCs w:val="32"/>
          <w:highlight w:val="none"/>
        </w:rPr>
        <w:t>及之前（</w:t>
      </w:r>
      <w:r>
        <w:rPr>
          <w:rFonts w:hint="eastAsia" w:ascii="仿宋" w:hAnsi="仿宋" w:eastAsia="仿宋"/>
          <w:bCs/>
          <w:sz w:val="32"/>
          <w:szCs w:val="32"/>
          <w:highlight w:val="none"/>
        </w:rPr>
        <w:t>T</w:t>
      </w:r>
      <w:r>
        <w:rPr>
          <w:rFonts w:hint="eastAsia" w:ascii="仿宋" w:hAnsi="仿宋" w:eastAsia="仿宋"/>
          <w:bCs/>
          <w:sz w:val="32"/>
          <w:szCs w:val="32"/>
          <w:highlight w:val="none"/>
          <w:vertAlign w:val="subscript"/>
        </w:rPr>
        <w:t>1</w:t>
      </w:r>
      <w:r>
        <w:rPr>
          <w:rFonts w:hint="eastAsia" w:ascii="仿宋" w:hAnsi="仿宋" w:eastAsia="仿宋"/>
          <w:bCs/>
          <w:sz w:val="32"/>
          <w:szCs w:val="32"/>
          <w:highlight w:val="none"/>
        </w:rPr>
        <w:t>为定向扩募发售期首日</w:t>
      </w:r>
      <w:r>
        <w:rPr>
          <w:rFonts w:hint="eastAsia" w:ascii="仿宋" w:eastAsia="仿宋" w:cs="仿宋"/>
          <w:kern w:val="0"/>
          <w:sz w:val="32"/>
          <w:szCs w:val="32"/>
          <w:highlight w:val="none"/>
        </w:rPr>
        <w:t>）</w:t>
      </w:r>
      <w:r>
        <w:rPr>
          <w:rFonts w:hint="eastAsia" w:ascii="仿宋" w:hAnsi="仿宋" w:eastAsia="仿宋"/>
          <w:bCs/>
          <w:sz w:val="32"/>
          <w:szCs w:val="32"/>
          <w:highlight w:val="none"/>
        </w:rPr>
        <w:t>通过</w:t>
      </w:r>
      <w:r>
        <w:rPr>
          <w:rFonts w:hint="eastAsia" w:ascii="仿宋" w:hAnsi="仿宋" w:eastAsia="仿宋"/>
          <w:bCs/>
          <w:sz w:val="32"/>
          <w:szCs w:val="32"/>
          <w:highlight w:val="none"/>
          <w:lang w:eastAsia="zh-CN"/>
        </w:rPr>
        <w:t>本所</w:t>
      </w:r>
      <w:r>
        <w:rPr>
          <w:rFonts w:hint="eastAsia" w:ascii="仿宋" w:hAnsi="仿宋" w:eastAsia="仿宋"/>
          <w:bCs/>
          <w:sz w:val="32"/>
          <w:szCs w:val="32"/>
          <w:highlight w:val="none"/>
        </w:rPr>
        <w:t>基金业务专区中的“业务办理—&gt;基金发行—&gt;扩募发售报备（REITs）”</w:t>
      </w:r>
      <w:r>
        <w:rPr>
          <w:rFonts w:hint="eastAsia" w:ascii="仿宋" w:eastAsia="仿宋" w:cs="仿宋"/>
          <w:kern w:val="0"/>
          <w:sz w:val="32"/>
          <w:szCs w:val="32"/>
          <w:highlight w:val="none"/>
        </w:rPr>
        <w:t>填写确认的定价基准日和发售期首日，并上传“REITs定向扩募基本情况表”（模板见</w:t>
      </w:r>
      <w:r>
        <w:rPr>
          <w:rFonts w:hint="eastAsia" w:ascii="仿宋" w:eastAsia="仿宋" w:cs="仿宋"/>
          <w:kern w:val="0"/>
          <w:sz w:val="32"/>
          <w:szCs w:val="32"/>
          <w:highlight w:val="none"/>
          <w:lang w:eastAsia="zh-CN"/>
        </w:rPr>
        <w:t>附件4</w:t>
      </w:r>
      <w:r>
        <w:rPr>
          <w:rFonts w:hint="eastAsia" w:ascii="仿宋" w:eastAsia="仿宋" w:cs="仿宋"/>
          <w:kern w:val="0"/>
          <w:sz w:val="32"/>
          <w:szCs w:val="32"/>
          <w:highlight w:val="none"/>
        </w:rPr>
        <w:t>）、“获准注册至</w:t>
      </w:r>
      <w:r>
        <w:rPr>
          <w:rFonts w:hint="eastAsia" w:ascii="仿宋" w:eastAsia="仿宋" w:cs="仿宋"/>
          <w:kern w:val="0"/>
          <w:sz w:val="32"/>
          <w:szCs w:val="32"/>
          <w:highlight w:val="none"/>
          <w:lang w:eastAsia="zh-CN"/>
        </w:rPr>
        <w:t>发售</w:t>
      </w:r>
      <w:r>
        <w:rPr>
          <w:rFonts w:hint="eastAsia" w:ascii="仿宋" w:eastAsia="仿宋" w:cs="仿宋"/>
          <w:kern w:val="0"/>
          <w:sz w:val="32"/>
          <w:szCs w:val="32"/>
          <w:highlight w:val="none"/>
        </w:rPr>
        <w:t>前不存在重大影响事项的承诺”基金管理人</w:t>
      </w:r>
      <w:r>
        <w:rPr>
          <w:rFonts w:hint="eastAsia" w:ascii="仿宋" w:eastAsia="仿宋" w:cs="仿宋"/>
          <w:kern w:val="0"/>
          <w:sz w:val="32"/>
          <w:szCs w:val="32"/>
          <w:highlight w:val="none"/>
          <w:lang w:eastAsia="zh-CN"/>
        </w:rPr>
        <w:t>、</w:t>
      </w:r>
      <w:r>
        <w:rPr>
          <w:rFonts w:hint="eastAsia" w:ascii="仿宋" w:eastAsia="仿宋" w:cs="仿宋"/>
          <w:kern w:val="0"/>
          <w:sz w:val="32"/>
          <w:szCs w:val="32"/>
          <w:highlight w:val="none"/>
        </w:rPr>
        <w:t>财务顾问</w:t>
      </w:r>
      <w:r>
        <w:rPr>
          <w:rFonts w:hint="eastAsia" w:ascii="仿宋" w:eastAsia="仿宋" w:cs="仿宋"/>
          <w:kern w:val="0"/>
          <w:sz w:val="32"/>
          <w:szCs w:val="32"/>
          <w:highlight w:val="none"/>
          <w:lang w:eastAsia="zh-CN"/>
        </w:rPr>
        <w:t>（如有）</w:t>
      </w:r>
      <w:r>
        <w:rPr>
          <w:rFonts w:hint="eastAsia" w:ascii="仿宋" w:eastAsia="仿宋" w:cs="仿宋"/>
          <w:kern w:val="0"/>
          <w:sz w:val="32"/>
          <w:szCs w:val="32"/>
          <w:highlight w:val="none"/>
        </w:rPr>
        <w:t>盖章扫描件，本所于当日完成审批后，基金管理人于</w:t>
      </w:r>
      <w:r>
        <w:rPr>
          <w:rFonts w:hint="eastAsia" w:ascii="仿宋" w:hAnsi="仿宋" w:eastAsia="仿宋"/>
          <w:sz w:val="32"/>
          <w:szCs w:val="32"/>
          <w:highlight w:val="none"/>
        </w:rPr>
        <w:t>T</w:t>
      </w:r>
      <w:r>
        <w:rPr>
          <w:rFonts w:hint="eastAsia" w:ascii="仿宋" w:hAnsi="仿宋" w:eastAsia="仿宋"/>
          <w:sz w:val="32"/>
          <w:szCs w:val="32"/>
          <w:highlight w:val="none"/>
          <w:vertAlign w:val="subscript"/>
        </w:rPr>
        <w:t>1</w:t>
      </w:r>
      <w:r>
        <w:rPr>
          <w:rFonts w:hint="eastAsia" w:ascii="仿宋" w:hAnsi="仿宋" w:eastAsia="仿宋"/>
          <w:sz w:val="32"/>
          <w:szCs w:val="32"/>
          <w:highlight w:val="none"/>
        </w:rPr>
        <w:t>日</w:t>
      </w:r>
      <w:r>
        <w:rPr>
          <w:rFonts w:hint="eastAsia" w:ascii="仿宋" w:eastAsia="仿宋" w:cs="仿宋"/>
          <w:kern w:val="0"/>
          <w:sz w:val="32"/>
          <w:szCs w:val="32"/>
          <w:highlight w:val="none"/>
        </w:rPr>
        <w:t>启动发售。</w:t>
      </w:r>
    </w:p>
    <w:p>
      <w:pPr>
        <w:spacing w:line="560" w:lineRule="exact"/>
        <w:ind w:firstLine="640" w:firstLineChars="200"/>
        <w:rPr>
          <w:rFonts w:ascii="仿宋" w:eastAsia="仿宋" w:cs="仿宋"/>
          <w:kern w:val="0"/>
          <w:sz w:val="32"/>
          <w:szCs w:val="32"/>
          <w:highlight w:val="none"/>
        </w:rPr>
      </w:pPr>
      <w:r>
        <w:rPr>
          <w:rFonts w:hint="eastAsia" w:ascii="仿宋" w:eastAsia="仿宋" w:cs="仿宋"/>
          <w:kern w:val="0"/>
          <w:sz w:val="32"/>
          <w:szCs w:val="32"/>
          <w:highlight w:val="none"/>
        </w:rPr>
        <w:t>正式启动发售后，基金管理人、财务顾问</w:t>
      </w:r>
      <w:r>
        <w:rPr>
          <w:rFonts w:hint="eastAsia" w:ascii="仿宋" w:eastAsia="仿宋" w:cs="仿宋"/>
          <w:kern w:val="0"/>
          <w:sz w:val="32"/>
          <w:szCs w:val="32"/>
          <w:highlight w:val="none"/>
          <w:lang w:eastAsia="zh-CN"/>
        </w:rPr>
        <w:t>（如有）</w:t>
      </w:r>
      <w:r>
        <w:rPr>
          <w:rFonts w:hint="eastAsia" w:ascii="仿宋" w:eastAsia="仿宋" w:cs="仿宋"/>
          <w:kern w:val="0"/>
          <w:sz w:val="32"/>
          <w:szCs w:val="32"/>
          <w:highlight w:val="none"/>
        </w:rPr>
        <w:t>应按照基本情况表中列明的时间和相关工作安排推进发售上市工作。启动发售后，基金管理人不得再对发售方案作出修改。如因特殊情况需要对发售方案作出重大调整的，应当及时通知本所。</w:t>
      </w:r>
    </w:p>
    <w:p>
      <w:pPr>
        <w:pStyle w:val="4"/>
        <w:keepNext w:val="0"/>
        <w:keepLines w:val="0"/>
        <w:spacing w:before="0" w:after="0" w:line="560" w:lineRule="exact"/>
        <w:ind w:firstLine="640" w:firstLineChars="200"/>
        <w:rPr>
          <w:rFonts w:eastAsia="楷体"/>
          <w:b w:val="0"/>
          <w:highlight w:val="none"/>
        </w:rPr>
      </w:pPr>
      <w:bookmarkStart w:id="65" w:name="_Toc2735"/>
      <w:bookmarkStart w:id="66" w:name="_Toc27913"/>
      <w:bookmarkStart w:id="67" w:name="_Toc146725913"/>
      <w:bookmarkStart w:id="68" w:name="_Toc15245"/>
      <w:bookmarkStart w:id="69" w:name="_Toc15145"/>
      <w:bookmarkStart w:id="70" w:name="_Toc21944"/>
      <w:bookmarkStart w:id="71" w:name="_Toc12530"/>
      <w:bookmarkStart w:id="72" w:name="_Toc59024598"/>
      <w:r>
        <w:rPr>
          <w:rFonts w:hint="eastAsia" w:eastAsia="楷体"/>
          <w:b w:val="0"/>
          <w:highlight w:val="none"/>
        </w:rPr>
        <w:t>（三）发售及认购</w:t>
      </w:r>
      <w:bookmarkEnd w:id="65"/>
      <w:bookmarkEnd w:id="66"/>
      <w:bookmarkEnd w:id="67"/>
      <w:bookmarkEnd w:id="68"/>
      <w:bookmarkEnd w:id="69"/>
      <w:bookmarkEnd w:id="70"/>
      <w:bookmarkEnd w:id="71"/>
    </w:p>
    <w:bookmarkEnd w:id="72"/>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发售</w:t>
      </w:r>
      <w:r>
        <w:rPr>
          <w:rFonts w:hint="eastAsia" w:ascii="仿宋" w:hAnsi="仿宋" w:eastAsia="仿宋"/>
          <w:sz w:val="32"/>
          <w:szCs w:val="32"/>
          <w:highlight w:val="none"/>
        </w:rPr>
        <w:t>期内，基金管理人</w:t>
      </w:r>
      <w:r>
        <w:rPr>
          <w:rFonts w:hint="eastAsia" w:ascii="仿宋" w:eastAsia="仿宋" w:cs="仿宋"/>
          <w:kern w:val="0"/>
          <w:sz w:val="32"/>
          <w:szCs w:val="32"/>
          <w:highlight w:val="none"/>
        </w:rPr>
        <w:t>、财务顾问</w:t>
      </w:r>
      <w:r>
        <w:rPr>
          <w:rFonts w:hint="eastAsia" w:ascii="仿宋" w:eastAsia="仿宋" w:cs="仿宋"/>
          <w:kern w:val="0"/>
          <w:sz w:val="32"/>
          <w:szCs w:val="32"/>
          <w:highlight w:val="none"/>
          <w:lang w:eastAsia="zh-CN"/>
        </w:rPr>
        <w:t>（如有）</w:t>
      </w:r>
      <w:r>
        <w:rPr>
          <w:rFonts w:hint="eastAsia" w:ascii="仿宋" w:hAnsi="仿宋" w:eastAsia="仿宋"/>
          <w:sz w:val="32"/>
          <w:szCs w:val="32"/>
          <w:highlight w:val="none"/>
        </w:rPr>
        <w:t>按照规定向特定对象组织</w:t>
      </w:r>
      <w:r>
        <w:rPr>
          <w:rFonts w:hint="eastAsia" w:ascii="仿宋" w:hAnsi="仿宋" w:eastAsia="仿宋"/>
          <w:sz w:val="32"/>
          <w:szCs w:val="32"/>
          <w:highlight w:val="none"/>
          <w:lang w:eastAsia="zh-CN"/>
        </w:rPr>
        <w:t>发售</w:t>
      </w:r>
      <w:r>
        <w:rPr>
          <w:rFonts w:hint="eastAsia" w:ascii="仿宋" w:hAnsi="仿宋" w:eastAsia="仿宋"/>
          <w:sz w:val="32"/>
          <w:szCs w:val="32"/>
          <w:highlight w:val="none"/>
        </w:rPr>
        <w:t>。若特定对象通过本次</w:t>
      </w:r>
      <w:r>
        <w:rPr>
          <w:rFonts w:hint="eastAsia" w:ascii="仿宋" w:hAnsi="仿宋" w:eastAsia="仿宋"/>
          <w:sz w:val="32"/>
          <w:szCs w:val="32"/>
          <w:highlight w:val="none"/>
          <w:lang w:eastAsia="zh-CN"/>
        </w:rPr>
        <w:t>发售</w:t>
      </w:r>
      <w:r>
        <w:rPr>
          <w:rFonts w:hint="eastAsia" w:ascii="仿宋" w:hAnsi="仿宋" w:eastAsia="仿宋"/>
          <w:sz w:val="32"/>
          <w:szCs w:val="32"/>
          <w:highlight w:val="none"/>
        </w:rPr>
        <w:t>认购基金份额，涉及</w:t>
      </w:r>
      <w:r>
        <w:rPr>
          <w:rFonts w:hint="eastAsia" w:ascii="仿宋" w:hAnsi="仿宋" w:eastAsia="仿宋"/>
          <w:sz w:val="32"/>
          <w:szCs w:val="32"/>
          <w:highlight w:val="none"/>
          <w:lang w:eastAsia="zh-CN"/>
        </w:rPr>
        <w:t>不动产基金</w:t>
      </w:r>
      <w:r>
        <w:rPr>
          <w:rFonts w:hint="eastAsia" w:ascii="仿宋" w:hAnsi="仿宋" w:eastAsia="仿宋"/>
          <w:sz w:val="32"/>
          <w:szCs w:val="32"/>
          <w:highlight w:val="none"/>
        </w:rPr>
        <w:t>份额的收购及份额权益变动，应当按《深圳证券交易所公开募集</w:t>
      </w:r>
      <w:r>
        <w:rPr>
          <w:rFonts w:hint="eastAsia" w:ascii="仿宋" w:hAnsi="仿宋" w:eastAsia="仿宋"/>
          <w:sz w:val="32"/>
          <w:szCs w:val="32"/>
          <w:highlight w:val="none"/>
          <w:lang w:eastAsia="zh-CN"/>
        </w:rPr>
        <w:t>不动产投资信托基金</w:t>
      </w:r>
      <w:r>
        <w:rPr>
          <w:rFonts w:hint="eastAsia" w:ascii="仿宋" w:hAnsi="仿宋" w:eastAsia="仿宋"/>
          <w:sz w:val="32"/>
          <w:szCs w:val="32"/>
          <w:highlight w:val="none"/>
        </w:rPr>
        <w:t>业务办法（试行）》及相关法律法规的要求，履行份额权益变动的审议、审批及披露程序。</w:t>
      </w:r>
    </w:p>
    <w:p>
      <w:pPr>
        <w:pStyle w:val="4"/>
        <w:keepNext w:val="0"/>
        <w:keepLines w:val="0"/>
        <w:spacing w:before="0" w:after="0" w:line="560" w:lineRule="exact"/>
        <w:ind w:firstLine="640" w:firstLineChars="200"/>
        <w:rPr>
          <w:rFonts w:eastAsia="楷体"/>
          <w:b w:val="0"/>
          <w:highlight w:val="none"/>
        </w:rPr>
      </w:pPr>
      <w:bookmarkStart w:id="73" w:name="_Toc29199"/>
      <w:bookmarkStart w:id="74" w:name="_Toc31361"/>
      <w:bookmarkStart w:id="75" w:name="_Toc7620"/>
      <w:bookmarkStart w:id="76" w:name="_Toc146725914"/>
      <w:bookmarkStart w:id="77" w:name="_Toc6709"/>
      <w:bookmarkStart w:id="78" w:name="_Toc662"/>
      <w:bookmarkStart w:id="79" w:name="_Toc29662"/>
      <w:r>
        <w:rPr>
          <w:rFonts w:hint="eastAsia" w:eastAsia="楷体"/>
          <w:b w:val="0"/>
          <w:highlight w:val="none"/>
        </w:rPr>
        <w:t>（四）扩募份额备案确认信息披露</w:t>
      </w:r>
      <w:bookmarkEnd w:id="73"/>
      <w:bookmarkEnd w:id="74"/>
      <w:bookmarkEnd w:id="75"/>
      <w:bookmarkEnd w:id="76"/>
      <w:bookmarkEnd w:id="77"/>
      <w:bookmarkEnd w:id="78"/>
      <w:bookmarkEnd w:id="79"/>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完成证监会扩募份额备案当日，基金管理人通过本所基金业务专区</w:t>
      </w:r>
      <w:r>
        <w:rPr>
          <w:rFonts w:hint="eastAsia" w:ascii="仿宋" w:hAnsi="仿宋" w:eastAsia="仿宋"/>
          <w:bCs/>
          <w:sz w:val="32"/>
          <w:szCs w:val="32"/>
          <w:highlight w:val="none"/>
        </w:rPr>
        <w:t>中的“业务办理—&gt;信息披露—&gt;REITs定向扩募—&gt;基金合同更新”</w:t>
      </w:r>
      <w:r>
        <w:rPr>
          <w:rFonts w:hint="eastAsia" w:ascii="仿宋" w:hAnsi="仿宋" w:eastAsia="仿宋"/>
          <w:sz w:val="32"/>
          <w:szCs w:val="32"/>
          <w:highlight w:val="none"/>
        </w:rPr>
        <w:t>提交基金合同更新公告（必备要素见</w:t>
      </w:r>
      <w:r>
        <w:rPr>
          <w:rFonts w:hint="eastAsia" w:ascii="仿宋" w:hAnsi="仿宋" w:eastAsia="仿宋"/>
          <w:sz w:val="32"/>
          <w:szCs w:val="32"/>
          <w:highlight w:val="none"/>
          <w:lang w:eastAsia="zh-CN"/>
        </w:rPr>
        <w:t>附件5</w:t>
      </w:r>
      <w:r>
        <w:rPr>
          <w:rFonts w:hint="eastAsia" w:ascii="仿宋" w:hAnsi="仿宋" w:eastAsia="仿宋"/>
          <w:sz w:val="32"/>
          <w:szCs w:val="32"/>
          <w:highlight w:val="none"/>
        </w:rPr>
        <w:t>），于次日在符合中国证监会规定的媒介及本所网站上进行披露。</w:t>
      </w:r>
    </w:p>
    <w:p>
      <w:pPr>
        <w:pStyle w:val="4"/>
        <w:keepNext w:val="0"/>
        <w:keepLines w:val="0"/>
        <w:spacing w:before="0" w:after="0" w:line="560" w:lineRule="exact"/>
        <w:ind w:firstLine="640" w:firstLineChars="200"/>
        <w:rPr>
          <w:rFonts w:eastAsia="楷体"/>
          <w:b w:val="0"/>
          <w:highlight w:val="none"/>
        </w:rPr>
      </w:pPr>
      <w:bookmarkStart w:id="80" w:name="_Toc27627"/>
      <w:bookmarkStart w:id="81" w:name="_Toc15067"/>
      <w:bookmarkStart w:id="82" w:name="_Toc4385"/>
      <w:bookmarkStart w:id="83" w:name="_Toc5123"/>
      <w:bookmarkStart w:id="84" w:name="_Toc17250"/>
      <w:bookmarkStart w:id="85" w:name="_Toc146725915"/>
      <w:bookmarkStart w:id="86" w:name="_Toc10192"/>
      <w:r>
        <w:rPr>
          <w:rFonts w:hint="eastAsia" w:eastAsia="楷体"/>
          <w:b w:val="0"/>
          <w:highlight w:val="none"/>
        </w:rPr>
        <w:t>（五）披露发行情况报告书及战略投资者核查文件</w:t>
      </w:r>
      <w:bookmarkEnd w:id="80"/>
      <w:bookmarkEnd w:id="81"/>
      <w:bookmarkEnd w:id="82"/>
      <w:bookmarkEnd w:id="83"/>
      <w:bookmarkEnd w:id="84"/>
      <w:bookmarkEnd w:id="85"/>
      <w:bookmarkEnd w:id="86"/>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基金管理人应于Y日至Y+1日（Y日为会计师事务所出具验资报告日）内，通过</w:t>
      </w:r>
      <w:r>
        <w:rPr>
          <w:rFonts w:hint="eastAsia" w:ascii="仿宋" w:hAnsi="仿宋" w:eastAsia="仿宋"/>
          <w:sz w:val="32"/>
          <w:szCs w:val="32"/>
          <w:highlight w:val="none"/>
          <w:lang w:eastAsia="zh-CN"/>
        </w:rPr>
        <w:t>本所</w:t>
      </w:r>
      <w:r>
        <w:rPr>
          <w:rFonts w:hint="eastAsia" w:ascii="仿宋" w:hAnsi="仿宋" w:eastAsia="仿宋"/>
          <w:sz w:val="32"/>
          <w:szCs w:val="32"/>
          <w:highlight w:val="none"/>
        </w:rPr>
        <w:t>基金业务专区提交信息披露申请，披露定向扩募发行情况报告书、战略投资者专项核查报告（基金管理人盖章扫描件）、战略投资者核查事项法律意见书，同时将验资报告作为附件报备。经本所审核通过后，最晚于Y+2日在符合中国证监会规定的媒介及本所网站上进行披露。</w:t>
      </w:r>
      <w:bookmarkStart w:id="87" w:name="_Toc62725203"/>
    </w:p>
    <w:p>
      <w:pPr>
        <w:pStyle w:val="3"/>
        <w:keepNext w:val="0"/>
        <w:keepLines w:val="0"/>
        <w:spacing w:before="0" w:after="0" w:line="560" w:lineRule="exact"/>
        <w:ind w:firstLine="640" w:firstLineChars="200"/>
        <w:rPr>
          <w:rFonts w:eastAsia="黑体"/>
          <w:b w:val="0"/>
          <w:highlight w:val="none"/>
        </w:rPr>
      </w:pPr>
      <w:bookmarkStart w:id="88" w:name="_Toc11377"/>
      <w:bookmarkStart w:id="89" w:name="_Toc9165"/>
      <w:bookmarkStart w:id="90" w:name="_Toc22112"/>
      <w:bookmarkStart w:id="91" w:name="_Toc26896"/>
      <w:bookmarkStart w:id="92" w:name="_Toc9490"/>
      <w:bookmarkStart w:id="93" w:name="_Toc146725916"/>
      <w:bookmarkStart w:id="94" w:name="_Toc20208"/>
      <w:bookmarkStart w:id="95" w:name="_Toc129179229"/>
      <w:r>
        <w:rPr>
          <w:rFonts w:hint="eastAsia" w:eastAsia="黑体"/>
          <w:b w:val="0"/>
          <w:highlight w:val="none"/>
        </w:rPr>
        <w:t>三、发售后的工作</w:t>
      </w:r>
      <w:bookmarkEnd w:id="88"/>
      <w:bookmarkEnd w:id="89"/>
      <w:bookmarkEnd w:id="90"/>
      <w:bookmarkEnd w:id="91"/>
      <w:bookmarkEnd w:id="92"/>
      <w:bookmarkEnd w:id="93"/>
      <w:bookmarkEnd w:id="94"/>
      <w:bookmarkEnd w:id="95"/>
    </w:p>
    <w:p>
      <w:pPr>
        <w:pStyle w:val="4"/>
        <w:keepNext w:val="0"/>
        <w:keepLines w:val="0"/>
        <w:spacing w:before="0" w:after="0" w:line="560" w:lineRule="exact"/>
        <w:ind w:firstLine="640" w:firstLineChars="200"/>
        <w:rPr>
          <w:rFonts w:hint="eastAsia" w:eastAsia="楷体"/>
          <w:b w:val="0"/>
          <w:highlight w:val="none"/>
          <w:lang w:eastAsia="zh-CN"/>
        </w:rPr>
      </w:pPr>
      <w:bookmarkStart w:id="96" w:name="_Toc5629"/>
      <w:bookmarkStart w:id="97" w:name="_Toc29754"/>
      <w:bookmarkStart w:id="98" w:name="_Toc1316"/>
      <w:bookmarkStart w:id="99" w:name="_Toc7153"/>
      <w:bookmarkStart w:id="100" w:name="_Toc9555"/>
      <w:bookmarkStart w:id="101" w:name="_Toc2908"/>
      <w:bookmarkStart w:id="102" w:name="_Toc146725917"/>
      <w:bookmarkStart w:id="103" w:name="_Toc129179230"/>
      <w:r>
        <w:rPr>
          <w:rFonts w:hint="eastAsia" w:eastAsia="楷体"/>
          <w:b w:val="0"/>
          <w:highlight w:val="none"/>
        </w:rPr>
        <w:t>（</w:t>
      </w:r>
      <w:r>
        <w:rPr>
          <w:rFonts w:hint="eastAsia" w:eastAsia="楷体"/>
          <w:b w:val="0"/>
          <w:highlight w:val="none"/>
          <w:lang w:eastAsia="zh-CN"/>
        </w:rPr>
        <w:t>一</w:t>
      </w:r>
      <w:r>
        <w:rPr>
          <w:rFonts w:hint="eastAsia" w:eastAsia="楷体"/>
          <w:b w:val="0"/>
          <w:highlight w:val="none"/>
        </w:rPr>
        <w:t>）</w:t>
      </w:r>
      <w:r>
        <w:rPr>
          <w:rFonts w:hint="eastAsia" w:eastAsia="楷体"/>
          <w:b w:val="0"/>
          <w:highlight w:val="none"/>
          <w:lang w:val="en-US" w:eastAsia="zh-CN"/>
        </w:rPr>
        <w:t>REITs信息</w:t>
      </w:r>
      <w:r>
        <w:rPr>
          <w:rFonts w:hint="eastAsia" w:eastAsia="楷体"/>
          <w:b w:val="0"/>
          <w:highlight w:val="none"/>
        </w:rPr>
        <w:t>报送</w:t>
      </w:r>
      <w:bookmarkEnd w:id="96"/>
      <w:bookmarkEnd w:id="97"/>
    </w:p>
    <w:p>
      <w:pPr>
        <w:spacing w:line="560" w:lineRule="exact"/>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扩募发售报备业务办结后，基金管理人按照本所基金业务专区产生的“</w:t>
      </w:r>
      <w:r>
        <w:rPr>
          <w:rFonts w:hint="eastAsia" w:ascii="仿宋" w:hAnsi="仿宋" w:eastAsia="仿宋"/>
          <w:sz w:val="32"/>
          <w:szCs w:val="32"/>
          <w:highlight w:val="none"/>
          <w:lang w:val="en-US" w:eastAsia="zh-CN"/>
        </w:rPr>
        <w:t>REITs报送数据维护</w:t>
      </w:r>
      <w:r>
        <w:rPr>
          <w:rFonts w:hint="eastAsia" w:ascii="仿宋" w:hAnsi="仿宋" w:eastAsia="仿宋"/>
          <w:sz w:val="32"/>
          <w:szCs w:val="32"/>
          <w:highlight w:val="none"/>
          <w:lang w:eastAsia="zh-CN"/>
        </w:rPr>
        <w:t>”流程办理要求，及时填写REITs</w:t>
      </w:r>
      <w:r>
        <w:rPr>
          <w:rFonts w:hint="eastAsia" w:ascii="仿宋" w:hAnsi="仿宋" w:eastAsia="仿宋"/>
          <w:sz w:val="32"/>
          <w:szCs w:val="32"/>
          <w:highlight w:val="none"/>
          <w:lang w:val="en-US" w:eastAsia="zh-CN"/>
        </w:rPr>
        <w:t>发售数据</w:t>
      </w:r>
      <w:r>
        <w:rPr>
          <w:rFonts w:hint="eastAsia" w:ascii="仿宋" w:hAnsi="仿宋" w:eastAsia="仿宋"/>
          <w:sz w:val="32"/>
          <w:szCs w:val="32"/>
          <w:highlight w:val="none"/>
          <w:lang w:eastAsia="zh-CN"/>
        </w:rPr>
        <w:t>并上传相关文件，完成报送后发起上市申请。具体填报内容如下：</w:t>
      </w:r>
    </w:p>
    <w:p>
      <w:pPr>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1．REITs发售相关数据；</w:t>
      </w:r>
    </w:p>
    <w:p>
      <w:pPr>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2．基金管理人、运营管理机构信息披露事务负责人信息；</w:t>
      </w:r>
    </w:p>
    <w:p>
      <w:pPr>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3．基金管理人信息披露管理制度、运营管理机构信息披露配合制度。</w:t>
      </w:r>
    </w:p>
    <w:p>
      <w:pPr>
        <w:spacing w:line="240" w:lineRule="auto"/>
        <w:ind w:firstLine="0" w:firstLineChars="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br w:type="page"/>
      </w:r>
    </w:p>
    <w:p>
      <w:pPr>
        <w:pStyle w:val="4"/>
        <w:keepNext w:val="0"/>
        <w:keepLines w:val="0"/>
        <w:spacing w:before="0" w:after="0" w:line="560" w:lineRule="exact"/>
        <w:ind w:firstLine="640" w:firstLineChars="200"/>
        <w:rPr>
          <w:rFonts w:eastAsia="楷体"/>
          <w:b w:val="0"/>
          <w:highlight w:val="none"/>
        </w:rPr>
      </w:pPr>
      <w:bookmarkStart w:id="104" w:name="_Toc17426"/>
      <w:bookmarkStart w:id="105" w:name="_Toc13764"/>
      <w:r>
        <w:rPr>
          <w:rFonts w:hint="eastAsia" w:eastAsia="楷体"/>
          <w:b w:val="0"/>
          <w:highlight w:val="none"/>
        </w:rPr>
        <w:t>（</w:t>
      </w:r>
      <w:r>
        <w:rPr>
          <w:rFonts w:hint="eastAsia" w:eastAsia="楷体"/>
          <w:b w:val="0"/>
          <w:highlight w:val="none"/>
          <w:lang w:eastAsia="zh-CN"/>
        </w:rPr>
        <w:t>二</w:t>
      </w:r>
      <w:r>
        <w:rPr>
          <w:rFonts w:hint="eastAsia" w:eastAsia="楷体"/>
          <w:b w:val="0"/>
          <w:highlight w:val="none"/>
        </w:rPr>
        <w:t>）披露交易实施情况报告书</w:t>
      </w:r>
      <w:bookmarkEnd w:id="98"/>
      <w:bookmarkEnd w:id="99"/>
      <w:bookmarkEnd w:id="100"/>
      <w:bookmarkEnd w:id="101"/>
      <w:bookmarkEnd w:id="102"/>
      <w:bookmarkEnd w:id="103"/>
      <w:bookmarkEnd w:id="104"/>
      <w:bookmarkEnd w:id="105"/>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拟购入</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完成相关变更注册程序并经基金份额持有人大会表决通过后，基金管理人应当及时实施交易方案，并编制交易实施情况报告书，于实施完毕之日起2个工作日内通过</w:t>
      </w:r>
      <w:r>
        <w:rPr>
          <w:rFonts w:hint="eastAsia" w:ascii="仿宋" w:hAnsi="仿宋" w:eastAsia="仿宋"/>
          <w:sz w:val="32"/>
          <w:szCs w:val="32"/>
          <w:highlight w:val="none"/>
          <w:lang w:eastAsia="zh-CN"/>
        </w:rPr>
        <w:t>本所</w:t>
      </w:r>
      <w:r>
        <w:rPr>
          <w:rFonts w:hint="eastAsia" w:ascii="仿宋" w:hAnsi="仿宋" w:eastAsia="仿宋"/>
          <w:bCs/>
          <w:sz w:val="32"/>
          <w:szCs w:val="32"/>
          <w:highlight w:val="none"/>
        </w:rPr>
        <w:t>基金业务专区中的“业务办理—&gt;</w:t>
      </w:r>
      <w:r>
        <w:rPr>
          <w:rFonts w:hint="eastAsia" w:ascii="仿宋" w:hAnsi="仿宋" w:eastAsia="仿宋"/>
          <w:sz w:val="32"/>
          <w:szCs w:val="32"/>
          <w:highlight w:val="none"/>
        </w:rPr>
        <w:t>信息披露—&gt;基金临时报告—&gt;</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交易实施情况报告书（REITs）</w:t>
      </w:r>
      <w:r>
        <w:rPr>
          <w:rFonts w:hint="eastAsia" w:ascii="仿宋" w:hAnsi="仿宋" w:eastAsia="仿宋"/>
          <w:bCs/>
          <w:sz w:val="32"/>
          <w:szCs w:val="32"/>
          <w:highlight w:val="none"/>
        </w:rPr>
        <w:t>”</w:t>
      </w:r>
      <w:r>
        <w:rPr>
          <w:rFonts w:hint="eastAsia" w:ascii="仿宋" w:hAnsi="仿宋" w:eastAsia="仿宋"/>
          <w:sz w:val="32"/>
          <w:szCs w:val="32"/>
          <w:highlight w:val="none"/>
        </w:rPr>
        <w:t>提交</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交易实施情况报告书信息披露申请，并于次日对外披露。</w:t>
      </w:r>
    </w:p>
    <w:p>
      <w:pPr>
        <w:pStyle w:val="4"/>
        <w:keepNext w:val="0"/>
        <w:keepLines w:val="0"/>
        <w:spacing w:before="0" w:after="0" w:line="560" w:lineRule="exact"/>
        <w:ind w:firstLine="640" w:firstLineChars="200"/>
        <w:rPr>
          <w:rFonts w:eastAsia="楷体"/>
          <w:b w:val="0"/>
          <w:highlight w:val="none"/>
        </w:rPr>
      </w:pPr>
      <w:bookmarkStart w:id="106" w:name="_Toc22026"/>
      <w:bookmarkStart w:id="107" w:name="_Toc146725918"/>
      <w:bookmarkStart w:id="108" w:name="_Toc8447"/>
      <w:bookmarkStart w:id="109" w:name="_Toc4116"/>
      <w:bookmarkStart w:id="110" w:name="_Toc21640"/>
      <w:bookmarkStart w:id="111" w:name="_Toc129179231"/>
      <w:bookmarkStart w:id="112" w:name="_Toc13681"/>
      <w:bookmarkStart w:id="113" w:name="_Toc3997"/>
      <w:r>
        <w:rPr>
          <w:rFonts w:hint="eastAsia" w:eastAsia="楷体"/>
          <w:b w:val="0"/>
          <w:highlight w:val="none"/>
        </w:rPr>
        <w:t>（</w:t>
      </w:r>
      <w:r>
        <w:rPr>
          <w:rFonts w:hint="eastAsia" w:eastAsia="楷体"/>
          <w:b w:val="0"/>
          <w:highlight w:val="none"/>
          <w:lang w:eastAsia="zh-CN"/>
        </w:rPr>
        <w:t>三</w:t>
      </w:r>
      <w:r>
        <w:rPr>
          <w:rFonts w:hint="eastAsia" w:eastAsia="楷体"/>
          <w:b w:val="0"/>
          <w:highlight w:val="none"/>
        </w:rPr>
        <w:t>）其他事项信息披露</w:t>
      </w:r>
      <w:bookmarkEnd w:id="106"/>
      <w:bookmarkEnd w:id="107"/>
      <w:bookmarkEnd w:id="108"/>
      <w:bookmarkEnd w:id="109"/>
      <w:bookmarkEnd w:id="110"/>
      <w:bookmarkEnd w:id="111"/>
      <w:bookmarkEnd w:id="112"/>
      <w:bookmarkEnd w:id="113"/>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若在实施</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交易的过程中发生法律法规要求披露的重大事项，基金管理人应当及时通过</w:t>
      </w:r>
      <w:r>
        <w:rPr>
          <w:rFonts w:hint="eastAsia" w:ascii="仿宋" w:hAnsi="仿宋" w:eastAsia="仿宋"/>
          <w:sz w:val="32"/>
          <w:szCs w:val="32"/>
          <w:highlight w:val="none"/>
          <w:lang w:eastAsia="zh-CN"/>
        </w:rPr>
        <w:t>本所</w:t>
      </w:r>
      <w:r>
        <w:rPr>
          <w:rFonts w:hint="eastAsia" w:ascii="仿宋" w:hAnsi="仿宋" w:eastAsia="仿宋"/>
          <w:bCs/>
          <w:sz w:val="32"/>
          <w:szCs w:val="32"/>
          <w:highlight w:val="none"/>
        </w:rPr>
        <w:t>基金业务专区中的“业务办理—&gt;</w:t>
      </w:r>
      <w:r>
        <w:rPr>
          <w:rFonts w:hint="eastAsia" w:ascii="仿宋" w:hAnsi="仿宋" w:eastAsia="仿宋"/>
          <w:sz w:val="32"/>
          <w:szCs w:val="32"/>
          <w:highlight w:val="none"/>
        </w:rPr>
        <w:t>信息披露—&gt;基金临时报告—&gt;</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交易重大事项（REITs）</w:t>
      </w:r>
      <w:r>
        <w:rPr>
          <w:rFonts w:hint="eastAsia" w:ascii="仿宋" w:hAnsi="仿宋" w:eastAsia="仿宋"/>
          <w:bCs/>
          <w:sz w:val="32"/>
          <w:szCs w:val="32"/>
          <w:highlight w:val="none"/>
        </w:rPr>
        <w:t>”</w:t>
      </w:r>
      <w:r>
        <w:rPr>
          <w:rFonts w:hint="eastAsia" w:ascii="仿宋" w:hAnsi="仿宋" w:eastAsia="仿宋"/>
          <w:sz w:val="32"/>
          <w:szCs w:val="32"/>
          <w:highlight w:val="none"/>
        </w:rPr>
        <w:t>提交信息披露申请，并于次日对外披露。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若拟终止新购入</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，基金管理人应当及时通过</w:t>
      </w:r>
      <w:r>
        <w:rPr>
          <w:rFonts w:hint="eastAsia" w:ascii="仿宋" w:hAnsi="仿宋" w:eastAsia="仿宋"/>
          <w:sz w:val="32"/>
          <w:szCs w:val="32"/>
          <w:highlight w:val="none"/>
          <w:lang w:eastAsia="zh-CN"/>
        </w:rPr>
        <w:t>本所</w:t>
      </w:r>
      <w:r>
        <w:rPr>
          <w:rFonts w:hint="eastAsia" w:ascii="仿宋" w:hAnsi="仿宋" w:eastAsia="仿宋"/>
          <w:bCs/>
          <w:sz w:val="32"/>
          <w:szCs w:val="32"/>
          <w:highlight w:val="none"/>
        </w:rPr>
        <w:t>基金业务专区中的“业务办理—&gt;</w:t>
      </w:r>
      <w:r>
        <w:rPr>
          <w:rFonts w:hint="eastAsia" w:ascii="仿宋" w:hAnsi="仿宋" w:eastAsia="仿宋"/>
          <w:sz w:val="32"/>
          <w:szCs w:val="32"/>
          <w:highlight w:val="none"/>
        </w:rPr>
        <w:t>信息披露—&gt;基金临时报告—&gt;终止新购入</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（REITs）</w:t>
      </w:r>
      <w:r>
        <w:rPr>
          <w:rFonts w:hint="eastAsia" w:ascii="仿宋" w:hAnsi="仿宋" w:eastAsia="仿宋"/>
          <w:bCs/>
          <w:sz w:val="32"/>
          <w:szCs w:val="32"/>
          <w:highlight w:val="none"/>
        </w:rPr>
        <w:t>”</w:t>
      </w:r>
      <w:r>
        <w:rPr>
          <w:rFonts w:hint="eastAsia" w:ascii="仿宋" w:hAnsi="仿宋" w:eastAsia="仿宋"/>
          <w:sz w:val="32"/>
          <w:szCs w:val="32"/>
          <w:highlight w:val="none"/>
        </w:rPr>
        <w:t>提交信息披露申请，并召开基金份额持有人大会审议终止事项，按照前述章节召开基金份额持有人</w:t>
      </w:r>
      <w:r>
        <w:rPr>
          <w:rFonts w:hint="eastAsia" w:ascii="仿宋" w:hAnsi="仿宋" w:eastAsia="仿宋"/>
          <w:sz w:val="32"/>
          <w:szCs w:val="32"/>
          <w:highlight w:val="none"/>
          <w:lang w:eastAsia="zh-CN"/>
        </w:rPr>
        <w:t>大会</w:t>
      </w:r>
      <w:r>
        <w:rPr>
          <w:rFonts w:hint="eastAsia" w:ascii="仿宋" w:hAnsi="仿宋" w:eastAsia="仿宋"/>
          <w:sz w:val="32"/>
          <w:szCs w:val="32"/>
          <w:highlight w:val="none"/>
        </w:rPr>
        <w:t>的内容进行信息披露，但基金份额持有人大会已授权基金管理人在必要情况下办理终止新购入</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相关事宜的，可豁免召开基金份额持有人大会。</w:t>
      </w:r>
    </w:p>
    <w:p>
      <w:pPr>
        <w:pStyle w:val="4"/>
        <w:keepNext w:val="0"/>
        <w:keepLines w:val="0"/>
        <w:spacing w:before="0" w:after="0" w:line="560" w:lineRule="exact"/>
        <w:ind w:firstLine="640" w:firstLineChars="200"/>
        <w:rPr>
          <w:rFonts w:eastAsia="楷体"/>
          <w:b w:val="0"/>
          <w:highlight w:val="none"/>
        </w:rPr>
      </w:pPr>
      <w:bookmarkStart w:id="114" w:name="_Toc30261"/>
      <w:bookmarkStart w:id="115" w:name="_Toc20105"/>
      <w:bookmarkStart w:id="116" w:name="_Toc10675"/>
      <w:bookmarkStart w:id="117" w:name="_Toc10694"/>
      <w:bookmarkStart w:id="118" w:name="_Toc28710"/>
      <w:bookmarkStart w:id="119" w:name="_Toc146725919"/>
      <w:bookmarkStart w:id="120" w:name="_Toc21126"/>
      <w:r>
        <w:rPr>
          <w:rFonts w:hint="eastAsia" w:eastAsia="楷体"/>
          <w:b w:val="0"/>
          <w:highlight w:val="none"/>
        </w:rPr>
        <w:t>（</w:t>
      </w:r>
      <w:r>
        <w:rPr>
          <w:rFonts w:hint="eastAsia" w:eastAsia="楷体"/>
          <w:b w:val="0"/>
          <w:highlight w:val="none"/>
          <w:lang w:eastAsia="zh-CN"/>
        </w:rPr>
        <w:t>四</w:t>
      </w:r>
      <w:r>
        <w:rPr>
          <w:rFonts w:hint="eastAsia" w:eastAsia="楷体"/>
          <w:b w:val="0"/>
          <w:highlight w:val="none"/>
        </w:rPr>
        <w:t>）报送发售总结报告</w:t>
      </w:r>
      <w:bookmarkEnd w:id="114"/>
      <w:bookmarkEnd w:id="115"/>
      <w:bookmarkEnd w:id="116"/>
      <w:bookmarkEnd w:id="117"/>
      <w:bookmarkEnd w:id="118"/>
      <w:bookmarkEnd w:id="119"/>
      <w:bookmarkEnd w:id="120"/>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完成扩募份额备案之日起10个工作日内，基金管理人应当将发售总结报告</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基金管理人、财务顾问</w:t>
      </w:r>
      <w:r>
        <w:rPr>
          <w:rFonts w:hint="eastAsia" w:ascii="仿宋" w:hAnsi="仿宋" w:eastAsia="仿宋"/>
          <w:sz w:val="32"/>
          <w:szCs w:val="32"/>
          <w:highlight w:val="none"/>
          <w:lang w:eastAsia="zh-CN"/>
        </w:rPr>
        <w:t>（</w:t>
      </w:r>
      <w:r>
        <w:rPr>
          <w:rFonts w:hint="eastAsia" w:ascii="仿宋" w:hAnsi="仿宋" w:eastAsia="仿宋"/>
          <w:sz w:val="32"/>
          <w:szCs w:val="32"/>
          <w:highlight w:val="none"/>
        </w:rPr>
        <w:t>如有</w:t>
      </w:r>
      <w:r>
        <w:rPr>
          <w:rFonts w:hint="eastAsia" w:ascii="仿宋" w:hAnsi="仿宋" w:eastAsia="仿宋"/>
          <w:sz w:val="32"/>
          <w:szCs w:val="32"/>
          <w:highlight w:val="none"/>
          <w:lang w:eastAsia="zh-CN"/>
        </w:rPr>
        <w:t>）</w:t>
      </w:r>
      <w:r>
        <w:rPr>
          <w:rFonts w:ascii="仿宋" w:hAnsi="仿宋" w:eastAsia="仿宋"/>
          <w:sz w:val="32"/>
          <w:szCs w:val="32"/>
          <w:highlight w:val="none"/>
        </w:rPr>
        <w:t>盖章</w:t>
      </w:r>
      <w:r>
        <w:rPr>
          <w:rFonts w:hint="eastAsia" w:ascii="仿宋" w:hAnsi="仿宋" w:eastAsia="仿宋"/>
          <w:sz w:val="32"/>
          <w:szCs w:val="32"/>
          <w:highlight w:val="none"/>
        </w:rPr>
        <w:t>扫描件</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通过</w:t>
      </w:r>
      <w:r>
        <w:rPr>
          <w:rFonts w:hint="eastAsia" w:ascii="仿宋" w:hAnsi="仿宋" w:eastAsia="仿宋"/>
          <w:sz w:val="32"/>
          <w:szCs w:val="32"/>
          <w:highlight w:val="none"/>
          <w:lang w:eastAsia="zh-CN"/>
        </w:rPr>
        <w:t>本所基金业务专区</w:t>
      </w:r>
      <w:r>
        <w:rPr>
          <w:rFonts w:hint="eastAsia" w:ascii="仿宋" w:hAnsi="仿宋" w:eastAsia="仿宋"/>
          <w:sz w:val="32"/>
          <w:szCs w:val="32"/>
          <w:highlight w:val="none"/>
        </w:rPr>
        <w:t>“信息披露事后补充附件”，关联“基金合同更新公告”信息披露申请提交。</w:t>
      </w:r>
    </w:p>
    <w:p>
      <w:pPr>
        <w:spacing w:line="560" w:lineRule="exact"/>
        <w:ind w:firstLine="640" w:firstLineChars="200"/>
        <w:rPr>
          <w:rFonts w:ascii="仿宋" w:hAnsi="仿宋" w:eastAsia="仿宋"/>
          <w:sz w:val="32"/>
          <w:szCs w:val="32"/>
          <w:highlight w:val="none"/>
        </w:rPr>
      </w:pP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16"/>
        <w:gridCol w:w="2269"/>
        <w:gridCol w:w="54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jc w:val="center"/>
        </w:trPr>
        <w:tc>
          <w:tcPr>
            <w:tcW w:w="479" w:type="pct"/>
            <w:shd w:val="clear" w:color="auto" w:fill="auto"/>
            <w:vAlign w:val="center"/>
          </w:tcPr>
          <w:p>
            <w:pPr>
              <w:widowControl/>
              <w:jc w:val="center"/>
              <w:rPr>
                <w:rFonts w:ascii="仿宋" w:hAnsi="仿宋" w:eastAsia="仿宋" w:cs="Times New Roman"/>
                <w:b/>
                <w:bCs/>
                <w:color w:val="000000"/>
                <w:kern w:val="0"/>
                <w:sz w:val="24"/>
                <w:szCs w:val="24"/>
                <w:highlight w:val="none"/>
              </w:rPr>
            </w:pPr>
            <w:r>
              <w:rPr>
                <w:rFonts w:ascii="仿宋" w:hAnsi="仿宋" w:eastAsia="仿宋" w:cs="Times New Roman"/>
                <w:b/>
                <w:bCs/>
                <w:color w:val="000000"/>
                <w:kern w:val="0"/>
                <w:sz w:val="24"/>
                <w:szCs w:val="24"/>
                <w:highlight w:val="none"/>
              </w:rPr>
              <w:t>序号</w:t>
            </w:r>
          </w:p>
        </w:tc>
        <w:tc>
          <w:tcPr>
            <w:tcW w:w="1331" w:type="pct"/>
            <w:shd w:val="clear" w:color="auto" w:fill="auto"/>
            <w:vAlign w:val="center"/>
          </w:tcPr>
          <w:p>
            <w:pPr>
              <w:widowControl/>
              <w:jc w:val="center"/>
              <w:rPr>
                <w:rFonts w:ascii="仿宋" w:hAnsi="仿宋" w:eastAsia="仿宋" w:cs="Times New Roman"/>
                <w:b/>
                <w:bCs/>
                <w:color w:val="000000"/>
                <w:kern w:val="0"/>
                <w:sz w:val="24"/>
                <w:szCs w:val="24"/>
                <w:highlight w:val="none"/>
              </w:rPr>
            </w:pPr>
            <w:r>
              <w:rPr>
                <w:rFonts w:hint="eastAsia" w:ascii="仿宋" w:hAnsi="仿宋" w:eastAsia="仿宋" w:cs="Times New Roman"/>
                <w:b/>
                <w:bCs/>
                <w:color w:val="000000"/>
                <w:kern w:val="0"/>
                <w:sz w:val="24"/>
                <w:szCs w:val="24"/>
                <w:highlight w:val="none"/>
              </w:rPr>
              <w:t>时间</w:t>
            </w:r>
          </w:p>
        </w:tc>
        <w:tc>
          <w:tcPr>
            <w:tcW w:w="3190" w:type="pct"/>
            <w:shd w:val="clear" w:color="auto" w:fill="auto"/>
            <w:vAlign w:val="center"/>
          </w:tcPr>
          <w:p>
            <w:pPr>
              <w:widowControl/>
              <w:jc w:val="center"/>
              <w:rPr>
                <w:rFonts w:ascii="仿宋" w:hAnsi="仿宋" w:eastAsia="仿宋" w:cs="Times New Roman"/>
                <w:b/>
                <w:bCs/>
                <w:color w:val="000000"/>
                <w:kern w:val="0"/>
                <w:sz w:val="24"/>
                <w:szCs w:val="24"/>
                <w:highlight w:val="none"/>
              </w:rPr>
            </w:pPr>
            <w:r>
              <w:rPr>
                <w:rFonts w:hint="eastAsia" w:ascii="仿宋" w:hAnsi="仿宋" w:eastAsia="仿宋" w:cs="Times New Roman"/>
                <w:b/>
                <w:bCs/>
                <w:color w:val="000000"/>
                <w:kern w:val="0"/>
                <w:sz w:val="24"/>
                <w:szCs w:val="24"/>
                <w:highlight w:val="none"/>
              </w:rPr>
              <w:t>工作</w:t>
            </w:r>
            <w:r>
              <w:rPr>
                <w:rFonts w:ascii="仿宋" w:hAnsi="仿宋" w:eastAsia="仿宋" w:cs="Times New Roman"/>
                <w:b/>
                <w:bCs/>
                <w:color w:val="000000"/>
                <w:kern w:val="0"/>
                <w:sz w:val="24"/>
                <w:szCs w:val="24"/>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1</w:t>
            </w:r>
          </w:p>
        </w:tc>
        <w:tc>
          <w:tcPr>
            <w:tcW w:w="1331" w:type="pct"/>
            <w:tcBorders>
              <w:top w:val="single" w:color="auto" w:sz="8" w:space="0"/>
              <w:left w:val="single" w:color="auto" w:sz="8" w:space="0"/>
              <w:right w:val="single" w:color="auto" w:sz="8" w:space="0"/>
            </w:tcBorders>
            <w:shd w:val="clear" w:color="auto" w:fill="auto"/>
            <w:noWrap/>
            <w:vAlign w:val="center"/>
          </w:tcPr>
          <w:p>
            <w:pPr>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启动发售前</w:t>
            </w:r>
          </w:p>
        </w:tc>
        <w:tc>
          <w:tcPr>
            <w:tcW w:w="3190"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基金管理人向本所提交发售方案、中国证监会准予基金变更注册的批文、认购邀请书、拟发送认购邀请书名单、发售上市期间报送文件的相关承诺等文件进行扩募发售报备。本所在3个工作日内完成审批，并向申请人推送确认定价基准日和发售期首日待办。</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2</w:t>
            </w:r>
          </w:p>
        </w:tc>
        <w:tc>
          <w:tcPr>
            <w:tcW w:w="1331"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T</w:t>
            </w:r>
            <w:r>
              <w:rPr>
                <w:rFonts w:hint="eastAsia" w:ascii="仿宋" w:hAnsi="仿宋" w:eastAsia="仿宋" w:cs="Times New Roman"/>
                <w:color w:val="000000"/>
                <w:kern w:val="0"/>
                <w:sz w:val="24"/>
                <w:szCs w:val="24"/>
                <w:highlight w:val="none"/>
                <w:vertAlign w:val="subscript"/>
              </w:rPr>
              <w:t>1</w:t>
            </w:r>
            <w:r>
              <w:rPr>
                <w:rFonts w:hint="eastAsia" w:ascii="仿宋" w:hAnsi="仿宋" w:eastAsia="仿宋" w:cs="Times New Roman"/>
                <w:color w:val="000000"/>
                <w:kern w:val="0"/>
                <w:sz w:val="24"/>
                <w:szCs w:val="24"/>
                <w:highlight w:val="none"/>
              </w:rPr>
              <w:t>日及之前</w:t>
            </w:r>
          </w:p>
        </w:tc>
        <w:tc>
          <w:tcPr>
            <w:tcW w:w="3190"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基金管理人确定定价基准日当天，填写确认的定价基准日和发售期首日，并上传“REITs定向扩募基本情况表”（模板见</w:t>
            </w:r>
            <w:r>
              <w:rPr>
                <w:rFonts w:hint="eastAsia" w:ascii="仿宋" w:hAnsi="仿宋" w:eastAsia="仿宋" w:cs="Times New Roman"/>
                <w:color w:val="000000"/>
                <w:kern w:val="0"/>
                <w:sz w:val="24"/>
                <w:szCs w:val="24"/>
                <w:highlight w:val="none"/>
                <w:lang w:eastAsia="zh-CN"/>
              </w:rPr>
              <w:t>附件4</w:t>
            </w:r>
            <w:r>
              <w:rPr>
                <w:rFonts w:hint="eastAsia" w:ascii="仿宋" w:hAnsi="仿宋" w:eastAsia="仿宋" w:cs="Times New Roman"/>
                <w:color w:val="000000"/>
                <w:kern w:val="0"/>
                <w:sz w:val="24"/>
                <w:szCs w:val="24"/>
                <w:highlight w:val="none"/>
              </w:rPr>
              <w:t>）、“获准注册至</w:t>
            </w:r>
            <w:r>
              <w:rPr>
                <w:rFonts w:hint="eastAsia" w:ascii="仿宋" w:hAnsi="仿宋" w:eastAsia="仿宋" w:cs="Times New Roman"/>
                <w:color w:val="000000"/>
                <w:kern w:val="0"/>
                <w:sz w:val="24"/>
                <w:szCs w:val="24"/>
                <w:highlight w:val="none"/>
                <w:lang w:eastAsia="zh-CN"/>
              </w:rPr>
              <w:t>发售</w:t>
            </w:r>
            <w:r>
              <w:rPr>
                <w:rFonts w:hint="eastAsia" w:ascii="仿宋" w:hAnsi="仿宋" w:eastAsia="仿宋" w:cs="Times New Roman"/>
                <w:color w:val="000000"/>
                <w:kern w:val="0"/>
                <w:sz w:val="24"/>
                <w:szCs w:val="24"/>
                <w:highlight w:val="none"/>
              </w:rPr>
              <w:t>前不存在重大影响事项的承诺”盖章扫描件。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3</w:t>
            </w:r>
          </w:p>
        </w:tc>
        <w:tc>
          <w:tcPr>
            <w:tcW w:w="1331"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发售期间</w:t>
            </w:r>
          </w:p>
        </w:tc>
        <w:tc>
          <w:tcPr>
            <w:tcW w:w="3190"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基金管理人按照规定向特定对象组织</w:t>
            </w:r>
            <w:r>
              <w:rPr>
                <w:rFonts w:hint="eastAsia" w:ascii="仿宋" w:hAnsi="仿宋" w:eastAsia="仿宋" w:cs="Times New Roman"/>
                <w:color w:val="000000"/>
                <w:kern w:val="0"/>
                <w:sz w:val="24"/>
                <w:szCs w:val="24"/>
                <w:highlight w:val="none"/>
                <w:lang w:eastAsia="zh-CN"/>
              </w:rPr>
              <w:t>发售</w:t>
            </w:r>
            <w:r>
              <w:rPr>
                <w:rFonts w:hint="eastAsia" w:ascii="仿宋" w:hAnsi="仿宋" w:eastAsia="仿宋" w:cs="Times New Roman"/>
                <w:color w:val="000000"/>
                <w:kern w:val="0"/>
                <w:sz w:val="24"/>
                <w:szCs w:val="24"/>
                <w:highlight w:val="none"/>
              </w:rPr>
              <w:t>，若涉及基金份额的收购及份额权益变动，需履行相关审议、审批及披露程序。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4</w:t>
            </w:r>
          </w:p>
        </w:tc>
        <w:tc>
          <w:tcPr>
            <w:tcW w:w="1331"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Y日</w:t>
            </w:r>
          </w:p>
        </w:tc>
        <w:tc>
          <w:tcPr>
            <w:tcW w:w="3190"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会计师事务所就扩募发售结果出具验资报告。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5</w:t>
            </w:r>
          </w:p>
        </w:tc>
        <w:tc>
          <w:tcPr>
            <w:tcW w:w="1331"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Y-Y+1日</w:t>
            </w:r>
          </w:p>
        </w:tc>
        <w:tc>
          <w:tcPr>
            <w:tcW w:w="3190"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基金管理人向本所提交发行情况报告书信息披露申请于次日披露，同时将验资报告等文件作为附件报备。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6</w:t>
            </w:r>
          </w:p>
        </w:tc>
        <w:tc>
          <w:tcPr>
            <w:tcW w:w="1331"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发售完成后</w:t>
            </w:r>
          </w:p>
        </w:tc>
        <w:tc>
          <w:tcPr>
            <w:tcW w:w="3190"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需及时实施交易方案并编制交易实施情况报告书，于实施完毕之日起3个工作日内完成信息披露。若发生法律法规要求披露的重大事项，还需及时披露相关事项；若拟终止新购入</w:t>
            </w:r>
            <w:r>
              <w:rPr>
                <w:rFonts w:hint="eastAsia" w:ascii="仿宋" w:hAnsi="仿宋" w:eastAsia="仿宋" w:cs="Times New Roman"/>
                <w:color w:val="000000"/>
                <w:kern w:val="0"/>
                <w:sz w:val="24"/>
                <w:szCs w:val="24"/>
                <w:highlight w:val="none"/>
                <w:lang w:eastAsia="zh-CN"/>
              </w:rPr>
              <w:t>不动产项目</w:t>
            </w:r>
            <w:r>
              <w:rPr>
                <w:rFonts w:hint="eastAsia" w:ascii="仿宋" w:hAnsi="仿宋" w:eastAsia="仿宋" w:cs="Times New Roman"/>
                <w:color w:val="000000"/>
                <w:kern w:val="0"/>
                <w:sz w:val="24"/>
                <w:szCs w:val="24"/>
                <w:highlight w:val="none"/>
              </w:rPr>
              <w:t>，需进行信息披露，并召开</w:t>
            </w:r>
            <w:r>
              <w:rPr>
                <w:rFonts w:hint="eastAsia" w:ascii="仿宋" w:hAnsi="仿宋" w:eastAsia="仿宋" w:cs="Times New Roman"/>
                <w:color w:val="000000"/>
                <w:kern w:val="0"/>
                <w:sz w:val="24"/>
                <w:szCs w:val="24"/>
                <w:highlight w:val="none"/>
                <w:lang w:eastAsia="zh-CN"/>
              </w:rPr>
              <w:t>基金份额</w:t>
            </w:r>
            <w:r>
              <w:rPr>
                <w:rFonts w:hint="eastAsia" w:ascii="仿宋" w:hAnsi="仿宋" w:eastAsia="仿宋" w:cs="Times New Roman"/>
                <w:color w:val="000000"/>
                <w:kern w:val="0"/>
                <w:sz w:val="24"/>
                <w:szCs w:val="24"/>
                <w:highlight w:val="none"/>
              </w:rPr>
              <w:t>持有人</w:t>
            </w:r>
            <w:r>
              <w:rPr>
                <w:rFonts w:hint="eastAsia" w:ascii="仿宋" w:hAnsi="仿宋" w:eastAsia="仿宋" w:cs="Times New Roman"/>
                <w:color w:val="000000"/>
                <w:kern w:val="0"/>
                <w:sz w:val="24"/>
                <w:szCs w:val="24"/>
                <w:highlight w:val="none"/>
                <w:lang w:eastAsia="zh-CN"/>
              </w:rPr>
              <w:t>大会</w:t>
            </w:r>
            <w:r>
              <w:rPr>
                <w:rFonts w:hint="eastAsia" w:ascii="仿宋" w:hAnsi="仿宋" w:eastAsia="仿宋" w:cs="Times New Roman"/>
                <w:color w:val="000000"/>
                <w:kern w:val="0"/>
                <w:sz w:val="24"/>
                <w:szCs w:val="24"/>
                <w:highlight w:val="none"/>
              </w:rPr>
              <w:t>审议终止事项（如需）；提交发售总结报告。</w:t>
            </w:r>
          </w:p>
        </w:tc>
      </w:tr>
    </w:tbl>
    <w:p>
      <w:pPr>
        <w:pStyle w:val="2"/>
        <w:keepNext w:val="0"/>
        <w:keepLines w:val="0"/>
        <w:numPr>
          <w:ilvl w:val="-1"/>
          <w:numId w:val="0"/>
        </w:numPr>
        <w:adjustRightInd w:val="0"/>
        <w:snapToGrid w:val="0"/>
        <w:spacing w:line="240" w:lineRule="auto"/>
        <w:ind w:left="0" w:firstLine="0"/>
        <w:jc w:val="center"/>
        <w:rPr>
          <w:rFonts w:ascii="黑体" w:hAnsi="黑体" w:eastAsia="黑体"/>
          <w:b w:val="0"/>
          <w:sz w:val="32"/>
          <w:szCs w:val="32"/>
          <w:highlight w:val="none"/>
        </w:rPr>
      </w:pPr>
      <w:bookmarkStart w:id="121" w:name="_Toc7929"/>
      <w:bookmarkStart w:id="122" w:name="_Toc6328"/>
      <w:bookmarkStart w:id="123" w:name="_Toc23995"/>
      <w:bookmarkStart w:id="124" w:name="_Toc7034"/>
      <w:bookmarkStart w:id="125" w:name="_Toc146725920"/>
      <w:bookmarkStart w:id="126" w:name="_Toc20775"/>
      <w:bookmarkStart w:id="127" w:name="_Toc1445"/>
      <w:r>
        <w:rPr>
          <w:rFonts w:hint="eastAsia" w:ascii="黑体" w:hAnsi="黑体" w:eastAsia="黑体"/>
          <w:b w:val="0"/>
          <w:sz w:val="32"/>
          <w:szCs w:val="32"/>
          <w:highlight w:val="none"/>
          <w:lang w:eastAsia="zh-CN"/>
        </w:rPr>
        <w:t>第二章</w:t>
      </w:r>
      <w:r>
        <w:rPr>
          <w:rFonts w:hint="eastAsia" w:ascii="黑体" w:hAnsi="黑体" w:eastAsia="黑体"/>
          <w:b w:val="0"/>
          <w:sz w:val="32"/>
          <w:szCs w:val="32"/>
          <w:highlight w:val="none"/>
          <w:lang w:val="en-US" w:eastAsia="zh-CN"/>
        </w:rPr>
        <w:t xml:space="preserve"> </w:t>
      </w:r>
      <w:r>
        <w:rPr>
          <w:rFonts w:hint="eastAsia" w:ascii="黑体" w:hAnsi="黑体" w:eastAsia="黑体"/>
          <w:b w:val="0"/>
          <w:sz w:val="32"/>
          <w:szCs w:val="32"/>
          <w:highlight w:val="none"/>
        </w:rPr>
        <w:t>登记、限售及锁定</w:t>
      </w:r>
      <w:bookmarkEnd w:id="121"/>
      <w:bookmarkEnd w:id="122"/>
      <w:bookmarkEnd w:id="123"/>
      <w:bookmarkEnd w:id="124"/>
      <w:bookmarkEnd w:id="125"/>
      <w:bookmarkEnd w:id="126"/>
      <w:bookmarkEnd w:id="127"/>
    </w:p>
    <w:bookmarkEnd w:id="87"/>
    <w:p>
      <w:pPr>
        <w:spacing w:line="560" w:lineRule="exact"/>
        <w:ind w:firstLine="640" w:firstLineChars="200"/>
        <w:rPr>
          <w:rFonts w:hint="eastAsia" w:ascii="仿宋" w:hAnsi="仿宋" w:eastAsia="仿宋"/>
          <w:sz w:val="32"/>
          <w:szCs w:val="32"/>
          <w:highlight w:val="none"/>
          <w:lang w:eastAsia="zh-CN"/>
        </w:rPr>
      </w:pPr>
      <w:bookmarkStart w:id="128" w:name="_Toc29804"/>
      <w:bookmarkStart w:id="129" w:name="_Toc146725921"/>
      <w:bookmarkStart w:id="130" w:name="_Toc15617"/>
      <w:r>
        <w:rPr>
          <w:rFonts w:hint="eastAsia" w:ascii="仿宋" w:hAnsi="仿宋" w:eastAsia="仿宋"/>
          <w:sz w:val="32"/>
          <w:szCs w:val="32"/>
          <w:highlight w:val="none"/>
          <w:lang w:eastAsia="zh-CN"/>
        </w:rPr>
        <w:t>完成定向扩募发售后，基金管理人应当及时办理场内份额登记和限售、场外份额登记和锁定业务。</w:t>
      </w:r>
    </w:p>
    <w:p>
      <w:pPr>
        <w:spacing w:line="560" w:lineRule="exact"/>
        <w:ind w:firstLine="640" w:firstLineChars="200"/>
        <w:rPr>
          <w:rFonts w:hint="eastAsia" w:ascii="仿宋" w:hAnsi="仿宋" w:eastAsia="仿宋"/>
          <w:sz w:val="32"/>
          <w:szCs w:val="32"/>
          <w:highlight w:val="none"/>
          <w:lang w:eastAsia="zh-CN"/>
        </w:rPr>
      </w:pPr>
      <w:r>
        <w:rPr>
          <w:rFonts w:ascii="Times New Roman" w:hAnsi="Times New Roman" w:eastAsia="仿宋" w:cs="Times New Roman"/>
          <w:color w:val="000000"/>
          <w:sz w:val="32"/>
          <w:szCs w:val="32"/>
          <w:highlight w:val="none"/>
        </w:rPr>
        <w:t>基金份额持有人大会决议提前确定全部发售对象</w:t>
      </w:r>
      <w:r>
        <w:rPr>
          <w:rFonts w:hint="eastAsia" w:ascii="Times New Roman" w:hAnsi="Times New Roman" w:eastAsia="仿宋" w:cs="Times New Roman"/>
          <w:color w:val="000000"/>
          <w:sz w:val="32"/>
          <w:szCs w:val="32"/>
          <w:highlight w:val="none"/>
          <w:lang w:eastAsia="zh-CN"/>
        </w:rPr>
        <w:t>的</w:t>
      </w:r>
      <w:r>
        <w:rPr>
          <w:rFonts w:hint="eastAsia" w:ascii="仿宋" w:hAnsi="仿宋" w:eastAsia="仿宋"/>
          <w:sz w:val="32"/>
          <w:szCs w:val="32"/>
          <w:highlight w:val="none"/>
          <w:lang w:eastAsia="zh-CN"/>
        </w:rPr>
        <w:t>，</w:t>
      </w:r>
      <w:r>
        <w:rPr>
          <w:rFonts w:hint="eastAsia" w:ascii="仿宋" w:hAnsi="仿宋" w:eastAsia="仿宋"/>
          <w:sz w:val="32"/>
          <w:szCs w:val="32"/>
          <w:highlight w:val="none"/>
        </w:rPr>
        <w:t>新购入</w:t>
      </w:r>
      <w:r>
        <w:rPr>
          <w:rFonts w:hint="eastAsia" w:ascii="仿宋" w:hAnsi="仿宋" w:eastAsia="仿宋"/>
          <w:sz w:val="32"/>
          <w:szCs w:val="32"/>
          <w:highlight w:val="none"/>
          <w:lang w:eastAsia="zh-CN"/>
        </w:rPr>
        <w:t>不动产项目</w:t>
      </w:r>
      <w:r>
        <w:rPr>
          <w:rFonts w:hint="eastAsia" w:ascii="仿宋" w:hAnsi="仿宋" w:eastAsia="仿宋"/>
          <w:sz w:val="32"/>
          <w:szCs w:val="32"/>
          <w:highlight w:val="none"/>
        </w:rPr>
        <w:t>的原始权益人或其同一控制下的关联方</w:t>
      </w:r>
      <w:r>
        <w:rPr>
          <w:rFonts w:hint="eastAsia" w:ascii="仿宋" w:hAnsi="仿宋" w:eastAsia="仿宋"/>
          <w:sz w:val="32"/>
          <w:szCs w:val="32"/>
          <w:highlight w:val="none"/>
          <w:lang w:eastAsia="zh-CN"/>
        </w:rPr>
        <w:t>持有的</w:t>
      </w:r>
      <w:r>
        <w:rPr>
          <w:rFonts w:hint="eastAsia" w:ascii="仿宋" w:hAnsi="仿宋" w:eastAsia="仿宋"/>
          <w:sz w:val="32"/>
          <w:szCs w:val="32"/>
          <w:highlight w:val="none"/>
        </w:rPr>
        <w:t>20%及以内</w:t>
      </w:r>
      <w:r>
        <w:rPr>
          <w:rFonts w:hint="eastAsia" w:ascii="仿宋" w:hAnsi="仿宋" w:eastAsia="仿宋"/>
          <w:sz w:val="32"/>
          <w:szCs w:val="32"/>
          <w:highlight w:val="none"/>
          <w:lang w:eastAsia="zh-CN"/>
        </w:rPr>
        <w:t>份额自上市之日起</w:t>
      </w:r>
      <w:r>
        <w:rPr>
          <w:rFonts w:hint="eastAsia" w:ascii="仿宋" w:hAnsi="仿宋" w:eastAsia="仿宋"/>
          <w:sz w:val="32"/>
          <w:szCs w:val="32"/>
          <w:highlight w:val="none"/>
        </w:rPr>
        <w:t>60个月</w:t>
      </w:r>
      <w:r>
        <w:rPr>
          <w:rFonts w:hint="eastAsia" w:ascii="仿宋" w:hAnsi="仿宋" w:eastAsia="仿宋"/>
          <w:sz w:val="32"/>
          <w:szCs w:val="32"/>
          <w:highlight w:val="none"/>
          <w:lang w:eastAsia="zh-CN"/>
        </w:rPr>
        <w:t>不能转让</w:t>
      </w:r>
      <w:r>
        <w:rPr>
          <w:rFonts w:hint="eastAsia" w:ascii="仿宋" w:hAnsi="仿宋" w:eastAsia="仿宋"/>
          <w:sz w:val="32"/>
          <w:szCs w:val="32"/>
          <w:highlight w:val="none"/>
        </w:rPr>
        <w:t>，超过20%的</w:t>
      </w:r>
      <w:r>
        <w:rPr>
          <w:rFonts w:hint="eastAsia" w:ascii="仿宋" w:hAnsi="仿宋" w:eastAsia="仿宋"/>
          <w:sz w:val="32"/>
          <w:szCs w:val="32"/>
          <w:highlight w:val="none"/>
          <w:lang w:eastAsia="zh-CN"/>
        </w:rPr>
        <w:t>份额自上市之日起</w:t>
      </w:r>
      <w:r>
        <w:rPr>
          <w:rFonts w:hint="eastAsia" w:ascii="仿宋" w:hAnsi="仿宋" w:eastAsia="仿宋"/>
          <w:sz w:val="32"/>
          <w:szCs w:val="32"/>
          <w:highlight w:val="none"/>
        </w:rPr>
        <w:t>36个月</w:t>
      </w:r>
      <w:r>
        <w:rPr>
          <w:rFonts w:hint="eastAsia" w:ascii="仿宋" w:hAnsi="仿宋" w:eastAsia="仿宋"/>
          <w:sz w:val="32"/>
          <w:szCs w:val="32"/>
          <w:highlight w:val="none"/>
          <w:lang w:eastAsia="zh-CN"/>
        </w:rPr>
        <w:t>不能转让</w:t>
      </w:r>
      <w:r>
        <w:rPr>
          <w:rFonts w:hint="eastAsia" w:ascii="仿宋" w:hAnsi="仿宋" w:eastAsia="仿宋"/>
          <w:sz w:val="32"/>
          <w:szCs w:val="32"/>
          <w:highlight w:val="none"/>
        </w:rPr>
        <w:t>，</w:t>
      </w:r>
      <w:r>
        <w:rPr>
          <w:rFonts w:hint="eastAsia" w:ascii="仿宋" w:hAnsi="仿宋" w:eastAsia="仿宋"/>
          <w:sz w:val="32"/>
          <w:szCs w:val="32"/>
          <w:highlight w:val="none"/>
          <w:lang w:eastAsia="zh-CN"/>
        </w:rPr>
        <w:t>且全部份额</w:t>
      </w:r>
      <w:r>
        <w:rPr>
          <w:rFonts w:hint="eastAsia" w:ascii="仿宋" w:hAnsi="仿宋" w:eastAsia="仿宋"/>
          <w:sz w:val="32"/>
          <w:szCs w:val="32"/>
          <w:highlight w:val="none"/>
        </w:rPr>
        <w:t>限售期间内不允许质押</w:t>
      </w:r>
      <w:r>
        <w:rPr>
          <w:rFonts w:hint="eastAsia" w:ascii="仿宋" w:hAnsi="仿宋" w:eastAsia="仿宋"/>
          <w:sz w:val="32"/>
          <w:szCs w:val="32"/>
          <w:highlight w:val="none"/>
          <w:lang w:eastAsia="zh-CN"/>
        </w:rPr>
        <w:t>；</w:t>
      </w:r>
      <w:r>
        <w:rPr>
          <w:rFonts w:hint="eastAsia" w:ascii="仿宋" w:hAnsi="仿宋" w:eastAsia="仿宋"/>
          <w:sz w:val="32"/>
          <w:szCs w:val="32"/>
          <w:highlight w:val="none"/>
        </w:rPr>
        <w:t>持有份额超过20%的第一大</w:t>
      </w:r>
      <w:r>
        <w:rPr>
          <w:rFonts w:hint="eastAsia" w:ascii="仿宋" w:hAnsi="仿宋" w:eastAsia="仿宋"/>
          <w:sz w:val="32"/>
          <w:szCs w:val="32"/>
          <w:highlight w:val="none"/>
          <w:lang w:eastAsia="zh-CN"/>
        </w:rPr>
        <w:t>不动产基金</w:t>
      </w:r>
      <w:r>
        <w:rPr>
          <w:rFonts w:hint="eastAsia" w:ascii="仿宋" w:hAnsi="仿宋" w:eastAsia="仿宋"/>
          <w:sz w:val="32"/>
          <w:szCs w:val="32"/>
          <w:highlight w:val="none"/>
        </w:rPr>
        <w:t>持有人或通过认购本次发售份额成为持有份额超过20%的第一大</w:t>
      </w:r>
      <w:r>
        <w:rPr>
          <w:rFonts w:hint="eastAsia" w:ascii="仿宋" w:hAnsi="仿宋" w:eastAsia="仿宋"/>
          <w:sz w:val="32"/>
          <w:szCs w:val="32"/>
          <w:highlight w:val="none"/>
          <w:lang w:eastAsia="zh-CN"/>
        </w:rPr>
        <w:t>不动产基金</w:t>
      </w:r>
      <w:r>
        <w:rPr>
          <w:rFonts w:hint="eastAsia" w:ascii="仿宋" w:hAnsi="仿宋" w:eastAsia="仿宋"/>
          <w:sz w:val="32"/>
          <w:szCs w:val="32"/>
          <w:highlight w:val="none"/>
        </w:rPr>
        <w:t>持有人的投资者</w:t>
      </w:r>
      <w:r>
        <w:rPr>
          <w:rFonts w:hint="eastAsia" w:ascii="仿宋" w:hAnsi="仿宋" w:eastAsia="仿宋"/>
          <w:sz w:val="32"/>
          <w:szCs w:val="32"/>
          <w:highlight w:val="none"/>
          <w:lang w:eastAsia="zh-CN"/>
        </w:rPr>
        <w:t>自上市之日起</w:t>
      </w:r>
      <w:r>
        <w:rPr>
          <w:rFonts w:hint="eastAsia" w:ascii="仿宋" w:hAnsi="仿宋" w:eastAsia="仿宋"/>
          <w:sz w:val="32"/>
          <w:szCs w:val="32"/>
          <w:highlight w:val="none"/>
        </w:rPr>
        <w:t>18个月</w:t>
      </w:r>
      <w:r>
        <w:rPr>
          <w:rFonts w:hint="eastAsia" w:ascii="仿宋" w:hAnsi="仿宋" w:eastAsia="仿宋"/>
          <w:sz w:val="32"/>
          <w:szCs w:val="32"/>
          <w:highlight w:val="none"/>
          <w:lang w:eastAsia="zh-CN"/>
        </w:rPr>
        <w:t>不能转让</w:t>
      </w:r>
      <w:r>
        <w:rPr>
          <w:rFonts w:hint="eastAsia" w:ascii="仿宋" w:hAnsi="仿宋" w:eastAsia="仿宋"/>
          <w:sz w:val="32"/>
          <w:szCs w:val="32"/>
          <w:highlight w:val="none"/>
        </w:rPr>
        <w:t>；通过本次扩募引入</w:t>
      </w:r>
      <w:r>
        <w:rPr>
          <w:rFonts w:hint="eastAsia" w:ascii="仿宋" w:hAnsi="仿宋" w:eastAsia="仿宋"/>
          <w:sz w:val="32"/>
          <w:szCs w:val="32"/>
          <w:highlight w:val="none"/>
          <w:lang w:eastAsia="zh-CN"/>
        </w:rPr>
        <w:t>的专业机构</w:t>
      </w:r>
      <w:r>
        <w:rPr>
          <w:rFonts w:hint="eastAsia" w:ascii="仿宋" w:hAnsi="仿宋" w:eastAsia="仿宋"/>
          <w:sz w:val="32"/>
          <w:szCs w:val="32"/>
          <w:highlight w:val="none"/>
        </w:rPr>
        <w:t>投资者</w:t>
      </w:r>
      <w:r>
        <w:rPr>
          <w:rFonts w:hint="eastAsia" w:ascii="仿宋" w:hAnsi="仿宋" w:eastAsia="仿宋"/>
          <w:sz w:val="32"/>
          <w:szCs w:val="32"/>
          <w:highlight w:val="none"/>
          <w:lang w:eastAsia="zh-CN"/>
        </w:rPr>
        <w:t>自上市之日起</w:t>
      </w:r>
      <w:r>
        <w:rPr>
          <w:rFonts w:hint="eastAsia" w:ascii="仿宋" w:hAnsi="仿宋" w:eastAsia="仿宋"/>
          <w:sz w:val="32"/>
          <w:szCs w:val="32"/>
          <w:highlight w:val="none"/>
        </w:rPr>
        <w:t>18个月</w:t>
      </w:r>
      <w:r>
        <w:rPr>
          <w:rFonts w:hint="eastAsia" w:ascii="仿宋" w:hAnsi="仿宋" w:eastAsia="仿宋"/>
          <w:sz w:val="32"/>
          <w:szCs w:val="32"/>
          <w:highlight w:val="none"/>
          <w:lang w:eastAsia="zh-CN"/>
        </w:rPr>
        <w:t>不能转让。</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非提前确定全部发售对象的，通过竞价确定的</w:t>
      </w:r>
      <w:r>
        <w:rPr>
          <w:rFonts w:hint="eastAsia" w:ascii="仿宋" w:hAnsi="仿宋" w:eastAsia="仿宋"/>
          <w:sz w:val="32"/>
          <w:szCs w:val="32"/>
          <w:highlight w:val="none"/>
        </w:rPr>
        <w:t>投资者</w:t>
      </w:r>
      <w:r>
        <w:rPr>
          <w:rFonts w:hint="eastAsia" w:ascii="仿宋" w:hAnsi="仿宋" w:eastAsia="仿宋"/>
          <w:sz w:val="32"/>
          <w:szCs w:val="32"/>
          <w:highlight w:val="none"/>
          <w:lang w:eastAsia="zh-CN"/>
        </w:rPr>
        <w:t>自上市之日起</w:t>
      </w:r>
      <w:r>
        <w:rPr>
          <w:rFonts w:hint="eastAsia" w:ascii="仿宋" w:hAnsi="仿宋" w:eastAsia="仿宋"/>
          <w:sz w:val="32"/>
          <w:szCs w:val="32"/>
          <w:highlight w:val="none"/>
        </w:rPr>
        <w:t>6个月</w:t>
      </w:r>
      <w:r>
        <w:rPr>
          <w:rFonts w:hint="eastAsia" w:ascii="仿宋" w:hAnsi="仿宋" w:eastAsia="仿宋"/>
          <w:sz w:val="32"/>
          <w:szCs w:val="32"/>
          <w:highlight w:val="none"/>
          <w:lang w:eastAsia="zh-CN"/>
        </w:rPr>
        <w:t>不能转让，提前确定的部分发售对象限售期参照提前确定全部发售对象的限售规则</w:t>
      </w:r>
      <w:r>
        <w:rPr>
          <w:rFonts w:hint="eastAsia" w:ascii="仿宋" w:hAnsi="仿宋" w:eastAsia="仿宋"/>
          <w:sz w:val="32"/>
          <w:szCs w:val="32"/>
          <w:highlight w:val="none"/>
        </w:rPr>
        <w:t>。</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扩募份额解限</w:t>
      </w:r>
      <w:r>
        <w:rPr>
          <w:rFonts w:hint="eastAsia" w:ascii="仿宋" w:hAnsi="仿宋" w:eastAsia="仿宋"/>
          <w:sz w:val="32"/>
          <w:szCs w:val="32"/>
          <w:highlight w:val="none"/>
          <w:lang w:eastAsia="zh-CN"/>
        </w:rPr>
        <w:t>和</w:t>
      </w:r>
      <w:r>
        <w:rPr>
          <w:rFonts w:hint="eastAsia" w:ascii="仿宋" w:hAnsi="仿宋" w:eastAsia="仿宋"/>
          <w:sz w:val="32"/>
          <w:szCs w:val="32"/>
          <w:highlight w:val="none"/>
        </w:rPr>
        <w:t>解锁参照《深圳证券交易所公开募集</w:t>
      </w:r>
      <w:r>
        <w:rPr>
          <w:rFonts w:hint="eastAsia" w:ascii="仿宋" w:hAnsi="仿宋" w:eastAsia="仿宋"/>
          <w:sz w:val="32"/>
          <w:szCs w:val="32"/>
          <w:highlight w:val="none"/>
          <w:lang w:eastAsia="zh-CN"/>
        </w:rPr>
        <w:t>不动产投资信托基金</w:t>
      </w:r>
      <w:r>
        <w:rPr>
          <w:rFonts w:hint="eastAsia" w:ascii="仿宋" w:hAnsi="仿宋" w:eastAsia="仿宋"/>
          <w:sz w:val="32"/>
          <w:szCs w:val="32"/>
          <w:highlight w:val="none"/>
        </w:rPr>
        <w:t>业务指南第4号——存续期业务办理》第二章内容办理。</w:t>
      </w:r>
    </w:p>
    <w:p>
      <w:pPr>
        <w:pStyle w:val="3"/>
        <w:keepNext w:val="0"/>
        <w:keepLines w:val="0"/>
        <w:spacing w:before="0" w:after="0" w:line="560" w:lineRule="exact"/>
        <w:ind w:firstLine="640" w:firstLineChars="200"/>
        <w:rPr>
          <w:rFonts w:eastAsia="黑体"/>
          <w:b w:val="0"/>
          <w:highlight w:val="none"/>
        </w:rPr>
      </w:pPr>
      <w:bookmarkStart w:id="131" w:name="_Toc22911"/>
      <w:bookmarkStart w:id="132" w:name="_Toc9083"/>
      <w:bookmarkStart w:id="133" w:name="_Toc4394"/>
      <w:bookmarkStart w:id="134" w:name="_Toc6139"/>
      <w:r>
        <w:rPr>
          <w:rFonts w:hint="eastAsia" w:eastAsia="黑体"/>
          <w:b w:val="0"/>
          <w:highlight w:val="none"/>
        </w:rPr>
        <w:t>一、</w:t>
      </w:r>
      <w:r>
        <w:rPr>
          <w:rFonts w:hint="eastAsia" w:eastAsia="黑体"/>
          <w:b w:val="0"/>
          <w:highlight w:val="none"/>
          <w:lang w:eastAsia="zh-CN"/>
        </w:rPr>
        <w:t>同时包括</w:t>
      </w:r>
      <w:r>
        <w:rPr>
          <w:rFonts w:hint="eastAsia" w:eastAsia="黑体"/>
          <w:b w:val="0"/>
          <w:highlight w:val="none"/>
        </w:rPr>
        <w:t>场外</w:t>
      </w:r>
      <w:r>
        <w:rPr>
          <w:rFonts w:hint="eastAsia" w:eastAsia="黑体"/>
          <w:b w:val="0"/>
          <w:highlight w:val="none"/>
          <w:lang w:eastAsia="zh-CN"/>
        </w:rPr>
        <w:t>和场内</w:t>
      </w:r>
      <w:r>
        <w:rPr>
          <w:rFonts w:hint="eastAsia" w:eastAsia="黑体"/>
          <w:b w:val="0"/>
          <w:highlight w:val="none"/>
        </w:rPr>
        <w:t>扩募份额情形</w:t>
      </w:r>
      <w:bookmarkEnd w:id="128"/>
      <w:bookmarkEnd w:id="129"/>
      <w:bookmarkEnd w:id="130"/>
      <w:bookmarkEnd w:id="131"/>
      <w:bookmarkEnd w:id="132"/>
      <w:bookmarkEnd w:id="133"/>
      <w:bookmarkEnd w:id="134"/>
    </w:p>
    <w:p>
      <w:pPr>
        <w:pStyle w:val="4"/>
        <w:keepNext w:val="0"/>
        <w:keepLines w:val="0"/>
        <w:spacing w:before="0" w:after="0" w:line="560" w:lineRule="exact"/>
        <w:ind w:firstLine="640" w:firstLineChars="200"/>
        <w:rPr>
          <w:rFonts w:hint="eastAsia" w:eastAsia="楷体"/>
          <w:b w:val="0"/>
          <w:highlight w:val="none"/>
          <w:lang w:eastAsia="zh-CN"/>
        </w:rPr>
      </w:pPr>
      <w:bookmarkStart w:id="135" w:name="_Toc11693"/>
      <w:bookmarkStart w:id="136" w:name="_Toc14873"/>
      <w:bookmarkStart w:id="137" w:name="_Toc23335"/>
      <w:bookmarkStart w:id="138" w:name="_Toc15866"/>
      <w:bookmarkStart w:id="139" w:name="_Toc29579"/>
      <w:bookmarkStart w:id="140" w:name="_Toc14237"/>
      <w:bookmarkStart w:id="141" w:name="_Toc146725922"/>
      <w:r>
        <w:rPr>
          <w:rFonts w:hint="eastAsia" w:eastAsia="楷体"/>
          <w:b w:val="0"/>
          <w:highlight w:val="none"/>
        </w:rPr>
        <w:t>（一）</w:t>
      </w:r>
      <w:r>
        <w:rPr>
          <w:rFonts w:hint="eastAsia" w:eastAsia="楷体"/>
          <w:b w:val="0"/>
          <w:highlight w:val="none"/>
          <w:lang w:eastAsia="zh-CN"/>
        </w:rPr>
        <w:t>总体时间流程</w:t>
      </w:r>
      <w:bookmarkEnd w:id="135"/>
      <w:bookmarkEnd w:id="136"/>
      <w:bookmarkEnd w:id="137"/>
      <w:bookmarkEnd w:id="138"/>
      <w:bookmarkEnd w:id="139"/>
      <w:bookmarkEnd w:id="140"/>
    </w:p>
    <w:p>
      <w:pPr>
        <w:pStyle w:val="4"/>
        <w:keepNext w:val="0"/>
        <w:keepLines w:val="0"/>
        <w:spacing w:before="0" w:after="0" w:line="560" w:lineRule="exact"/>
        <w:ind w:firstLine="643" w:firstLineChars="200"/>
        <w:rPr>
          <w:rFonts w:hint="eastAsia" w:ascii="仿宋" w:hAnsi="仿宋" w:eastAsia="仿宋" w:cs="仿宋"/>
          <w:b w:val="0"/>
          <w:highlight w:val="none"/>
          <w:lang w:eastAsia="zh-CN"/>
        </w:rPr>
      </w:pPr>
      <w:bookmarkStart w:id="142" w:name="_Toc7128"/>
      <w:bookmarkStart w:id="143" w:name="_Toc19980"/>
      <w:bookmarkStart w:id="144" w:name="_Toc1963"/>
      <w:bookmarkStart w:id="145" w:name="_Toc28163"/>
      <w:bookmarkStart w:id="146" w:name="_Toc27498"/>
      <w:bookmarkStart w:id="147" w:name="_Toc17077"/>
      <w:r>
        <w:rPr>
          <w:highlight w:val="none"/>
        </w:rPr>
        <w:drawing>
          <wp:anchor distT="0" distB="0" distL="114300" distR="114300" simplePos="0" relativeHeight="251662336" behindDoc="0" locked="0" layoutInCell="1" allowOverlap="1">
            <wp:simplePos x="0" y="0"/>
            <wp:positionH relativeFrom="column">
              <wp:posOffset>-135255</wp:posOffset>
            </wp:positionH>
            <wp:positionV relativeFrom="paragraph">
              <wp:posOffset>563245</wp:posOffset>
            </wp:positionV>
            <wp:extent cx="5271135" cy="3121660"/>
            <wp:effectExtent l="0" t="0" r="5715" b="254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9"/>
                    <a:stretch>
                      <a:fillRect/>
                    </a:stretch>
                  </pic:blipFill>
                  <pic:spPr>
                    <a:xfrm>
                      <a:off x="0" y="0"/>
                      <a:ext cx="5271135" cy="3121660"/>
                    </a:xfrm>
                    <a:prstGeom prst="rect">
                      <a:avLst/>
                    </a:prstGeom>
                    <a:noFill/>
                    <a:ln>
                      <a:noFill/>
                    </a:ln>
                  </pic:spPr>
                </pic:pic>
              </a:graphicData>
            </a:graphic>
          </wp:anchor>
        </w:drawing>
      </w:r>
      <w:r>
        <w:rPr>
          <w:rFonts w:hint="eastAsia" w:ascii="仿宋" w:hAnsi="仿宋" w:eastAsia="仿宋"/>
          <w:b w:val="0"/>
          <w:bCs w:val="0"/>
          <w:sz w:val="32"/>
          <w:szCs w:val="32"/>
          <w:highlight w:val="none"/>
        </w:rPr>
        <w:t>1．</w:t>
      </w:r>
      <w:r>
        <w:rPr>
          <w:rFonts w:hint="eastAsia" w:ascii="仿宋" w:hAnsi="仿宋" w:eastAsia="仿宋" w:cs="仿宋"/>
          <w:b w:val="0"/>
          <w:highlight w:val="none"/>
        </w:rPr>
        <w:t>场</w:t>
      </w:r>
      <w:r>
        <w:rPr>
          <w:rFonts w:hint="eastAsia" w:ascii="仿宋" w:hAnsi="仿宋" w:eastAsia="仿宋" w:cs="仿宋"/>
          <w:b w:val="0"/>
          <w:highlight w:val="none"/>
          <w:lang w:eastAsia="zh-CN"/>
        </w:rPr>
        <w:t>外</w:t>
      </w:r>
      <w:r>
        <w:rPr>
          <w:rFonts w:hint="eastAsia" w:ascii="仿宋" w:hAnsi="仿宋" w:eastAsia="仿宋" w:cs="仿宋"/>
          <w:b w:val="0"/>
          <w:highlight w:val="none"/>
        </w:rPr>
        <w:t>份额登记及</w:t>
      </w:r>
      <w:r>
        <w:rPr>
          <w:rFonts w:hint="eastAsia" w:ascii="仿宋" w:hAnsi="仿宋" w:eastAsia="仿宋" w:cs="仿宋"/>
          <w:b w:val="0"/>
          <w:highlight w:val="none"/>
          <w:lang w:eastAsia="zh-CN"/>
        </w:rPr>
        <w:t>锁定时间流程</w:t>
      </w:r>
      <w:bookmarkEnd w:id="142"/>
      <w:bookmarkEnd w:id="143"/>
      <w:bookmarkEnd w:id="144"/>
      <w:bookmarkEnd w:id="145"/>
      <w:bookmarkEnd w:id="146"/>
      <w:bookmarkEnd w:id="147"/>
    </w:p>
    <w:p>
      <w:pPr>
        <w:pStyle w:val="4"/>
        <w:keepNext w:val="0"/>
        <w:keepLines w:val="0"/>
        <w:spacing w:before="0" w:after="0" w:line="560" w:lineRule="exact"/>
        <w:ind w:firstLine="640" w:firstLineChars="200"/>
        <w:rPr>
          <w:rFonts w:hint="eastAsia" w:ascii="仿宋" w:hAnsi="仿宋" w:eastAsia="仿宋" w:cs="仿宋"/>
          <w:b w:val="0"/>
          <w:highlight w:val="none"/>
          <w:lang w:eastAsia="zh-CN"/>
        </w:rPr>
      </w:pPr>
      <w:bookmarkStart w:id="148" w:name="_Toc31822"/>
      <w:bookmarkStart w:id="149" w:name="_Toc23208"/>
      <w:bookmarkStart w:id="150" w:name="_Toc18153"/>
      <w:bookmarkStart w:id="151" w:name="_Toc20164"/>
      <w:bookmarkStart w:id="152" w:name="_Toc19669"/>
      <w:bookmarkStart w:id="153" w:name="_Toc4029"/>
      <w:r>
        <w:rPr>
          <w:rFonts w:hint="eastAsia" w:ascii="仿宋" w:hAnsi="仿宋" w:eastAsia="仿宋"/>
          <w:b w:val="0"/>
          <w:bCs w:val="0"/>
          <w:sz w:val="32"/>
          <w:szCs w:val="32"/>
          <w:highlight w:val="none"/>
          <w:lang w:val="en-US" w:eastAsia="zh-CN"/>
        </w:rPr>
        <w:t>2</w:t>
      </w:r>
      <w:r>
        <w:rPr>
          <w:rFonts w:hint="eastAsia" w:ascii="仿宋" w:hAnsi="仿宋" w:eastAsia="仿宋"/>
          <w:b w:val="0"/>
          <w:bCs w:val="0"/>
          <w:sz w:val="32"/>
          <w:szCs w:val="32"/>
          <w:highlight w:val="none"/>
        </w:rPr>
        <w:t>．</w:t>
      </w:r>
      <w:r>
        <w:rPr>
          <w:rFonts w:hint="eastAsia" w:ascii="仿宋" w:hAnsi="仿宋" w:eastAsia="仿宋" w:cs="仿宋"/>
          <w:b w:val="0"/>
          <w:highlight w:val="none"/>
        </w:rPr>
        <w:t>场</w:t>
      </w:r>
      <w:r>
        <w:rPr>
          <w:rFonts w:hint="eastAsia" w:ascii="仿宋" w:hAnsi="仿宋" w:eastAsia="仿宋" w:cs="仿宋"/>
          <w:b w:val="0"/>
          <w:highlight w:val="none"/>
          <w:lang w:eastAsia="zh-CN"/>
        </w:rPr>
        <w:t>内</w:t>
      </w:r>
      <w:r>
        <w:rPr>
          <w:rFonts w:hint="eastAsia" w:ascii="仿宋" w:hAnsi="仿宋" w:eastAsia="仿宋" w:cs="仿宋"/>
          <w:b w:val="0"/>
          <w:highlight w:val="none"/>
        </w:rPr>
        <w:t>份额登记及限售</w:t>
      </w:r>
      <w:r>
        <w:rPr>
          <w:rFonts w:hint="eastAsia" w:ascii="仿宋" w:hAnsi="仿宋" w:eastAsia="仿宋" w:cs="仿宋"/>
          <w:b w:val="0"/>
          <w:highlight w:val="none"/>
          <w:lang w:eastAsia="zh-CN"/>
        </w:rPr>
        <w:t>时间流程</w:t>
      </w:r>
      <w:bookmarkEnd w:id="148"/>
      <w:bookmarkEnd w:id="149"/>
      <w:bookmarkEnd w:id="150"/>
      <w:bookmarkEnd w:id="151"/>
      <w:bookmarkEnd w:id="152"/>
      <w:bookmarkEnd w:id="153"/>
    </w:p>
    <w:p>
      <w:pPr>
        <w:pStyle w:val="4"/>
        <w:keepNext w:val="0"/>
        <w:keepLines w:val="0"/>
        <w:spacing w:before="0" w:after="0" w:line="560" w:lineRule="exact"/>
        <w:ind w:firstLine="643" w:firstLineChars="200"/>
        <w:rPr>
          <w:rFonts w:hint="eastAsia" w:eastAsia="楷体"/>
          <w:b w:val="0"/>
          <w:highlight w:val="none"/>
          <w:lang w:eastAsia="zh-CN"/>
        </w:rPr>
      </w:pPr>
      <w:bookmarkStart w:id="154" w:name="_Toc1591"/>
      <w:bookmarkStart w:id="155" w:name="_Toc26789"/>
      <w:bookmarkStart w:id="156" w:name="_Toc26115"/>
      <w:bookmarkStart w:id="157" w:name="_Toc2222"/>
      <w:bookmarkStart w:id="158" w:name="_Toc691"/>
      <w:bookmarkStart w:id="159" w:name="_Toc6782"/>
      <w:r>
        <w:rPr>
          <w:rFonts w:hint="eastAsia" w:ascii="仿宋" w:hAnsi="仿宋" w:eastAsia="仿宋"/>
          <w:sz w:val="32"/>
          <w:szCs w:val="32"/>
          <w:highlight w:val="none"/>
        </w:rPr>
        <w:drawing>
          <wp:anchor distT="0" distB="0" distL="114300" distR="114300" simplePos="0" relativeHeight="251660288" behindDoc="1" locked="0" layoutInCell="1" allowOverlap="1">
            <wp:simplePos x="0" y="0"/>
            <wp:positionH relativeFrom="column">
              <wp:posOffset>170180</wp:posOffset>
            </wp:positionH>
            <wp:positionV relativeFrom="paragraph">
              <wp:posOffset>87630</wp:posOffset>
            </wp:positionV>
            <wp:extent cx="4878705" cy="2981960"/>
            <wp:effectExtent l="0" t="0" r="17145" b="8890"/>
            <wp:wrapTight wrapText="bothSides">
              <wp:wrapPolygon>
                <wp:start x="0" y="0"/>
                <wp:lineTo x="0" y="21526"/>
                <wp:lineTo x="21507" y="21526"/>
                <wp:lineTo x="21507"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1192530" y="0"/>
                      <a:ext cx="4878705" cy="2981960"/>
                    </a:xfrm>
                    <a:prstGeom prst="rect">
                      <a:avLst/>
                    </a:prstGeom>
                  </pic:spPr>
                </pic:pic>
              </a:graphicData>
            </a:graphic>
          </wp:anchor>
        </w:drawing>
      </w:r>
      <w:r>
        <w:rPr>
          <w:rFonts w:hint="eastAsia" w:eastAsia="楷体"/>
          <w:b w:val="0"/>
          <w:highlight w:val="none"/>
        </w:rPr>
        <w:t>（</w:t>
      </w:r>
      <w:r>
        <w:rPr>
          <w:rFonts w:hint="eastAsia" w:eastAsia="楷体"/>
          <w:b w:val="0"/>
          <w:highlight w:val="none"/>
          <w:lang w:eastAsia="zh-CN"/>
        </w:rPr>
        <w:t>二</w:t>
      </w:r>
      <w:r>
        <w:rPr>
          <w:rFonts w:hint="eastAsia" w:eastAsia="楷体"/>
          <w:b w:val="0"/>
          <w:highlight w:val="none"/>
        </w:rPr>
        <w:t>）</w:t>
      </w:r>
      <w:r>
        <w:rPr>
          <w:rFonts w:hint="eastAsia" w:eastAsia="楷体"/>
          <w:b w:val="0"/>
          <w:highlight w:val="none"/>
          <w:lang w:eastAsia="zh-CN"/>
        </w:rPr>
        <w:t>具体步骤</w:t>
      </w:r>
      <w:bookmarkEnd w:id="154"/>
      <w:bookmarkEnd w:id="155"/>
      <w:bookmarkEnd w:id="156"/>
      <w:bookmarkEnd w:id="157"/>
      <w:bookmarkEnd w:id="158"/>
      <w:bookmarkEnd w:id="159"/>
    </w:p>
    <w:p>
      <w:pPr>
        <w:pStyle w:val="4"/>
        <w:keepNext w:val="0"/>
        <w:keepLines w:val="0"/>
        <w:spacing w:before="0" w:after="0" w:line="560" w:lineRule="exact"/>
        <w:ind w:firstLine="640" w:firstLineChars="200"/>
        <w:rPr>
          <w:rFonts w:hint="eastAsia" w:ascii="仿宋" w:hAnsi="仿宋" w:eastAsia="仿宋" w:cs="仿宋"/>
          <w:b w:val="0"/>
          <w:highlight w:val="none"/>
        </w:rPr>
      </w:pPr>
      <w:bookmarkStart w:id="160" w:name="_Toc28443"/>
      <w:bookmarkStart w:id="161" w:name="_Toc8388"/>
      <w:bookmarkStart w:id="162" w:name="_Toc20671"/>
      <w:bookmarkStart w:id="163" w:name="_Toc25856"/>
      <w:bookmarkStart w:id="164" w:name="_Toc32562"/>
      <w:bookmarkStart w:id="165" w:name="_Toc8743"/>
      <w:r>
        <w:rPr>
          <w:rFonts w:hint="eastAsia" w:ascii="仿宋" w:hAnsi="仿宋" w:eastAsia="仿宋"/>
          <w:b w:val="0"/>
          <w:bCs w:val="0"/>
          <w:sz w:val="32"/>
          <w:szCs w:val="32"/>
          <w:highlight w:val="none"/>
        </w:rPr>
        <w:t>1．</w:t>
      </w:r>
      <w:r>
        <w:rPr>
          <w:rFonts w:hint="eastAsia" w:ascii="仿宋" w:hAnsi="仿宋" w:eastAsia="仿宋" w:cs="仿宋"/>
          <w:b w:val="0"/>
          <w:highlight w:val="none"/>
        </w:rPr>
        <w:t>场内份额登记及限售</w:t>
      </w:r>
      <w:bookmarkEnd w:id="141"/>
      <w:bookmarkEnd w:id="160"/>
      <w:bookmarkEnd w:id="161"/>
      <w:bookmarkEnd w:id="162"/>
      <w:bookmarkEnd w:id="163"/>
      <w:bookmarkEnd w:id="164"/>
      <w:bookmarkEnd w:id="165"/>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Y日及之后，基金管理人向中国结算深圳分公司发行人业务部申请办理场内扩募份额登记及限售业务，接收限售份额的《证券登记申报明细清单》（</w:t>
      </w:r>
      <w:r>
        <w:rPr>
          <w:rFonts w:hint="eastAsia" w:ascii="仿宋" w:hAnsi="仿宋" w:eastAsia="仿宋"/>
          <w:sz w:val="32"/>
          <w:szCs w:val="32"/>
          <w:highlight w:val="none"/>
          <w:lang w:eastAsia="zh-CN"/>
        </w:rPr>
        <w:t>附件6</w:t>
      </w:r>
      <w:r>
        <w:rPr>
          <w:rFonts w:hint="eastAsia" w:ascii="仿宋" w:hAnsi="仿宋" w:eastAsia="仿宋"/>
          <w:sz w:val="32"/>
          <w:szCs w:val="32"/>
          <w:highlight w:val="none"/>
        </w:rPr>
        <w:t>）后，对所有初始登记信息进行确认并签字盖章。</w:t>
      </w:r>
    </w:p>
    <w:p>
      <w:pPr>
        <w:pStyle w:val="4"/>
        <w:keepNext w:val="0"/>
        <w:keepLines w:val="0"/>
        <w:spacing w:before="0" w:after="0" w:line="560" w:lineRule="exact"/>
        <w:ind w:firstLine="640" w:firstLineChars="200"/>
        <w:rPr>
          <w:rFonts w:hint="eastAsia" w:ascii="仿宋" w:hAnsi="仿宋" w:eastAsia="仿宋"/>
          <w:b w:val="0"/>
          <w:bCs w:val="0"/>
          <w:highlight w:val="none"/>
        </w:rPr>
      </w:pPr>
      <w:bookmarkStart w:id="166" w:name="_Toc146725923"/>
      <w:bookmarkStart w:id="167" w:name="_Toc3375"/>
      <w:bookmarkStart w:id="168" w:name="_Toc6137"/>
      <w:bookmarkStart w:id="169" w:name="_Toc27155"/>
      <w:bookmarkStart w:id="170" w:name="_Toc71"/>
      <w:bookmarkStart w:id="171" w:name="_Toc32144"/>
      <w:bookmarkStart w:id="172" w:name="_Toc26448"/>
      <w:r>
        <w:rPr>
          <w:rFonts w:hint="eastAsia" w:ascii="仿宋" w:hAnsi="仿宋" w:eastAsia="仿宋"/>
          <w:b w:val="0"/>
          <w:bCs w:val="0"/>
          <w:sz w:val="32"/>
          <w:szCs w:val="32"/>
          <w:highlight w:val="none"/>
          <w:lang w:val="en-US" w:eastAsia="zh-CN"/>
        </w:rPr>
        <w:t>2</w:t>
      </w:r>
      <w:r>
        <w:rPr>
          <w:rFonts w:hint="eastAsia" w:ascii="仿宋" w:hAnsi="仿宋" w:eastAsia="仿宋"/>
          <w:b w:val="0"/>
          <w:bCs w:val="0"/>
          <w:sz w:val="32"/>
          <w:szCs w:val="32"/>
          <w:highlight w:val="none"/>
        </w:rPr>
        <w:t>．</w:t>
      </w:r>
      <w:r>
        <w:rPr>
          <w:rFonts w:hint="eastAsia" w:ascii="仿宋" w:hAnsi="仿宋" w:eastAsia="仿宋"/>
          <w:b w:val="0"/>
          <w:bCs w:val="0"/>
          <w:highlight w:val="none"/>
        </w:rPr>
        <w:t>提交限售锁定申请</w:t>
      </w:r>
      <w:bookmarkEnd w:id="166"/>
      <w:bookmarkEnd w:id="167"/>
      <w:bookmarkEnd w:id="168"/>
      <w:bookmarkEnd w:id="169"/>
      <w:bookmarkEnd w:id="170"/>
      <w:bookmarkEnd w:id="171"/>
      <w:bookmarkEnd w:id="172"/>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基金管理人于M-4日（M日为场外份额强增生效日）通过</w:t>
      </w:r>
      <w:r>
        <w:rPr>
          <w:rFonts w:hint="eastAsia" w:ascii="仿宋" w:hAnsi="仿宋" w:eastAsia="仿宋"/>
          <w:sz w:val="32"/>
          <w:szCs w:val="32"/>
          <w:highlight w:val="none"/>
          <w:lang w:eastAsia="zh-CN"/>
        </w:rPr>
        <w:t>本所</w:t>
      </w:r>
      <w:r>
        <w:rPr>
          <w:rFonts w:hint="eastAsia" w:ascii="仿宋" w:hAnsi="仿宋" w:eastAsia="仿宋"/>
          <w:sz w:val="32"/>
          <w:szCs w:val="32"/>
          <w:highlight w:val="none"/>
        </w:rPr>
        <w:t>基金业务专区</w:t>
      </w:r>
      <w:r>
        <w:rPr>
          <w:rFonts w:hint="eastAsia" w:ascii="仿宋" w:hAnsi="仿宋" w:eastAsia="仿宋"/>
          <w:bCs/>
          <w:sz w:val="32"/>
          <w:szCs w:val="32"/>
          <w:highlight w:val="none"/>
        </w:rPr>
        <w:t>“业务办理—&gt;信息披露—&gt;REITs定向扩募</w:t>
      </w:r>
      <w:r>
        <w:rPr>
          <w:rFonts w:hint="eastAsia" w:ascii="仿宋" w:hAnsi="仿宋" w:eastAsia="仿宋"/>
          <w:sz w:val="32"/>
          <w:szCs w:val="32"/>
          <w:highlight w:val="none"/>
        </w:rPr>
        <w:t>”提交信息披露申请，披露日期选择M+2日，披露文件为限售公告（必备要素见</w:t>
      </w:r>
      <w:r>
        <w:rPr>
          <w:rFonts w:hint="eastAsia" w:ascii="仿宋" w:hAnsi="仿宋" w:eastAsia="仿宋"/>
          <w:sz w:val="32"/>
          <w:szCs w:val="32"/>
          <w:highlight w:val="none"/>
          <w:lang w:eastAsia="zh-CN"/>
        </w:rPr>
        <w:t>附件7</w:t>
      </w:r>
      <w:r>
        <w:rPr>
          <w:rFonts w:hint="eastAsia" w:ascii="仿宋" w:hAnsi="仿宋" w:eastAsia="仿宋"/>
          <w:sz w:val="32"/>
          <w:szCs w:val="32"/>
          <w:highlight w:val="none"/>
        </w:rPr>
        <w:t>），同时将新增场外份额锁定申请表（模板见</w:t>
      </w:r>
      <w:r>
        <w:rPr>
          <w:rFonts w:hint="eastAsia" w:ascii="仿宋" w:hAnsi="仿宋" w:eastAsia="仿宋"/>
          <w:sz w:val="32"/>
          <w:szCs w:val="32"/>
          <w:highlight w:val="none"/>
          <w:lang w:eastAsia="zh-CN"/>
        </w:rPr>
        <w:t>附件9</w:t>
      </w:r>
      <w:r>
        <w:rPr>
          <w:rFonts w:hint="eastAsia" w:ascii="仿宋" w:hAnsi="仿宋" w:eastAsia="仿宋"/>
          <w:sz w:val="32"/>
          <w:szCs w:val="32"/>
          <w:highlight w:val="none"/>
        </w:rPr>
        <w:t>，盖章扫描件）作为附件进行报备,限售公告于M+2日在符合中国证监会规定的媒介及本所网站上进行披露。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场内份额限售申请（模板见</w:t>
      </w:r>
      <w:r>
        <w:rPr>
          <w:rFonts w:hint="eastAsia" w:ascii="仿宋" w:hAnsi="仿宋" w:eastAsia="仿宋"/>
          <w:sz w:val="32"/>
          <w:szCs w:val="32"/>
          <w:highlight w:val="none"/>
          <w:lang w:eastAsia="zh-CN"/>
        </w:rPr>
        <w:t>附件8</w:t>
      </w:r>
      <w:r>
        <w:rPr>
          <w:rFonts w:hint="eastAsia" w:ascii="仿宋" w:hAnsi="仿宋" w:eastAsia="仿宋"/>
          <w:sz w:val="32"/>
          <w:szCs w:val="32"/>
          <w:highlight w:val="none"/>
        </w:rPr>
        <w:t>，盖章扫描件）及《证券登记申报明细清单》最晚应于M-1日作为附件进行报备。</w:t>
      </w:r>
    </w:p>
    <w:p>
      <w:pPr>
        <w:pStyle w:val="4"/>
        <w:keepNext w:val="0"/>
        <w:keepLines w:val="0"/>
        <w:spacing w:before="0" w:after="0" w:line="560" w:lineRule="exact"/>
        <w:ind w:firstLine="640" w:firstLineChars="200"/>
        <w:rPr>
          <w:rFonts w:hint="eastAsia" w:ascii="仿宋" w:hAnsi="仿宋" w:eastAsia="仿宋"/>
          <w:b w:val="0"/>
          <w:bCs w:val="0"/>
          <w:highlight w:val="none"/>
        </w:rPr>
      </w:pPr>
      <w:bookmarkStart w:id="173" w:name="_Toc13757"/>
      <w:bookmarkStart w:id="174" w:name="_Toc17447"/>
      <w:bookmarkStart w:id="175" w:name="_Toc146725924"/>
      <w:bookmarkStart w:id="176" w:name="_Toc1633"/>
      <w:bookmarkStart w:id="177" w:name="_Toc2622"/>
      <w:bookmarkStart w:id="178" w:name="_Toc15671"/>
      <w:bookmarkStart w:id="179" w:name="_Toc30853"/>
      <w:r>
        <w:rPr>
          <w:rFonts w:hint="eastAsia" w:ascii="仿宋" w:hAnsi="仿宋" w:eastAsia="仿宋"/>
          <w:b w:val="0"/>
          <w:bCs w:val="0"/>
          <w:sz w:val="32"/>
          <w:szCs w:val="32"/>
          <w:highlight w:val="none"/>
          <w:lang w:val="en-US" w:eastAsia="zh-CN"/>
        </w:rPr>
        <w:t>3</w:t>
      </w:r>
      <w:r>
        <w:rPr>
          <w:rFonts w:hint="eastAsia" w:ascii="仿宋" w:hAnsi="仿宋" w:eastAsia="仿宋"/>
          <w:b w:val="0"/>
          <w:bCs w:val="0"/>
          <w:sz w:val="32"/>
          <w:szCs w:val="32"/>
          <w:highlight w:val="none"/>
        </w:rPr>
        <w:t>．</w:t>
      </w:r>
      <w:r>
        <w:rPr>
          <w:rFonts w:hint="eastAsia" w:ascii="仿宋" w:hAnsi="仿宋" w:eastAsia="仿宋"/>
          <w:b w:val="0"/>
          <w:bCs w:val="0"/>
          <w:highlight w:val="none"/>
        </w:rPr>
        <w:t>提交暂停恢复基金通平台转让、转入转出申请</w:t>
      </w:r>
      <w:bookmarkEnd w:id="173"/>
      <w:bookmarkEnd w:id="174"/>
      <w:bookmarkEnd w:id="175"/>
      <w:bookmarkEnd w:id="176"/>
      <w:bookmarkEnd w:id="177"/>
      <w:bookmarkEnd w:id="178"/>
      <w:bookmarkEnd w:id="179"/>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提交限售锁定申请同时，基金管理人于M-4日通过</w:t>
      </w:r>
      <w:r>
        <w:rPr>
          <w:rFonts w:hint="eastAsia" w:ascii="仿宋" w:hAnsi="仿宋" w:eastAsia="仿宋"/>
          <w:sz w:val="32"/>
          <w:szCs w:val="32"/>
          <w:highlight w:val="none"/>
          <w:lang w:eastAsia="zh-CN"/>
        </w:rPr>
        <w:t>本所</w:t>
      </w:r>
      <w:r>
        <w:rPr>
          <w:rFonts w:hint="eastAsia" w:ascii="仿宋" w:hAnsi="仿宋" w:eastAsia="仿宋"/>
          <w:sz w:val="32"/>
          <w:szCs w:val="32"/>
          <w:highlight w:val="none"/>
        </w:rPr>
        <w:t>基金业务专区中的“</w:t>
      </w:r>
      <w:r>
        <w:rPr>
          <w:rFonts w:hint="eastAsia" w:ascii="仿宋" w:hAnsi="仿宋" w:eastAsia="仿宋"/>
          <w:bCs/>
          <w:sz w:val="32"/>
          <w:szCs w:val="32"/>
          <w:highlight w:val="none"/>
        </w:rPr>
        <w:t>业务办理—&gt;基金通平台业务—&gt;</w:t>
      </w:r>
      <w:r>
        <w:rPr>
          <w:rFonts w:hint="eastAsia" w:ascii="仿宋" w:hAnsi="仿宋" w:eastAsia="仿宋"/>
          <w:sz w:val="32"/>
          <w:szCs w:val="32"/>
          <w:highlight w:val="none"/>
        </w:rPr>
        <w:t>基金暂停恢复基金通转让、转入转出”提交暂停恢复基金通平台转让、转入转出的业务申请，业务类型勾选“转让”及“转入转出”，暂停日期为M日，恢复日期为M+2日，暂停恢复公告日期为M日，暂停恢复原因选择“定向扩募”。</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若无场外扩募份额，则不涉及场外份额相关操作，也无须暂停基金通平台转让、转入转出。</w:t>
      </w:r>
    </w:p>
    <w:p>
      <w:pPr>
        <w:pStyle w:val="4"/>
        <w:keepNext w:val="0"/>
        <w:keepLines w:val="0"/>
        <w:spacing w:before="0" w:after="0" w:line="560" w:lineRule="exact"/>
        <w:ind w:firstLine="640" w:firstLineChars="200"/>
        <w:rPr>
          <w:rFonts w:hint="eastAsia" w:ascii="仿宋" w:hAnsi="仿宋" w:eastAsia="仿宋"/>
          <w:b w:val="0"/>
          <w:bCs w:val="0"/>
          <w:highlight w:val="none"/>
        </w:rPr>
      </w:pPr>
      <w:bookmarkStart w:id="180" w:name="_Toc146725925"/>
      <w:bookmarkStart w:id="181" w:name="_Toc16786"/>
      <w:bookmarkStart w:id="182" w:name="_Toc4398"/>
      <w:bookmarkStart w:id="183" w:name="_Toc21184"/>
      <w:bookmarkStart w:id="184" w:name="_Toc20320"/>
      <w:bookmarkStart w:id="185" w:name="_Toc19471"/>
      <w:bookmarkStart w:id="186" w:name="_Toc74"/>
      <w:r>
        <w:rPr>
          <w:rFonts w:hint="eastAsia" w:ascii="仿宋" w:hAnsi="仿宋" w:eastAsia="仿宋"/>
          <w:b w:val="0"/>
          <w:bCs w:val="0"/>
          <w:sz w:val="32"/>
          <w:szCs w:val="32"/>
          <w:highlight w:val="none"/>
          <w:lang w:val="en-US" w:eastAsia="zh-CN"/>
        </w:rPr>
        <w:t>4</w:t>
      </w:r>
      <w:r>
        <w:rPr>
          <w:rFonts w:hint="eastAsia" w:ascii="仿宋" w:hAnsi="仿宋" w:eastAsia="仿宋"/>
          <w:b w:val="0"/>
          <w:bCs w:val="0"/>
          <w:sz w:val="32"/>
          <w:szCs w:val="32"/>
          <w:highlight w:val="none"/>
        </w:rPr>
        <w:t>．</w:t>
      </w:r>
      <w:r>
        <w:rPr>
          <w:rFonts w:hint="eastAsia" w:ascii="仿宋" w:hAnsi="仿宋" w:eastAsia="仿宋"/>
          <w:b w:val="0"/>
          <w:bCs w:val="0"/>
          <w:highlight w:val="none"/>
        </w:rPr>
        <w:t>暂停转托管</w:t>
      </w:r>
      <w:bookmarkEnd w:id="180"/>
      <w:bookmarkEnd w:id="181"/>
      <w:bookmarkEnd w:id="182"/>
      <w:bookmarkEnd w:id="183"/>
      <w:bookmarkEnd w:id="184"/>
      <w:bookmarkEnd w:id="185"/>
      <w:bookmarkEnd w:id="186"/>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基金管理人应向中国结算总部基金业务部申请暂停M-1日和M日场外转场内以及场外转场外的转托管业务，并于M-2日通过</w:t>
      </w:r>
      <w:r>
        <w:rPr>
          <w:rFonts w:hint="eastAsia" w:ascii="仿宋" w:hAnsi="仿宋" w:eastAsia="仿宋"/>
          <w:sz w:val="32"/>
          <w:szCs w:val="32"/>
          <w:highlight w:val="none"/>
          <w:lang w:eastAsia="zh-CN"/>
        </w:rPr>
        <w:t>本所</w:t>
      </w:r>
      <w:r>
        <w:rPr>
          <w:rFonts w:hint="eastAsia" w:ascii="仿宋" w:hAnsi="仿宋" w:eastAsia="仿宋"/>
          <w:sz w:val="32"/>
          <w:szCs w:val="32"/>
          <w:highlight w:val="none"/>
        </w:rPr>
        <w:t>基金业务专区中的“</w:t>
      </w:r>
      <w:r>
        <w:rPr>
          <w:rFonts w:hint="eastAsia" w:ascii="仿宋" w:hAnsi="仿宋" w:eastAsia="仿宋"/>
          <w:bCs/>
          <w:sz w:val="32"/>
          <w:szCs w:val="32"/>
          <w:highlight w:val="none"/>
        </w:rPr>
        <w:t>业务办理—&gt;信息披露—&gt;</w:t>
      </w:r>
      <w:r>
        <w:rPr>
          <w:rFonts w:hint="eastAsia" w:ascii="仿宋" w:hAnsi="仿宋" w:eastAsia="仿宋"/>
          <w:sz w:val="32"/>
          <w:szCs w:val="32"/>
          <w:highlight w:val="none"/>
        </w:rPr>
        <w:t>临时报告</w:t>
      </w:r>
      <w:r>
        <w:rPr>
          <w:rFonts w:hint="eastAsia" w:ascii="仿宋" w:hAnsi="仿宋" w:eastAsia="仿宋"/>
          <w:bCs/>
          <w:sz w:val="32"/>
          <w:szCs w:val="32"/>
          <w:highlight w:val="none"/>
        </w:rPr>
        <w:t>—&gt;跨系统转托管</w:t>
      </w:r>
      <w:r>
        <w:rPr>
          <w:rFonts w:hint="eastAsia" w:ascii="仿宋" w:hAnsi="仿宋" w:eastAsia="仿宋"/>
          <w:sz w:val="32"/>
          <w:szCs w:val="32"/>
          <w:highlight w:val="none"/>
        </w:rPr>
        <w:t>”提交暂停转托管的信息披露申请，于M-1日在符合中国证监会规定的媒介及本所网站上进行披露。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若无场外扩募份额，则不涉及场外份额相关操作，也无须暂停转托管。</w:t>
      </w:r>
    </w:p>
    <w:p>
      <w:pPr>
        <w:pStyle w:val="4"/>
        <w:keepNext w:val="0"/>
        <w:keepLines w:val="0"/>
        <w:spacing w:before="0" w:after="0" w:line="560" w:lineRule="exact"/>
        <w:ind w:firstLine="640" w:firstLineChars="200"/>
        <w:rPr>
          <w:rFonts w:hint="eastAsia" w:ascii="仿宋" w:hAnsi="仿宋" w:eastAsia="仿宋"/>
          <w:b w:val="0"/>
          <w:bCs w:val="0"/>
          <w:highlight w:val="none"/>
        </w:rPr>
      </w:pPr>
      <w:bookmarkStart w:id="187" w:name="_Toc4002"/>
      <w:bookmarkStart w:id="188" w:name="_Toc8355"/>
      <w:bookmarkStart w:id="189" w:name="_Toc16723"/>
      <w:bookmarkStart w:id="190" w:name="_Toc13803"/>
      <w:bookmarkStart w:id="191" w:name="_Toc11228"/>
      <w:bookmarkStart w:id="192" w:name="_Toc31386"/>
      <w:bookmarkStart w:id="193" w:name="_Toc146725926"/>
      <w:r>
        <w:rPr>
          <w:rFonts w:hint="eastAsia" w:ascii="仿宋" w:hAnsi="仿宋" w:eastAsia="仿宋"/>
          <w:b w:val="0"/>
          <w:bCs w:val="0"/>
          <w:sz w:val="32"/>
          <w:szCs w:val="32"/>
          <w:highlight w:val="none"/>
          <w:lang w:val="en-US" w:eastAsia="zh-CN"/>
        </w:rPr>
        <w:t>5</w:t>
      </w:r>
      <w:r>
        <w:rPr>
          <w:rFonts w:hint="eastAsia" w:ascii="仿宋" w:hAnsi="仿宋" w:eastAsia="仿宋"/>
          <w:b w:val="0"/>
          <w:bCs w:val="0"/>
          <w:sz w:val="32"/>
          <w:szCs w:val="32"/>
          <w:highlight w:val="none"/>
        </w:rPr>
        <w:t>．</w:t>
      </w:r>
      <w:r>
        <w:rPr>
          <w:rFonts w:hint="eastAsia" w:ascii="仿宋" w:hAnsi="仿宋" w:eastAsia="仿宋"/>
          <w:b w:val="0"/>
          <w:bCs w:val="0"/>
          <w:highlight w:val="none"/>
        </w:rPr>
        <w:t>场外份额强增及锁定</w:t>
      </w:r>
      <w:bookmarkEnd w:id="187"/>
      <w:bookmarkEnd w:id="188"/>
      <w:bookmarkEnd w:id="189"/>
      <w:bookmarkEnd w:id="190"/>
      <w:bookmarkEnd w:id="191"/>
      <w:bookmarkEnd w:id="192"/>
      <w:bookmarkEnd w:id="193"/>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lang w:eastAsia="zh-CN"/>
        </w:rPr>
        <w:t>）</w:t>
      </w:r>
      <w:r>
        <w:rPr>
          <w:rFonts w:hint="eastAsia" w:ascii="仿宋" w:hAnsi="仿宋" w:eastAsia="仿宋"/>
          <w:sz w:val="32"/>
          <w:szCs w:val="32"/>
          <w:highlight w:val="none"/>
        </w:rPr>
        <w:t>基金管理人在M-2日及之前向中国结算总部基金业务部申请临时开通强增业务权限。</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w:t>
      </w:r>
      <w:r>
        <w:rPr>
          <w:rFonts w:ascii="仿宋" w:hAnsi="仿宋" w:eastAsia="仿宋"/>
          <w:sz w:val="32"/>
          <w:szCs w:val="32"/>
          <w:highlight w:val="none"/>
        </w:rPr>
        <w:t>基金管理人</w:t>
      </w:r>
      <w:r>
        <w:rPr>
          <w:rFonts w:hint="eastAsia" w:ascii="仿宋" w:hAnsi="仿宋" w:eastAsia="仿宋"/>
          <w:sz w:val="32"/>
          <w:szCs w:val="32"/>
          <w:highlight w:val="none"/>
        </w:rPr>
        <w:t>于M-1日向中国结算总部TA系统申请强增定向扩募所得场外份额，并通过本所</w:t>
      </w:r>
      <w:r>
        <w:rPr>
          <w:rFonts w:hint="eastAsia" w:ascii="仿宋" w:hAnsi="仿宋" w:eastAsia="仿宋"/>
          <w:bCs/>
          <w:sz w:val="32"/>
          <w:szCs w:val="32"/>
          <w:highlight w:val="none"/>
        </w:rPr>
        <w:t>基金业务专区中的“业务办理—&gt;信息披露—&gt;REITs定向扩募—&gt;暂停/恢复基金通转让/转入转出”提交暂停恢复基金通转让、转入转出信息披露申请，</w:t>
      </w:r>
      <w:r>
        <w:rPr>
          <w:rFonts w:hint="eastAsia" w:ascii="仿宋" w:hAnsi="仿宋" w:eastAsia="仿宋"/>
          <w:sz w:val="32"/>
          <w:szCs w:val="32"/>
          <w:highlight w:val="none"/>
        </w:rPr>
        <w:t>关联到此前基金暂停恢复基金通转让、转入转出申请的业务（暂停日期为M日、恢复日期为M+2日</w:t>
      </w:r>
      <w:r>
        <w:rPr>
          <w:rFonts w:ascii="仿宋" w:hAnsi="仿宋" w:eastAsia="仿宋"/>
          <w:sz w:val="32"/>
          <w:szCs w:val="32"/>
          <w:highlight w:val="none"/>
        </w:rPr>
        <w:t>）</w:t>
      </w:r>
      <w:r>
        <w:rPr>
          <w:rFonts w:hint="eastAsia" w:ascii="仿宋" w:hAnsi="仿宋" w:eastAsia="仿宋"/>
          <w:sz w:val="32"/>
          <w:szCs w:val="32"/>
          <w:highlight w:val="none"/>
        </w:rPr>
        <w:t>，于M日在符合中国证监会规定的媒介及本所网站上进行披露。</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w:t>
      </w:r>
      <w:r>
        <w:rPr>
          <w:rFonts w:hint="eastAsia" w:ascii="仿宋" w:hAnsi="仿宋" w:eastAsia="仿宋"/>
          <w:sz w:val="32"/>
          <w:szCs w:val="32"/>
          <w:highlight w:val="none"/>
        </w:rPr>
        <w:t>M+2日，基金通平台份额恢复转让、转入转出。</w:t>
      </w:r>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场外扩募份额应于M</w:t>
      </w:r>
      <w:r>
        <w:rPr>
          <w:rFonts w:ascii="仿宋" w:hAnsi="仿宋" w:eastAsia="仿宋"/>
          <w:sz w:val="32"/>
          <w:szCs w:val="32"/>
          <w:highlight w:val="none"/>
        </w:rPr>
        <w:t>日</w:t>
      </w:r>
      <w:r>
        <w:rPr>
          <w:rFonts w:hint="eastAsia" w:ascii="仿宋" w:hAnsi="仿宋" w:eastAsia="仿宋"/>
          <w:sz w:val="32"/>
          <w:szCs w:val="32"/>
          <w:highlight w:val="none"/>
        </w:rPr>
        <w:t>强增生效，于M+1日锁定生效。若M日未完成扩募份额强增或M+1未完成扩募份额的锁定，基金管理人应第一时间告知本所和中国结算总部，如确需再次强增或锁定的，应再次按照</w:t>
      </w:r>
      <w:r>
        <w:rPr>
          <w:rFonts w:hint="eastAsia" w:ascii="仿宋" w:hAnsi="仿宋" w:eastAsia="仿宋"/>
          <w:sz w:val="32"/>
          <w:szCs w:val="32"/>
          <w:highlight w:val="none"/>
          <w:lang w:eastAsia="zh-CN"/>
        </w:rPr>
        <w:t>前述</w:t>
      </w:r>
      <w:r>
        <w:rPr>
          <w:rFonts w:hint="eastAsia" w:ascii="仿宋" w:hAnsi="仿宋" w:eastAsia="仿宋"/>
          <w:sz w:val="32"/>
          <w:szCs w:val="32"/>
          <w:highlight w:val="none"/>
        </w:rPr>
        <w:t>步骤办理剩余份额的强增或锁定。</w:t>
      </w:r>
    </w:p>
    <w:p>
      <w:pPr>
        <w:spacing w:line="560" w:lineRule="exact"/>
        <w:ind w:firstLine="0" w:firstLineChars="0"/>
        <w:rPr>
          <w:rFonts w:ascii="仿宋" w:hAnsi="仿宋" w:eastAsia="仿宋"/>
          <w:sz w:val="32"/>
          <w:szCs w:val="32"/>
          <w:highlight w:val="none"/>
        </w:rPr>
      </w:pP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6"/>
        <w:gridCol w:w="1986"/>
        <w:gridCol w:w="5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2" w:hRule="atLeast"/>
          <w:tblHeader/>
          <w:jc w:val="center"/>
        </w:trPr>
        <w:tc>
          <w:tcPr>
            <w:tcW w:w="479" w:type="pct"/>
            <w:shd w:val="clear" w:color="auto" w:fill="auto"/>
            <w:vAlign w:val="center"/>
          </w:tcPr>
          <w:p>
            <w:pPr>
              <w:widowControl/>
              <w:jc w:val="center"/>
              <w:rPr>
                <w:rFonts w:ascii="仿宋" w:hAnsi="仿宋" w:eastAsia="仿宋" w:cs="Times New Roman"/>
                <w:b/>
                <w:bCs/>
                <w:color w:val="000000"/>
                <w:kern w:val="0"/>
                <w:sz w:val="24"/>
                <w:szCs w:val="24"/>
                <w:highlight w:val="none"/>
              </w:rPr>
            </w:pPr>
            <w:r>
              <w:rPr>
                <w:rFonts w:ascii="仿宋" w:hAnsi="仿宋" w:eastAsia="仿宋" w:cs="Times New Roman"/>
                <w:b/>
                <w:bCs/>
                <w:color w:val="000000"/>
                <w:kern w:val="0"/>
                <w:sz w:val="24"/>
                <w:szCs w:val="24"/>
                <w:highlight w:val="none"/>
              </w:rPr>
              <w:t>序号</w:t>
            </w:r>
          </w:p>
        </w:tc>
        <w:tc>
          <w:tcPr>
            <w:tcW w:w="1165" w:type="pct"/>
            <w:shd w:val="clear" w:color="auto" w:fill="auto"/>
            <w:vAlign w:val="center"/>
          </w:tcPr>
          <w:p>
            <w:pPr>
              <w:widowControl/>
              <w:jc w:val="center"/>
              <w:rPr>
                <w:rFonts w:ascii="仿宋" w:hAnsi="仿宋" w:eastAsia="仿宋" w:cs="Times New Roman"/>
                <w:b/>
                <w:bCs/>
                <w:color w:val="000000"/>
                <w:kern w:val="0"/>
                <w:sz w:val="24"/>
                <w:szCs w:val="24"/>
                <w:highlight w:val="none"/>
              </w:rPr>
            </w:pPr>
            <w:r>
              <w:rPr>
                <w:rFonts w:hint="eastAsia" w:ascii="仿宋" w:hAnsi="仿宋" w:eastAsia="仿宋" w:cs="Times New Roman"/>
                <w:b/>
                <w:bCs/>
                <w:color w:val="000000"/>
                <w:kern w:val="0"/>
                <w:sz w:val="24"/>
                <w:szCs w:val="24"/>
                <w:highlight w:val="none"/>
              </w:rPr>
              <w:t>时间</w:t>
            </w:r>
          </w:p>
        </w:tc>
        <w:tc>
          <w:tcPr>
            <w:tcW w:w="3356" w:type="pct"/>
            <w:shd w:val="clear" w:color="auto" w:fill="auto"/>
            <w:vAlign w:val="center"/>
          </w:tcPr>
          <w:p>
            <w:pPr>
              <w:widowControl/>
              <w:jc w:val="center"/>
              <w:rPr>
                <w:rFonts w:ascii="仿宋" w:hAnsi="仿宋" w:eastAsia="仿宋" w:cs="Times New Roman"/>
                <w:b/>
                <w:bCs/>
                <w:color w:val="000000"/>
                <w:kern w:val="0"/>
                <w:sz w:val="24"/>
                <w:szCs w:val="24"/>
                <w:highlight w:val="none"/>
              </w:rPr>
            </w:pPr>
            <w:r>
              <w:rPr>
                <w:rFonts w:hint="eastAsia" w:ascii="仿宋" w:hAnsi="仿宋" w:eastAsia="仿宋" w:cs="Times New Roman"/>
                <w:b/>
                <w:bCs/>
                <w:color w:val="000000"/>
                <w:kern w:val="0"/>
                <w:sz w:val="24"/>
                <w:szCs w:val="24"/>
                <w:highlight w:val="none"/>
              </w:rPr>
              <w:t>工作</w:t>
            </w:r>
            <w:r>
              <w:rPr>
                <w:rFonts w:ascii="仿宋" w:hAnsi="仿宋" w:eastAsia="仿宋" w:cs="Times New Roman"/>
                <w:b/>
                <w:bCs/>
                <w:color w:val="000000"/>
                <w:kern w:val="0"/>
                <w:sz w:val="24"/>
                <w:szCs w:val="24"/>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1</w:t>
            </w:r>
          </w:p>
        </w:tc>
        <w:tc>
          <w:tcPr>
            <w:tcW w:w="1165"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Y日及之后</w:t>
            </w:r>
          </w:p>
        </w:tc>
        <w:tc>
          <w:tcPr>
            <w:tcW w:w="3356"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基金管理人向中国结算深圳分公司发行人业务部申请办理场内扩募份额登记及限售业务，取得《证券登记申报明细清单》。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2</w:t>
            </w:r>
          </w:p>
        </w:tc>
        <w:tc>
          <w:tcPr>
            <w:tcW w:w="1165"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M-4日</w:t>
            </w:r>
          </w:p>
        </w:tc>
        <w:tc>
          <w:tcPr>
            <w:tcW w:w="3356"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1、基金管理人向本所提交限售公告信息披露申请，披露日期选择M+2日，同时将场外份额锁定申请表（如有）盖章扫描件作为附件进行报备。</w:t>
            </w:r>
          </w:p>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2、如有场外扩募份额，基金管理人向本所提交暂停恢复基金通转让、转入转出的业务申请，业务类型勾选“转让”及“转入转出”，暂停日期为M日，恢复日期为M+2日。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3</w:t>
            </w:r>
          </w:p>
        </w:tc>
        <w:tc>
          <w:tcPr>
            <w:tcW w:w="1165"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M-2日及之前</w:t>
            </w:r>
          </w:p>
        </w:tc>
        <w:tc>
          <w:tcPr>
            <w:tcW w:w="3356"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如有场外扩募份额，基金管理人向中国结算总部基金业务部申请暂停M-1日和M日场外转场内以及场外转场外的转托管业务，并申请临时开通强增业务权限。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4</w:t>
            </w:r>
          </w:p>
        </w:tc>
        <w:tc>
          <w:tcPr>
            <w:tcW w:w="1165"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M-2日</w:t>
            </w:r>
          </w:p>
        </w:tc>
        <w:tc>
          <w:tcPr>
            <w:tcW w:w="3356"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如有场外扩募份额，基金管理人向本所提交暂停转托管的信息披露申请并于次日披露。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5</w:t>
            </w:r>
          </w:p>
        </w:tc>
        <w:tc>
          <w:tcPr>
            <w:tcW w:w="1165"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M-1日</w:t>
            </w:r>
          </w:p>
        </w:tc>
        <w:tc>
          <w:tcPr>
            <w:tcW w:w="3356"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1、基金管理人最晚于M-1日将场内份额限售申请盖章扫描件及《证券登记申报明细清单》作为附件进行报备。</w:t>
            </w:r>
          </w:p>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2、如有场外扩募份额：</w:t>
            </w:r>
          </w:p>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（1）基金管理人向中国结算总部TA系统申请强增定向扩募所得场外份额；</w:t>
            </w:r>
          </w:p>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（2）向本所提交暂停恢复基金通转让、转入转出信息披露申请并关联至此前基金暂停恢复基金通转让、转入转出申请的业务，并于次日披露。</w:t>
            </w:r>
          </w:p>
        </w:tc>
      </w:tr>
    </w:tbl>
    <w:p>
      <w:pPr>
        <w:pStyle w:val="3"/>
        <w:keepNext w:val="0"/>
        <w:keepLines w:val="0"/>
        <w:spacing w:before="0" w:after="0" w:line="560" w:lineRule="exact"/>
        <w:ind w:firstLine="640" w:firstLineChars="200"/>
        <w:rPr>
          <w:rFonts w:eastAsia="黑体"/>
          <w:b w:val="0"/>
          <w:highlight w:val="none"/>
        </w:rPr>
      </w:pPr>
      <w:bookmarkStart w:id="194" w:name="_Toc5356"/>
      <w:bookmarkStart w:id="195" w:name="_Toc9767"/>
      <w:bookmarkStart w:id="196" w:name="_Toc146725927"/>
      <w:bookmarkStart w:id="197" w:name="_Toc11234"/>
      <w:bookmarkStart w:id="198" w:name="_Toc16465"/>
      <w:bookmarkStart w:id="199" w:name="_Toc9269"/>
      <w:bookmarkStart w:id="200" w:name="_Toc29962"/>
      <w:r>
        <w:rPr>
          <w:rFonts w:hint="eastAsia" w:eastAsia="黑体"/>
          <w:b w:val="0"/>
          <w:highlight w:val="none"/>
        </w:rPr>
        <w:t>二、仅有场内扩募份额情形</w:t>
      </w:r>
      <w:bookmarkEnd w:id="194"/>
      <w:bookmarkEnd w:id="195"/>
      <w:bookmarkEnd w:id="196"/>
      <w:bookmarkEnd w:id="197"/>
      <w:bookmarkEnd w:id="198"/>
      <w:bookmarkEnd w:id="199"/>
      <w:bookmarkEnd w:id="200"/>
    </w:p>
    <w:p>
      <w:pPr>
        <w:pStyle w:val="4"/>
        <w:keepNext w:val="0"/>
        <w:keepLines w:val="0"/>
        <w:spacing w:before="0" w:after="0" w:line="560" w:lineRule="exact"/>
        <w:ind w:firstLine="640" w:firstLineChars="200"/>
        <w:rPr>
          <w:rFonts w:hint="eastAsia" w:eastAsia="楷体"/>
          <w:b w:val="0"/>
          <w:highlight w:val="none"/>
          <w:lang w:eastAsia="zh-CN"/>
        </w:rPr>
      </w:pPr>
      <w:bookmarkStart w:id="201" w:name="_Toc11884"/>
      <w:bookmarkStart w:id="202" w:name="_Toc14885"/>
      <w:bookmarkStart w:id="203" w:name="_Toc19563"/>
      <w:bookmarkStart w:id="204" w:name="_Toc29705"/>
      <w:bookmarkStart w:id="205" w:name="_Toc29536"/>
      <w:bookmarkStart w:id="206" w:name="_Toc10864"/>
      <w:r>
        <w:rPr>
          <w:rFonts w:hint="eastAsia" w:eastAsia="楷体"/>
          <w:b w:val="0"/>
          <w:highlight w:val="none"/>
        </w:rPr>
        <w:t>（一）</w:t>
      </w:r>
      <w:r>
        <w:rPr>
          <w:rFonts w:hint="eastAsia" w:eastAsia="楷体"/>
          <w:b w:val="0"/>
          <w:highlight w:val="none"/>
          <w:lang w:eastAsia="zh-CN"/>
        </w:rPr>
        <w:t>总体时间流程</w:t>
      </w:r>
      <w:bookmarkEnd w:id="201"/>
      <w:bookmarkEnd w:id="202"/>
      <w:bookmarkEnd w:id="203"/>
      <w:bookmarkEnd w:id="204"/>
      <w:bookmarkEnd w:id="205"/>
      <w:bookmarkEnd w:id="206"/>
    </w:p>
    <w:p>
      <w:pPr>
        <w:spacing w:line="560" w:lineRule="exact"/>
        <w:ind w:firstLine="420" w:firstLineChars="200"/>
        <w:rPr>
          <w:rFonts w:hint="eastAsia" w:ascii="仿宋" w:hAnsi="仿宋" w:eastAsia="仿宋"/>
          <w:sz w:val="32"/>
          <w:szCs w:val="32"/>
          <w:highlight w:val="none"/>
        </w:rPr>
      </w:pPr>
      <w:r>
        <w:rPr>
          <w:highlight w:val="none"/>
        </w:rPr>
        <w:drawing>
          <wp:anchor distT="0" distB="0" distL="114300" distR="114300" simplePos="0" relativeHeight="251661312" behindDoc="1" locked="0" layoutInCell="1" allowOverlap="1">
            <wp:simplePos x="0" y="0"/>
            <wp:positionH relativeFrom="column">
              <wp:posOffset>-184150</wp:posOffset>
            </wp:positionH>
            <wp:positionV relativeFrom="paragraph">
              <wp:posOffset>106045</wp:posOffset>
            </wp:positionV>
            <wp:extent cx="5335270" cy="3149600"/>
            <wp:effectExtent l="0" t="0" r="17780" b="12700"/>
            <wp:wrapTight wrapText="bothSides">
              <wp:wrapPolygon>
                <wp:start x="0" y="0"/>
                <wp:lineTo x="0" y="21426"/>
                <wp:lineTo x="21518" y="21426"/>
                <wp:lineTo x="21518"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1"/>
                    <a:srcRect l="-205" t="1064" r="-975" b="1144"/>
                    <a:stretch>
                      <a:fillRect/>
                    </a:stretch>
                  </pic:blipFill>
                  <pic:spPr>
                    <a:xfrm>
                      <a:off x="1347470" y="426720"/>
                      <a:ext cx="5335270" cy="3149600"/>
                    </a:xfrm>
                    <a:prstGeom prst="rect">
                      <a:avLst/>
                    </a:prstGeom>
                    <a:noFill/>
                    <a:ln>
                      <a:noFill/>
                    </a:ln>
                  </pic:spPr>
                </pic:pic>
              </a:graphicData>
            </a:graphic>
          </wp:anchor>
        </w:drawing>
      </w:r>
    </w:p>
    <w:p>
      <w:pPr>
        <w:pStyle w:val="4"/>
        <w:keepNext w:val="0"/>
        <w:keepLines w:val="0"/>
        <w:spacing w:before="0" w:after="0" w:line="560" w:lineRule="exact"/>
        <w:ind w:firstLine="640" w:firstLineChars="200"/>
        <w:rPr>
          <w:rFonts w:hint="eastAsia" w:eastAsia="楷体"/>
          <w:b w:val="0"/>
          <w:highlight w:val="none"/>
        </w:rPr>
      </w:pPr>
      <w:bookmarkStart w:id="207" w:name="_Toc26758"/>
      <w:bookmarkStart w:id="208" w:name="_Toc24724"/>
      <w:bookmarkStart w:id="209" w:name="_Toc28333"/>
      <w:bookmarkStart w:id="210" w:name="_Toc19511"/>
      <w:bookmarkStart w:id="211" w:name="_Toc9716"/>
      <w:bookmarkStart w:id="212" w:name="_Toc30453"/>
      <w:bookmarkStart w:id="213" w:name="_Toc146725928"/>
      <w:r>
        <w:rPr>
          <w:rFonts w:hint="eastAsia" w:eastAsia="楷体"/>
          <w:b w:val="0"/>
          <w:highlight w:val="none"/>
        </w:rPr>
        <w:t>（</w:t>
      </w:r>
      <w:r>
        <w:rPr>
          <w:rFonts w:hint="eastAsia" w:eastAsia="楷体"/>
          <w:b w:val="0"/>
          <w:highlight w:val="none"/>
          <w:lang w:eastAsia="zh-CN"/>
        </w:rPr>
        <w:t>二</w:t>
      </w:r>
      <w:r>
        <w:rPr>
          <w:rFonts w:hint="eastAsia" w:eastAsia="楷体"/>
          <w:b w:val="0"/>
          <w:highlight w:val="none"/>
        </w:rPr>
        <w:t>）</w:t>
      </w:r>
      <w:r>
        <w:rPr>
          <w:rFonts w:hint="eastAsia" w:eastAsia="楷体"/>
          <w:b w:val="0"/>
          <w:highlight w:val="none"/>
          <w:lang w:eastAsia="zh-CN"/>
        </w:rPr>
        <w:t>具体步骤</w:t>
      </w:r>
      <w:bookmarkEnd w:id="207"/>
      <w:bookmarkEnd w:id="208"/>
      <w:bookmarkEnd w:id="209"/>
      <w:bookmarkEnd w:id="210"/>
      <w:bookmarkEnd w:id="211"/>
      <w:bookmarkEnd w:id="212"/>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仅有场内扩募份额时，相应登记限售办理流程可进行简化。</w:t>
      </w:r>
    </w:p>
    <w:p>
      <w:pPr>
        <w:pStyle w:val="4"/>
        <w:keepNext w:val="0"/>
        <w:keepLines w:val="0"/>
        <w:spacing w:before="0" w:after="0" w:line="560" w:lineRule="exact"/>
        <w:ind w:firstLine="640" w:firstLineChars="200"/>
        <w:rPr>
          <w:rFonts w:hint="eastAsia" w:ascii="仿宋" w:hAnsi="仿宋" w:eastAsia="仿宋" w:cs="仿宋"/>
          <w:b w:val="0"/>
          <w:highlight w:val="none"/>
        </w:rPr>
      </w:pPr>
      <w:bookmarkStart w:id="214" w:name="_Toc1495"/>
      <w:bookmarkStart w:id="215" w:name="_Toc4046"/>
      <w:bookmarkStart w:id="216" w:name="_Toc6076"/>
      <w:bookmarkStart w:id="217" w:name="_Toc15092"/>
      <w:bookmarkStart w:id="218" w:name="_Toc28193"/>
      <w:bookmarkStart w:id="219" w:name="_Toc24727"/>
      <w:r>
        <w:rPr>
          <w:rFonts w:hint="eastAsia" w:ascii="仿宋" w:hAnsi="仿宋" w:eastAsia="仿宋" w:cs="仿宋"/>
          <w:b w:val="0"/>
          <w:bCs w:val="0"/>
          <w:sz w:val="32"/>
          <w:szCs w:val="32"/>
          <w:highlight w:val="none"/>
          <w:lang w:val="en-US" w:eastAsia="zh-CN"/>
        </w:rPr>
        <w:t>1</w:t>
      </w:r>
      <w:r>
        <w:rPr>
          <w:rFonts w:hint="eastAsia" w:ascii="仿宋" w:hAnsi="仿宋" w:eastAsia="仿宋" w:cs="仿宋"/>
          <w:b w:val="0"/>
          <w:bCs w:val="0"/>
          <w:sz w:val="32"/>
          <w:szCs w:val="32"/>
          <w:highlight w:val="none"/>
        </w:rPr>
        <w:t>．</w:t>
      </w:r>
      <w:r>
        <w:rPr>
          <w:rFonts w:hint="eastAsia" w:ascii="仿宋" w:hAnsi="仿宋" w:eastAsia="仿宋" w:cs="仿宋"/>
          <w:b w:val="0"/>
          <w:highlight w:val="none"/>
        </w:rPr>
        <w:t>场内份额登记及限售</w:t>
      </w:r>
      <w:bookmarkEnd w:id="213"/>
      <w:bookmarkEnd w:id="214"/>
      <w:bookmarkEnd w:id="215"/>
      <w:bookmarkEnd w:id="216"/>
      <w:bookmarkEnd w:id="217"/>
      <w:bookmarkEnd w:id="218"/>
      <w:bookmarkEnd w:id="219"/>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Y日及之后，基金管理人向中国结算深圳分公司发行人业务部申请办理场内扩募份额登记及限售业务，接收限售份额的《证券登记申报明细清单》（</w:t>
      </w:r>
      <w:r>
        <w:rPr>
          <w:rFonts w:hint="eastAsia" w:ascii="仿宋" w:hAnsi="仿宋" w:eastAsia="仿宋"/>
          <w:sz w:val="32"/>
          <w:szCs w:val="32"/>
          <w:highlight w:val="none"/>
          <w:lang w:eastAsia="zh-CN"/>
        </w:rPr>
        <w:t>附件6</w:t>
      </w:r>
      <w:r>
        <w:rPr>
          <w:rFonts w:hint="eastAsia" w:ascii="仿宋" w:hAnsi="仿宋" w:eastAsia="仿宋"/>
          <w:sz w:val="32"/>
          <w:szCs w:val="32"/>
          <w:highlight w:val="none"/>
        </w:rPr>
        <w:t>）后，对所有初始登记信息进行确认并签字盖章。</w:t>
      </w:r>
    </w:p>
    <w:p>
      <w:pPr>
        <w:pStyle w:val="4"/>
        <w:keepNext w:val="0"/>
        <w:keepLines w:val="0"/>
        <w:spacing w:before="0" w:after="0" w:line="560" w:lineRule="exact"/>
        <w:ind w:firstLine="640" w:firstLineChars="200"/>
        <w:rPr>
          <w:rFonts w:hint="eastAsia" w:ascii="仿宋" w:hAnsi="仿宋" w:eastAsia="仿宋" w:cs="仿宋"/>
          <w:b w:val="0"/>
          <w:bCs w:val="0"/>
          <w:highlight w:val="none"/>
        </w:rPr>
      </w:pPr>
      <w:bookmarkStart w:id="220" w:name="_Toc12521"/>
      <w:bookmarkStart w:id="221" w:name="_Toc25748"/>
      <w:bookmarkStart w:id="222" w:name="_Toc146725929"/>
      <w:bookmarkStart w:id="223" w:name="_Toc26863"/>
      <w:bookmarkStart w:id="224" w:name="_Toc18222"/>
      <w:bookmarkStart w:id="225" w:name="_Toc654"/>
      <w:bookmarkStart w:id="226" w:name="_Toc32084"/>
      <w:r>
        <w:rPr>
          <w:rFonts w:hint="eastAsia" w:ascii="仿宋" w:hAnsi="仿宋" w:eastAsia="仿宋" w:cs="仿宋"/>
          <w:b w:val="0"/>
          <w:bCs w:val="0"/>
          <w:sz w:val="32"/>
          <w:szCs w:val="32"/>
          <w:highlight w:val="none"/>
          <w:lang w:val="en-US" w:eastAsia="zh-CN"/>
        </w:rPr>
        <w:t>2</w:t>
      </w:r>
      <w:r>
        <w:rPr>
          <w:rFonts w:hint="eastAsia" w:ascii="仿宋" w:hAnsi="仿宋" w:eastAsia="仿宋" w:cs="仿宋"/>
          <w:b w:val="0"/>
          <w:bCs w:val="0"/>
          <w:sz w:val="32"/>
          <w:szCs w:val="32"/>
          <w:highlight w:val="none"/>
        </w:rPr>
        <w:t>．</w:t>
      </w:r>
      <w:r>
        <w:rPr>
          <w:rFonts w:hint="eastAsia" w:ascii="仿宋" w:hAnsi="仿宋" w:eastAsia="仿宋" w:cs="仿宋"/>
          <w:b w:val="0"/>
          <w:bCs w:val="0"/>
          <w:highlight w:val="none"/>
        </w:rPr>
        <w:t>提交限售申请</w:t>
      </w:r>
      <w:bookmarkEnd w:id="220"/>
      <w:bookmarkEnd w:id="221"/>
      <w:bookmarkEnd w:id="222"/>
      <w:bookmarkEnd w:id="223"/>
      <w:bookmarkEnd w:id="224"/>
      <w:bookmarkEnd w:id="225"/>
      <w:bookmarkEnd w:id="226"/>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基金管理人最晚于K-2日（K日为场内份额限售生效日）通过</w:t>
      </w:r>
      <w:r>
        <w:rPr>
          <w:rFonts w:hint="eastAsia" w:ascii="仿宋" w:hAnsi="仿宋" w:eastAsia="仿宋"/>
          <w:sz w:val="32"/>
          <w:szCs w:val="32"/>
          <w:highlight w:val="none"/>
          <w:lang w:eastAsia="zh-CN"/>
        </w:rPr>
        <w:t>本所</w:t>
      </w:r>
      <w:r>
        <w:rPr>
          <w:rFonts w:hint="eastAsia" w:ascii="仿宋" w:hAnsi="仿宋" w:eastAsia="仿宋"/>
          <w:sz w:val="32"/>
          <w:szCs w:val="32"/>
          <w:highlight w:val="none"/>
        </w:rPr>
        <w:t>基金业务专区</w:t>
      </w:r>
      <w:r>
        <w:rPr>
          <w:rFonts w:hint="eastAsia" w:ascii="仿宋" w:hAnsi="仿宋" w:eastAsia="仿宋"/>
          <w:bCs/>
          <w:sz w:val="32"/>
          <w:szCs w:val="32"/>
          <w:highlight w:val="none"/>
        </w:rPr>
        <w:t>“业务办理—&gt;信息披露—&gt;REITs定向扩募</w:t>
      </w:r>
      <w:r>
        <w:rPr>
          <w:rFonts w:hint="eastAsia" w:ascii="仿宋" w:hAnsi="仿宋" w:eastAsia="仿宋"/>
          <w:sz w:val="32"/>
          <w:szCs w:val="32"/>
          <w:highlight w:val="none"/>
        </w:rPr>
        <w:t>”提交信息披露申请，披露日期选择K+1日，披露文件为限售公告（必备要素见</w:t>
      </w:r>
      <w:r>
        <w:rPr>
          <w:rFonts w:hint="eastAsia" w:ascii="仿宋" w:hAnsi="仿宋" w:eastAsia="仿宋"/>
          <w:sz w:val="32"/>
          <w:szCs w:val="32"/>
          <w:highlight w:val="none"/>
          <w:lang w:eastAsia="zh-CN"/>
        </w:rPr>
        <w:t>附件7</w:t>
      </w:r>
      <w:r>
        <w:rPr>
          <w:rFonts w:hint="eastAsia" w:ascii="仿宋" w:hAnsi="仿宋" w:eastAsia="仿宋"/>
          <w:sz w:val="32"/>
          <w:szCs w:val="32"/>
          <w:highlight w:val="none"/>
        </w:rPr>
        <w:t>），同时将场内份额限售申请（模板见</w:t>
      </w:r>
      <w:r>
        <w:rPr>
          <w:rFonts w:hint="eastAsia" w:ascii="仿宋" w:hAnsi="仿宋" w:eastAsia="仿宋"/>
          <w:sz w:val="32"/>
          <w:szCs w:val="32"/>
          <w:highlight w:val="none"/>
          <w:lang w:eastAsia="zh-CN"/>
        </w:rPr>
        <w:t>附件8</w:t>
      </w:r>
      <w:r>
        <w:rPr>
          <w:rFonts w:hint="eastAsia" w:ascii="仿宋" w:hAnsi="仿宋" w:eastAsia="仿宋"/>
          <w:sz w:val="32"/>
          <w:szCs w:val="32"/>
          <w:highlight w:val="none"/>
        </w:rPr>
        <w:t>，盖章扫描件）及《证券登记申报明细清单》作为附件进行报备,限售公告于K+1日在符合中国证监会规定的媒介及本所网站上进行披露。</w:t>
      </w:r>
    </w:p>
    <w:p>
      <w:pPr>
        <w:spacing w:line="560" w:lineRule="exact"/>
        <w:ind w:firstLine="640" w:firstLineChars="200"/>
        <w:rPr>
          <w:rFonts w:ascii="仿宋" w:hAnsi="仿宋" w:eastAsia="仿宋"/>
          <w:sz w:val="32"/>
          <w:szCs w:val="32"/>
          <w:highlight w:val="none"/>
        </w:rPr>
      </w:pP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6"/>
        <w:gridCol w:w="1986"/>
        <w:gridCol w:w="5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jc w:val="center"/>
        </w:trPr>
        <w:tc>
          <w:tcPr>
            <w:tcW w:w="479" w:type="pct"/>
            <w:shd w:val="clear" w:color="auto" w:fill="auto"/>
            <w:vAlign w:val="center"/>
          </w:tcPr>
          <w:p>
            <w:pPr>
              <w:widowControl/>
              <w:jc w:val="center"/>
              <w:rPr>
                <w:rFonts w:ascii="仿宋" w:hAnsi="仿宋" w:eastAsia="仿宋" w:cs="Times New Roman"/>
                <w:b/>
                <w:bCs/>
                <w:color w:val="000000"/>
                <w:kern w:val="0"/>
                <w:sz w:val="24"/>
                <w:szCs w:val="24"/>
                <w:highlight w:val="none"/>
              </w:rPr>
            </w:pPr>
            <w:r>
              <w:rPr>
                <w:rFonts w:ascii="仿宋" w:hAnsi="仿宋" w:eastAsia="仿宋" w:cs="Times New Roman"/>
                <w:b/>
                <w:bCs/>
                <w:color w:val="000000"/>
                <w:kern w:val="0"/>
                <w:sz w:val="24"/>
                <w:szCs w:val="24"/>
                <w:highlight w:val="none"/>
              </w:rPr>
              <w:t>序号</w:t>
            </w:r>
          </w:p>
        </w:tc>
        <w:tc>
          <w:tcPr>
            <w:tcW w:w="1165" w:type="pct"/>
            <w:shd w:val="clear" w:color="auto" w:fill="auto"/>
            <w:vAlign w:val="center"/>
          </w:tcPr>
          <w:p>
            <w:pPr>
              <w:widowControl/>
              <w:jc w:val="center"/>
              <w:rPr>
                <w:rFonts w:ascii="仿宋" w:hAnsi="仿宋" w:eastAsia="仿宋" w:cs="Times New Roman"/>
                <w:b/>
                <w:bCs/>
                <w:color w:val="000000"/>
                <w:kern w:val="0"/>
                <w:sz w:val="24"/>
                <w:szCs w:val="24"/>
                <w:highlight w:val="none"/>
              </w:rPr>
            </w:pPr>
            <w:r>
              <w:rPr>
                <w:rFonts w:hint="eastAsia" w:ascii="仿宋" w:hAnsi="仿宋" w:eastAsia="仿宋" w:cs="Times New Roman"/>
                <w:b/>
                <w:bCs/>
                <w:color w:val="000000"/>
                <w:kern w:val="0"/>
                <w:sz w:val="24"/>
                <w:szCs w:val="24"/>
                <w:highlight w:val="none"/>
              </w:rPr>
              <w:t>时间</w:t>
            </w:r>
          </w:p>
        </w:tc>
        <w:tc>
          <w:tcPr>
            <w:tcW w:w="3356" w:type="pct"/>
            <w:shd w:val="clear" w:color="auto" w:fill="auto"/>
            <w:vAlign w:val="center"/>
          </w:tcPr>
          <w:p>
            <w:pPr>
              <w:widowControl/>
              <w:jc w:val="center"/>
              <w:rPr>
                <w:rFonts w:ascii="仿宋" w:hAnsi="仿宋" w:eastAsia="仿宋" w:cs="Times New Roman"/>
                <w:b/>
                <w:bCs/>
                <w:color w:val="000000"/>
                <w:kern w:val="0"/>
                <w:sz w:val="24"/>
                <w:szCs w:val="24"/>
                <w:highlight w:val="none"/>
              </w:rPr>
            </w:pPr>
            <w:r>
              <w:rPr>
                <w:rFonts w:hint="eastAsia" w:ascii="仿宋" w:hAnsi="仿宋" w:eastAsia="仿宋" w:cs="Times New Roman"/>
                <w:b/>
                <w:bCs/>
                <w:color w:val="000000"/>
                <w:kern w:val="0"/>
                <w:sz w:val="24"/>
                <w:szCs w:val="24"/>
                <w:highlight w:val="none"/>
              </w:rPr>
              <w:t>工作</w:t>
            </w:r>
            <w:r>
              <w:rPr>
                <w:rFonts w:ascii="仿宋" w:hAnsi="仿宋" w:eastAsia="仿宋" w:cs="Times New Roman"/>
                <w:b/>
                <w:bCs/>
                <w:color w:val="000000"/>
                <w:kern w:val="0"/>
                <w:sz w:val="24"/>
                <w:szCs w:val="24"/>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1</w:t>
            </w:r>
          </w:p>
        </w:tc>
        <w:tc>
          <w:tcPr>
            <w:tcW w:w="1165"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Y日及之后</w:t>
            </w:r>
          </w:p>
        </w:tc>
        <w:tc>
          <w:tcPr>
            <w:tcW w:w="3356"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基金管理人向中国结算深圳分公司发行人业务部申请办理场内扩募份额登记及限售业务，取得《证券登记申报明细清单》。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2</w:t>
            </w:r>
          </w:p>
        </w:tc>
        <w:tc>
          <w:tcPr>
            <w:tcW w:w="1165"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K-2日及之前</w:t>
            </w:r>
          </w:p>
        </w:tc>
        <w:tc>
          <w:tcPr>
            <w:tcW w:w="3356"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基金管理人最晚于K-2日向本所提交限售公告信息披露申请，披露日期选择K+1日，同时将场内份额限售申请盖章扫描件及《证券登记申报明细清单》作为附件进行报备。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3</w:t>
            </w:r>
          </w:p>
        </w:tc>
        <w:tc>
          <w:tcPr>
            <w:tcW w:w="1165"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K日</w:t>
            </w:r>
          </w:p>
        </w:tc>
        <w:tc>
          <w:tcPr>
            <w:tcW w:w="3356"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完成场内份额登记及限售。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79"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4</w:t>
            </w:r>
          </w:p>
        </w:tc>
        <w:tc>
          <w:tcPr>
            <w:tcW w:w="1165"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K+1日</w:t>
            </w:r>
          </w:p>
        </w:tc>
        <w:tc>
          <w:tcPr>
            <w:tcW w:w="3356"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限售公告信息披露见刊。</w:t>
            </w:r>
          </w:p>
        </w:tc>
      </w:tr>
    </w:tbl>
    <w:p>
      <w:pPr>
        <w:spacing w:line="560" w:lineRule="exact"/>
        <w:ind w:firstLine="640" w:firstLineChars="200"/>
        <w:rPr>
          <w:rFonts w:ascii="仿宋" w:hAnsi="仿宋" w:eastAsia="仿宋"/>
          <w:sz w:val="32"/>
          <w:szCs w:val="32"/>
          <w:highlight w:val="none"/>
        </w:rPr>
      </w:pPr>
    </w:p>
    <w:p>
      <w:pPr>
        <w:pStyle w:val="2"/>
        <w:keepNext w:val="0"/>
        <w:keepLines w:val="0"/>
        <w:numPr>
          <w:ilvl w:val="-1"/>
          <w:numId w:val="0"/>
        </w:numPr>
        <w:adjustRightInd w:val="0"/>
        <w:snapToGrid w:val="0"/>
        <w:spacing w:line="240" w:lineRule="auto"/>
        <w:ind w:left="0" w:firstLine="0"/>
        <w:jc w:val="center"/>
        <w:rPr>
          <w:rFonts w:ascii="黑体" w:hAnsi="黑体" w:eastAsia="黑体"/>
          <w:b w:val="0"/>
          <w:sz w:val="32"/>
          <w:szCs w:val="32"/>
          <w:highlight w:val="none"/>
        </w:rPr>
      </w:pPr>
      <w:bookmarkStart w:id="227" w:name="_Toc146725930"/>
      <w:bookmarkStart w:id="228" w:name="_Toc8780"/>
      <w:bookmarkStart w:id="229" w:name="_Toc19548"/>
      <w:bookmarkStart w:id="230" w:name="_Toc25623"/>
      <w:bookmarkStart w:id="231" w:name="_Toc32115"/>
      <w:bookmarkStart w:id="232" w:name="_Toc16926"/>
      <w:bookmarkStart w:id="233" w:name="_Toc23456"/>
      <w:r>
        <w:rPr>
          <w:rFonts w:hint="eastAsia" w:ascii="黑体" w:hAnsi="黑体" w:eastAsia="黑体"/>
          <w:b w:val="0"/>
          <w:sz w:val="32"/>
          <w:szCs w:val="32"/>
          <w:highlight w:val="none"/>
          <w:lang w:eastAsia="zh-CN"/>
        </w:rPr>
        <w:t>第三章</w:t>
      </w:r>
      <w:r>
        <w:rPr>
          <w:rFonts w:hint="eastAsia" w:ascii="黑体" w:hAnsi="黑体" w:eastAsia="黑体"/>
          <w:b w:val="0"/>
          <w:sz w:val="32"/>
          <w:szCs w:val="32"/>
          <w:highlight w:val="none"/>
          <w:lang w:val="en-US" w:eastAsia="zh-CN"/>
        </w:rPr>
        <w:t xml:space="preserve"> </w:t>
      </w:r>
      <w:r>
        <w:rPr>
          <w:rFonts w:hint="eastAsia" w:ascii="黑体" w:hAnsi="黑体" w:eastAsia="黑体"/>
          <w:b w:val="0"/>
          <w:sz w:val="32"/>
          <w:szCs w:val="32"/>
          <w:highlight w:val="none"/>
        </w:rPr>
        <w:t>上市</w:t>
      </w:r>
      <w:bookmarkEnd w:id="227"/>
      <w:bookmarkEnd w:id="228"/>
      <w:bookmarkEnd w:id="229"/>
      <w:bookmarkEnd w:id="230"/>
      <w:bookmarkEnd w:id="231"/>
      <w:bookmarkEnd w:id="232"/>
      <w:bookmarkEnd w:id="233"/>
    </w:p>
    <w:p>
      <w:pPr>
        <w:pStyle w:val="3"/>
        <w:keepNext w:val="0"/>
        <w:keepLines w:val="0"/>
        <w:adjustRightInd w:val="0"/>
        <w:snapToGrid w:val="0"/>
        <w:spacing w:before="0" w:after="0" w:line="560" w:lineRule="exact"/>
        <w:ind w:firstLine="640" w:firstLineChars="200"/>
        <w:rPr>
          <w:rFonts w:ascii="Times New Roman" w:hAnsi="Times New Roman" w:eastAsia="黑体"/>
          <w:b w:val="0"/>
          <w:highlight w:val="none"/>
        </w:rPr>
      </w:pPr>
      <w:bookmarkStart w:id="234" w:name="_Toc2086"/>
      <w:bookmarkStart w:id="235" w:name="_Toc25790"/>
      <w:bookmarkStart w:id="236" w:name="_Toc13299"/>
      <w:bookmarkStart w:id="237" w:name="_Toc32507"/>
      <w:bookmarkStart w:id="238" w:name="_Toc146725931"/>
      <w:bookmarkStart w:id="239" w:name="_Toc23142"/>
      <w:bookmarkStart w:id="240" w:name="_Toc11239"/>
      <w:r>
        <w:rPr>
          <w:rFonts w:hint="eastAsia" w:ascii="Times New Roman" w:hAnsi="Times New Roman" w:eastAsia="黑体"/>
          <w:b w:val="0"/>
          <w:highlight w:val="none"/>
        </w:rPr>
        <w:t>一、一致行动人信息填报</w:t>
      </w:r>
      <w:bookmarkEnd w:id="234"/>
      <w:bookmarkEnd w:id="235"/>
      <w:bookmarkEnd w:id="236"/>
      <w:bookmarkEnd w:id="237"/>
      <w:bookmarkEnd w:id="238"/>
      <w:bookmarkEnd w:id="239"/>
      <w:bookmarkEnd w:id="240"/>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基金管理人应当最晚于L日（L日为扩募份额上市日）前一交易日，按照《深圳证券交易所公开募集</w:t>
      </w:r>
      <w:r>
        <w:rPr>
          <w:rFonts w:hint="eastAsia" w:ascii="仿宋" w:hAnsi="仿宋" w:eastAsia="仿宋"/>
          <w:sz w:val="32"/>
          <w:szCs w:val="32"/>
          <w:highlight w:val="none"/>
          <w:lang w:eastAsia="zh-CN"/>
        </w:rPr>
        <w:t>不动产投资信托基金</w:t>
      </w:r>
      <w:r>
        <w:rPr>
          <w:rFonts w:hint="eastAsia" w:ascii="仿宋" w:hAnsi="仿宋" w:eastAsia="仿宋"/>
          <w:sz w:val="32"/>
          <w:szCs w:val="32"/>
          <w:highlight w:val="none"/>
        </w:rPr>
        <w:t>业务指南第4号——存续期业务办理》第六章内容，通过</w:t>
      </w:r>
      <w:r>
        <w:rPr>
          <w:rFonts w:hint="eastAsia" w:ascii="仿宋" w:hAnsi="仿宋" w:eastAsia="仿宋"/>
          <w:sz w:val="32"/>
          <w:szCs w:val="32"/>
          <w:highlight w:val="none"/>
          <w:lang w:eastAsia="zh-CN"/>
        </w:rPr>
        <w:t>本所</w:t>
      </w:r>
      <w:r>
        <w:rPr>
          <w:rFonts w:hint="eastAsia" w:ascii="仿宋" w:hAnsi="仿宋" w:eastAsia="仿宋"/>
          <w:sz w:val="32"/>
          <w:szCs w:val="32"/>
          <w:highlight w:val="none"/>
        </w:rPr>
        <w:t>基金业务专区中的“业务办理—&gt;基础资料维护—&gt;一致行动人维护”填报投资者及其一致行动人信息。</w:t>
      </w:r>
    </w:p>
    <w:p>
      <w:pPr>
        <w:pStyle w:val="3"/>
        <w:keepNext w:val="0"/>
        <w:keepLines w:val="0"/>
        <w:adjustRightInd w:val="0"/>
        <w:snapToGrid w:val="0"/>
        <w:spacing w:before="0" w:after="0" w:line="560" w:lineRule="exact"/>
        <w:ind w:firstLine="640" w:firstLineChars="200"/>
        <w:rPr>
          <w:rFonts w:ascii="Times New Roman" w:hAnsi="Times New Roman" w:eastAsia="黑体"/>
          <w:b w:val="0"/>
          <w:highlight w:val="none"/>
        </w:rPr>
      </w:pPr>
      <w:bookmarkStart w:id="241" w:name="_Toc146725932"/>
      <w:bookmarkStart w:id="242" w:name="_Toc30790"/>
      <w:bookmarkStart w:id="243" w:name="_Toc30678"/>
      <w:bookmarkStart w:id="244" w:name="_Toc13123"/>
      <w:bookmarkStart w:id="245" w:name="_Toc15879"/>
      <w:bookmarkStart w:id="246" w:name="_Toc6065"/>
      <w:bookmarkStart w:id="247" w:name="_Toc26930"/>
      <w:r>
        <w:rPr>
          <w:rFonts w:hint="eastAsia" w:ascii="Times New Roman" w:hAnsi="Times New Roman" w:eastAsia="黑体"/>
          <w:b w:val="0"/>
          <w:highlight w:val="none"/>
        </w:rPr>
        <w:t>二、提交扩募份额上市申请</w:t>
      </w:r>
      <w:bookmarkEnd w:id="241"/>
      <w:bookmarkEnd w:id="242"/>
      <w:bookmarkEnd w:id="243"/>
      <w:bookmarkEnd w:id="244"/>
      <w:bookmarkEnd w:id="245"/>
      <w:bookmarkEnd w:id="246"/>
      <w:bookmarkEnd w:id="247"/>
    </w:p>
    <w:p>
      <w:pPr>
        <w:adjustRightInd w:val="0"/>
        <w:snapToGrid w:val="0"/>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基金管理人于L-5日前，通过</w:t>
      </w:r>
      <w:r>
        <w:rPr>
          <w:rFonts w:hint="eastAsia" w:ascii="仿宋" w:hAnsi="仿宋" w:eastAsia="仿宋"/>
          <w:sz w:val="32"/>
          <w:szCs w:val="32"/>
          <w:highlight w:val="none"/>
          <w:lang w:eastAsia="zh-CN"/>
        </w:rPr>
        <w:t>本所</w:t>
      </w:r>
      <w:r>
        <w:rPr>
          <w:rFonts w:hint="eastAsia" w:ascii="仿宋" w:hAnsi="仿宋" w:eastAsia="仿宋"/>
          <w:sz w:val="32"/>
          <w:szCs w:val="32"/>
          <w:highlight w:val="none"/>
        </w:rPr>
        <w:t>基金业务专区的“业务办理—&gt;基金上市—&gt;扩募上市（REITs）”提交扩募份额上市申请材料，包括扩募份额上市申请书（</w:t>
      </w:r>
      <w:r>
        <w:rPr>
          <w:rFonts w:hint="eastAsia" w:ascii="仿宋" w:hAnsi="仿宋" w:eastAsia="仿宋"/>
          <w:sz w:val="32"/>
          <w:szCs w:val="32"/>
          <w:highlight w:val="none"/>
          <w:lang w:eastAsia="zh-CN"/>
        </w:rPr>
        <w:t>附件10</w:t>
      </w:r>
      <w:r>
        <w:rPr>
          <w:rFonts w:hint="eastAsia" w:ascii="仿宋" w:hAnsi="仿宋" w:eastAsia="仿宋"/>
          <w:sz w:val="32"/>
          <w:szCs w:val="32"/>
          <w:highlight w:val="none"/>
        </w:rPr>
        <w:t>）、扩募份额上市交易公告书（必备要素见</w:t>
      </w:r>
      <w:r>
        <w:rPr>
          <w:rFonts w:hint="eastAsia" w:ascii="仿宋" w:hAnsi="仿宋" w:eastAsia="仿宋"/>
          <w:sz w:val="32"/>
          <w:szCs w:val="32"/>
          <w:highlight w:val="none"/>
          <w:lang w:eastAsia="zh-CN"/>
        </w:rPr>
        <w:t>附件1</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）、验资报告、已生效的</w:t>
      </w:r>
      <w:r>
        <w:rPr>
          <w:rFonts w:hint="eastAsia" w:ascii="仿宋" w:hAnsi="仿宋" w:eastAsia="仿宋"/>
          <w:sz w:val="32"/>
          <w:szCs w:val="32"/>
          <w:highlight w:val="none"/>
          <w:lang w:eastAsia="zh-CN"/>
        </w:rPr>
        <w:t>不动产基金</w:t>
      </w:r>
      <w:r>
        <w:rPr>
          <w:rFonts w:hint="eastAsia" w:ascii="仿宋" w:hAnsi="仿宋" w:eastAsia="仿宋"/>
          <w:sz w:val="32"/>
          <w:szCs w:val="32"/>
          <w:highlight w:val="none"/>
        </w:rPr>
        <w:t>认购不动产资产支持证券的认购协议（如有）、不动产基金所投资专项计划的成立公告、不动产基金所投资专项计划的已生效的基础资产买卖协议（如有）等。申请界面中，上市交易公告书公告日期选择L-3日，扩募类别选择“定向扩募”，新增份额本次可流通数量填写“0”。</w:t>
      </w:r>
    </w:p>
    <w:p>
      <w:pPr>
        <w:pStyle w:val="3"/>
        <w:keepNext w:val="0"/>
        <w:keepLines w:val="0"/>
        <w:adjustRightInd w:val="0"/>
        <w:snapToGrid w:val="0"/>
        <w:spacing w:before="0" w:after="0" w:line="560" w:lineRule="exact"/>
        <w:ind w:firstLine="640" w:firstLineChars="200"/>
        <w:rPr>
          <w:rFonts w:ascii="Times New Roman" w:hAnsi="Times New Roman" w:eastAsia="黑体"/>
          <w:b w:val="0"/>
          <w:highlight w:val="none"/>
        </w:rPr>
      </w:pPr>
      <w:bookmarkStart w:id="248" w:name="_Toc146725933"/>
      <w:bookmarkStart w:id="249" w:name="_Toc16535"/>
      <w:bookmarkStart w:id="250" w:name="_Toc23860"/>
      <w:bookmarkStart w:id="251" w:name="_Toc26195"/>
      <w:bookmarkStart w:id="252" w:name="_Toc20052"/>
      <w:bookmarkStart w:id="253" w:name="_Toc11400"/>
      <w:bookmarkStart w:id="254" w:name="_Toc5271"/>
      <w:r>
        <w:rPr>
          <w:rFonts w:hint="eastAsia" w:ascii="Times New Roman" w:hAnsi="Times New Roman" w:eastAsia="黑体"/>
          <w:b w:val="0"/>
          <w:highlight w:val="none"/>
        </w:rPr>
        <w:t>三、披露上市交易公告书</w:t>
      </w:r>
      <w:bookmarkEnd w:id="248"/>
      <w:bookmarkEnd w:id="249"/>
      <w:bookmarkEnd w:id="250"/>
      <w:bookmarkEnd w:id="251"/>
      <w:bookmarkEnd w:id="252"/>
      <w:bookmarkEnd w:id="253"/>
      <w:bookmarkEnd w:id="254"/>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L-4日前，基金管理人通过本所基金业务专区</w:t>
      </w:r>
      <w:r>
        <w:rPr>
          <w:rFonts w:hint="eastAsia" w:ascii="仿宋" w:hAnsi="仿宋" w:eastAsia="仿宋"/>
          <w:bCs/>
          <w:sz w:val="32"/>
          <w:szCs w:val="32"/>
          <w:highlight w:val="none"/>
        </w:rPr>
        <w:t>中的“业务办理—&gt;信息披露—&gt;REITs定向扩募—&gt;扩募份额上市交易公告书”提交信息披露申请，</w:t>
      </w:r>
      <w:r>
        <w:rPr>
          <w:rFonts w:hint="eastAsia" w:ascii="仿宋" w:hAnsi="仿宋" w:eastAsia="仿宋"/>
          <w:sz w:val="32"/>
          <w:szCs w:val="32"/>
          <w:highlight w:val="none"/>
        </w:rPr>
        <w:t>关联到此前扩募份额上市申请的业务，经本所审核通过后于L-3日在符合中国证监会规定的媒介及本所网站上进行披露。</w:t>
      </w:r>
    </w:p>
    <w:p>
      <w:pPr>
        <w:pStyle w:val="3"/>
        <w:keepNext w:val="0"/>
        <w:keepLines w:val="0"/>
        <w:adjustRightInd w:val="0"/>
        <w:snapToGrid w:val="0"/>
        <w:spacing w:before="0" w:after="0" w:line="560" w:lineRule="exact"/>
        <w:ind w:firstLine="640" w:firstLineChars="200"/>
        <w:rPr>
          <w:rFonts w:ascii="Times New Roman" w:hAnsi="Times New Roman" w:eastAsia="黑体"/>
          <w:b w:val="0"/>
          <w:highlight w:val="none"/>
        </w:rPr>
      </w:pPr>
      <w:bookmarkStart w:id="255" w:name="_Toc1238"/>
      <w:bookmarkStart w:id="256" w:name="_Toc14089"/>
      <w:bookmarkStart w:id="257" w:name="_Toc5376"/>
      <w:bookmarkStart w:id="258" w:name="_Toc3023"/>
      <w:bookmarkStart w:id="259" w:name="_Toc26848"/>
      <w:bookmarkStart w:id="260" w:name="_Toc146725936"/>
      <w:bookmarkStart w:id="261" w:name="_Toc1247"/>
      <w:r>
        <w:rPr>
          <w:rFonts w:hint="eastAsia" w:ascii="Times New Roman" w:hAnsi="Times New Roman" w:eastAsia="黑体"/>
          <w:b w:val="0"/>
          <w:highlight w:val="none"/>
        </w:rPr>
        <w:t>四、披露上市交易提示性公告</w:t>
      </w:r>
      <w:bookmarkEnd w:id="255"/>
    </w:p>
    <w:p>
      <w:pPr>
        <w:spacing w:line="56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基金管理人于L-1日通过本所基金业务专区</w:t>
      </w:r>
      <w:r>
        <w:rPr>
          <w:rFonts w:hint="eastAsia" w:ascii="仿宋" w:hAnsi="仿宋" w:eastAsia="仿宋"/>
          <w:bCs/>
          <w:sz w:val="32"/>
          <w:szCs w:val="32"/>
          <w:highlight w:val="none"/>
        </w:rPr>
        <w:t>中的“业务办理—&gt;信息披露—&gt;REITs定向扩募—&gt;扩募份额上市交易提示性公告”</w:t>
      </w:r>
      <w:r>
        <w:rPr>
          <w:rFonts w:hint="eastAsia" w:ascii="仿宋" w:hAnsi="仿宋" w:eastAsia="仿宋"/>
          <w:sz w:val="32"/>
          <w:szCs w:val="32"/>
          <w:highlight w:val="none"/>
        </w:rPr>
        <w:t>提交上市交易提示性公告信息披露申请，于L日在符合中国证监会规定的媒介及本所网站上进行披露。同日，扩募份额完成上市。</w:t>
      </w:r>
    </w:p>
    <w:p>
      <w:pPr>
        <w:spacing w:line="560" w:lineRule="exact"/>
        <w:ind w:firstLine="640" w:firstLineChars="200"/>
        <w:rPr>
          <w:rFonts w:ascii="仿宋" w:hAnsi="仿宋" w:eastAsia="仿宋"/>
          <w:sz w:val="32"/>
          <w:szCs w:val="32"/>
          <w:highlight w:val="none"/>
        </w:rPr>
      </w:pPr>
    </w:p>
    <w:tbl>
      <w:tblPr>
        <w:tblStyle w:val="17"/>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62"/>
        <w:gridCol w:w="2376"/>
        <w:gridCol w:w="53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2" w:hRule="atLeast"/>
          <w:tblHeader/>
          <w:jc w:val="center"/>
        </w:trPr>
        <w:tc>
          <w:tcPr>
            <w:tcW w:w="447" w:type="pct"/>
            <w:shd w:val="clear" w:color="auto" w:fill="auto"/>
            <w:vAlign w:val="center"/>
          </w:tcPr>
          <w:p>
            <w:pPr>
              <w:widowControl/>
              <w:jc w:val="center"/>
              <w:rPr>
                <w:rFonts w:ascii="仿宋" w:hAnsi="仿宋" w:eastAsia="仿宋" w:cs="Times New Roman"/>
                <w:b/>
                <w:bCs/>
                <w:color w:val="000000"/>
                <w:kern w:val="0"/>
                <w:sz w:val="24"/>
                <w:szCs w:val="24"/>
                <w:highlight w:val="none"/>
              </w:rPr>
            </w:pPr>
            <w:r>
              <w:rPr>
                <w:rFonts w:ascii="仿宋" w:hAnsi="仿宋" w:eastAsia="仿宋" w:cs="Times New Roman"/>
                <w:b/>
                <w:bCs/>
                <w:color w:val="000000"/>
                <w:kern w:val="0"/>
                <w:sz w:val="24"/>
                <w:szCs w:val="24"/>
                <w:highlight w:val="none"/>
              </w:rPr>
              <w:t>序号</w:t>
            </w:r>
          </w:p>
        </w:tc>
        <w:tc>
          <w:tcPr>
            <w:tcW w:w="1394" w:type="pct"/>
            <w:shd w:val="clear" w:color="auto" w:fill="auto"/>
            <w:vAlign w:val="center"/>
          </w:tcPr>
          <w:p>
            <w:pPr>
              <w:widowControl/>
              <w:jc w:val="center"/>
              <w:rPr>
                <w:rFonts w:ascii="仿宋" w:hAnsi="仿宋" w:eastAsia="仿宋" w:cs="Times New Roman"/>
                <w:b/>
                <w:bCs/>
                <w:color w:val="000000"/>
                <w:kern w:val="0"/>
                <w:sz w:val="24"/>
                <w:szCs w:val="24"/>
                <w:highlight w:val="none"/>
              </w:rPr>
            </w:pPr>
            <w:r>
              <w:rPr>
                <w:rFonts w:hint="eastAsia" w:ascii="仿宋" w:hAnsi="仿宋" w:eastAsia="仿宋" w:cs="Times New Roman"/>
                <w:b/>
                <w:bCs/>
                <w:color w:val="000000"/>
                <w:kern w:val="0"/>
                <w:sz w:val="24"/>
                <w:szCs w:val="24"/>
                <w:highlight w:val="none"/>
              </w:rPr>
              <w:t>时间</w:t>
            </w:r>
          </w:p>
        </w:tc>
        <w:tc>
          <w:tcPr>
            <w:tcW w:w="3159" w:type="pct"/>
            <w:shd w:val="clear" w:color="auto" w:fill="auto"/>
            <w:vAlign w:val="center"/>
          </w:tcPr>
          <w:p>
            <w:pPr>
              <w:widowControl/>
              <w:jc w:val="center"/>
              <w:rPr>
                <w:rFonts w:ascii="仿宋" w:hAnsi="仿宋" w:eastAsia="仿宋" w:cs="Times New Roman"/>
                <w:b/>
                <w:bCs/>
                <w:color w:val="000000"/>
                <w:kern w:val="0"/>
                <w:sz w:val="24"/>
                <w:szCs w:val="24"/>
                <w:highlight w:val="none"/>
              </w:rPr>
            </w:pPr>
            <w:r>
              <w:rPr>
                <w:rFonts w:hint="eastAsia" w:ascii="仿宋" w:hAnsi="仿宋" w:eastAsia="仿宋" w:cs="Times New Roman"/>
                <w:b/>
                <w:bCs/>
                <w:color w:val="000000"/>
                <w:kern w:val="0"/>
                <w:sz w:val="24"/>
                <w:szCs w:val="24"/>
                <w:highlight w:val="none"/>
              </w:rPr>
              <w:t>工作</w:t>
            </w:r>
            <w:r>
              <w:rPr>
                <w:rFonts w:ascii="仿宋" w:hAnsi="仿宋" w:eastAsia="仿宋" w:cs="Times New Roman"/>
                <w:b/>
                <w:bCs/>
                <w:color w:val="000000"/>
                <w:kern w:val="0"/>
                <w:sz w:val="24"/>
                <w:szCs w:val="24"/>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47"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1</w:t>
            </w:r>
          </w:p>
        </w:tc>
        <w:tc>
          <w:tcPr>
            <w:tcW w:w="1394"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L-5日前</w:t>
            </w:r>
          </w:p>
        </w:tc>
        <w:tc>
          <w:tcPr>
            <w:tcW w:w="3159"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基金管理人向本所提交扩募份额上市申请材料，包括扩募份额上市申请书、扩募份额上市交易公告书、验资报告、不动产基金认购不动产资产支持证券的认购协议（如有）、不动产基金所投资专项计划的成立公告、不动产基金所投资专项计划的已生效的基础资产买卖协议（如有）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47"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2</w:t>
            </w:r>
          </w:p>
        </w:tc>
        <w:tc>
          <w:tcPr>
            <w:tcW w:w="1394"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L-4日前</w:t>
            </w:r>
          </w:p>
        </w:tc>
        <w:tc>
          <w:tcPr>
            <w:tcW w:w="3159"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基金管理人向本所提交扩募上市交易公告书信息披露申请，关联到此前扩募份额上市申请的业务，并于次日披露。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47"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3</w:t>
            </w:r>
          </w:p>
        </w:tc>
        <w:tc>
          <w:tcPr>
            <w:tcW w:w="1394"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L-1日及之前</w:t>
            </w:r>
          </w:p>
        </w:tc>
        <w:tc>
          <w:tcPr>
            <w:tcW w:w="3159"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基金管理人向本所申报投资者及其一致行动人信息。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47"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4</w:t>
            </w:r>
          </w:p>
        </w:tc>
        <w:tc>
          <w:tcPr>
            <w:tcW w:w="1394"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L-1日</w:t>
            </w:r>
          </w:p>
        </w:tc>
        <w:tc>
          <w:tcPr>
            <w:tcW w:w="3159"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基金管理人向本所提交上市交易提示性公告信息披露申请并于次日披露。</w:t>
            </w:r>
          </w:p>
        </w:tc>
      </w:tr>
    </w:tbl>
    <w:p>
      <w:pPr>
        <w:spacing w:line="560" w:lineRule="exact"/>
        <w:ind w:firstLine="640" w:firstLineChars="200"/>
        <w:rPr>
          <w:rFonts w:ascii="仿宋" w:hAnsi="仿宋" w:eastAsia="仿宋"/>
          <w:sz w:val="32"/>
          <w:szCs w:val="32"/>
          <w:highlight w:val="none"/>
        </w:rPr>
      </w:pPr>
    </w:p>
    <w:p>
      <w:pPr>
        <w:keepNext w:val="0"/>
        <w:keepLines w:val="0"/>
        <w:adjustRightInd w:val="0"/>
        <w:snapToGrid w:val="0"/>
        <w:spacing w:before="0" w:after="0" w:line="240" w:lineRule="auto"/>
        <w:rPr>
          <w:rFonts w:hint="eastAsia" w:ascii="黑体" w:hAnsi="黑体" w:eastAsia="黑体"/>
          <w:b w:val="0"/>
          <w:bCs w:val="0"/>
          <w:highlight w:val="none"/>
          <w:lang w:eastAsia="zh-CN"/>
        </w:rPr>
      </w:pPr>
      <w:r>
        <w:rPr>
          <w:rFonts w:hint="eastAsia" w:ascii="黑体" w:hAnsi="黑体" w:eastAsia="黑体"/>
          <w:b w:val="0"/>
          <w:bCs w:val="0"/>
          <w:highlight w:val="none"/>
          <w:lang w:eastAsia="zh-CN"/>
        </w:rPr>
        <w:br w:type="page"/>
      </w:r>
    </w:p>
    <w:p>
      <w:pPr>
        <w:pStyle w:val="3"/>
        <w:keepNext w:val="0"/>
        <w:keepLines w:val="0"/>
        <w:adjustRightInd w:val="0"/>
        <w:snapToGrid w:val="0"/>
        <w:spacing w:before="0" w:after="0" w:line="240" w:lineRule="auto"/>
        <w:outlineLvl w:val="1"/>
        <w:rPr>
          <w:rFonts w:hint="eastAsia" w:ascii="黑体" w:hAnsi="黑体" w:eastAsia="黑体"/>
          <w:b w:val="0"/>
          <w:bCs w:val="0"/>
          <w:highlight w:val="none"/>
        </w:rPr>
      </w:pPr>
      <w:bookmarkStart w:id="262" w:name="_Toc18891"/>
      <w:bookmarkStart w:id="263" w:name="_Toc6431"/>
      <w:bookmarkStart w:id="264" w:name="_Toc32727"/>
      <w:bookmarkStart w:id="265" w:name="_Toc2158"/>
      <w:r>
        <w:rPr>
          <w:rFonts w:hint="eastAsia" w:ascii="黑体" w:hAnsi="黑体" w:eastAsia="黑体"/>
          <w:b w:val="0"/>
          <w:bCs w:val="0"/>
          <w:highlight w:val="none"/>
        </w:rPr>
        <w:t>附件1</w:t>
      </w:r>
      <w:bookmarkEnd w:id="262"/>
      <w:bookmarkEnd w:id="263"/>
    </w:p>
    <w:bookmarkEnd w:id="264"/>
    <w:bookmarkEnd w:id="265"/>
    <w:p>
      <w:pPr>
        <w:outlineLvl w:val="9"/>
        <w:rPr>
          <w:rFonts w:hint="eastAsia" w:ascii="黑体" w:hAnsi="黑体" w:eastAsia="黑体"/>
          <w:b w:val="0"/>
          <w:bCs w:val="0"/>
          <w:highlight w:val="none"/>
        </w:rPr>
      </w:pPr>
    </w:p>
    <w:p>
      <w:pPr>
        <w:keepNext w:val="0"/>
        <w:keepLines w:val="0"/>
        <w:adjustRightInd/>
        <w:snapToGrid/>
        <w:spacing w:before="0" w:after="0" w:line="560" w:lineRule="exact"/>
        <w:jc w:val="center"/>
        <w:outlineLvl w:val="9"/>
        <w:rPr>
          <w:rFonts w:hint="eastAsia" w:ascii="Times New Roman" w:hAnsi="Times New Roman" w:eastAsia="方正小标宋简体" w:cs="Times New Roman"/>
          <w:b w:val="0"/>
          <w:bCs/>
          <w:sz w:val="44"/>
          <w:szCs w:val="44"/>
          <w:highlight w:val="none"/>
        </w:rPr>
      </w:pPr>
      <w:r>
        <w:rPr>
          <w:rFonts w:hint="eastAsia" w:ascii="Times New Roman" w:hAnsi="Times New Roman" w:eastAsia="方正小标宋简体" w:cs="Times New Roman"/>
          <w:b w:val="0"/>
          <w:bCs/>
          <w:sz w:val="44"/>
          <w:szCs w:val="44"/>
          <w:highlight w:val="none"/>
        </w:rPr>
        <w:t>定向扩募信息披露公告类别</w:t>
      </w:r>
      <w:bookmarkEnd w:id="256"/>
      <w:bookmarkEnd w:id="257"/>
      <w:bookmarkEnd w:id="258"/>
      <w:bookmarkEnd w:id="259"/>
      <w:bookmarkEnd w:id="260"/>
      <w:bookmarkEnd w:id="261"/>
    </w:p>
    <w:p>
      <w:pPr>
        <w:spacing w:line="360" w:lineRule="auto"/>
        <w:contextualSpacing/>
        <w:jc w:val="center"/>
        <w:rPr>
          <w:rFonts w:ascii="Times New Roman" w:hAnsi="Times New Roman" w:eastAsia="方正小标宋简体"/>
          <w:color w:val="000000"/>
          <w:sz w:val="32"/>
          <w:szCs w:val="32"/>
          <w:highlight w:val="none"/>
        </w:rPr>
      </w:pPr>
    </w:p>
    <w:tbl>
      <w:tblPr>
        <w:tblStyle w:val="17"/>
        <w:tblW w:w="5492"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4"/>
        <w:gridCol w:w="2164"/>
        <w:gridCol w:w="2937"/>
        <w:gridCol w:w="34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jc w:val="center"/>
        </w:trPr>
        <w:tc>
          <w:tcPr>
            <w:tcW w:w="456" w:type="pct"/>
            <w:shd w:val="clear" w:color="auto" w:fill="auto"/>
            <w:vAlign w:val="center"/>
          </w:tcPr>
          <w:p>
            <w:pPr>
              <w:widowControl/>
              <w:jc w:val="center"/>
              <w:rPr>
                <w:rFonts w:ascii="Times New Roman" w:hAnsi="Times New Roman" w:eastAsia="仿宋" w:cs="Times New Roman"/>
                <w:b/>
                <w:bCs/>
                <w:color w:val="000000"/>
                <w:kern w:val="0"/>
                <w:sz w:val="24"/>
                <w:szCs w:val="24"/>
                <w:highlight w:val="none"/>
              </w:rPr>
            </w:pPr>
            <w:r>
              <w:rPr>
                <w:rFonts w:ascii="Times New Roman" w:hAnsi="Times New Roman" w:eastAsia="仿宋" w:cs="Times New Roman"/>
                <w:b/>
                <w:bCs/>
                <w:color w:val="000000"/>
                <w:kern w:val="0"/>
                <w:sz w:val="24"/>
                <w:szCs w:val="24"/>
                <w:highlight w:val="none"/>
              </w:rPr>
              <w:t>序号</w:t>
            </w:r>
          </w:p>
        </w:tc>
        <w:tc>
          <w:tcPr>
            <w:tcW w:w="1155" w:type="pct"/>
            <w:shd w:val="clear" w:color="auto" w:fill="auto"/>
            <w:vAlign w:val="center"/>
          </w:tcPr>
          <w:p>
            <w:pPr>
              <w:widowControl/>
              <w:jc w:val="center"/>
              <w:rPr>
                <w:rFonts w:ascii="Times New Roman" w:hAnsi="Times New Roman" w:eastAsia="仿宋" w:cs="Times New Roman"/>
                <w:b/>
                <w:bCs/>
                <w:color w:val="000000"/>
                <w:kern w:val="0"/>
                <w:sz w:val="24"/>
                <w:szCs w:val="24"/>
                <w:highlight w:val="none"/>
              </w:rPr>
            </w:pPr>
            <w:r>
              <w:rPr>
                <w:rFonts w:ascii="Times New Roman" w:hAnsi="Times New Roman" w:eastAsia="仿宋" w:cs="Times New Roman"/>
                <w:b/>
                <w:bCs/>
                <w:color w:val="000000"/>
                <w:kern w:val="0"/>
                <w:sz w:val="24"/>
                <w:szCs w:val="24"/>
                <w:highlight w:val="none"/>
              </w:rPr>
              <w:t>一级公告类别</w:t>
            </w:r>
          </w:p>
        </w:tc>
        <w:tc>
          <w:tcPr>
            <w:tcW w:w="1568" w:type="pct"/>
            <w:shd w:val="clear" w:color="auto" w:fill="auto"/>
            <w:vAlign w:val="center"/>
          </w:tcPr>
          <w:p>
            <w:pPr>
              <w:widowControl/>
              <w:jc w:val="center"/>
              <w:rPr>
                <w:rFonts w:ascii="Times New Roman" w:hAnsi="Times New Roman" w:eastAsia="仿宋" w:cs="Times New Roman"/>
                <w:b/>
                <w:bCs/>
                <w:color w:val="000000"/>
                <w:kern w:val="0"/>
                <w:sz w:val="24"/>
                <w:szCs w:val="24"/>
                <w:highlight w:val="none"/>
              </w:rPr>
            </w:pPr>
            <w:r>
              <w:rPr>
                <w:rFonts w:ascii="Times New Roman" w:hAnsi="Times New Roman" w:eastAsia="仿宋" w:cs="Times New Roman"/>
                <w:b/>
                <w:bCs/>
                <w:color w:val="000000"/>
                <w:kern w:val="0"/>
                <w:sz w:val="24"/>
                <w:szCs w:val="24"/>
                <w:highlight w:val="none"/>
              </w:rPr>
              <w:t>二级公告类别</w:t>
            </w:r>
          </w:p>
        </w:tc>
        <w:tc>
          <w:tcPr>
            <w:tcW w:w="1819" w:type="pct"/>
            <w:shd w:val="clear" w:color="auto" w:fill="auto"/>
            <w:vAlign w:val="center"/>
          </w:tcPr>
          <w:p>
            <w:pPr>
              <w:widowControl/>
              <w:jc w:val="center"/>
              <w:rPr>
                <w:rFonts w:ascii="Times New Roman" w:hAnsi="Times New Roman" w:eastAsia="仿宋" w:cs="Times New Roman"/>
                <w:b/>
                <w:bCs/>
                <w:color w:val="000000"/>
                <w:kern w:val="0"/>
                <w:sz w:val="24"/>
                <w:szCs w:val="24"/>
                <w:highlight w:val="none"/>
              </w:rPr>
            </w:pPr>
            <w:r>
              <w:rPr>
                <w:rFonts w:ascii="Times New Roman" w:hAnsi="Times New Roman" w:eastAsia="仿宋" w:cs="Times New Roman"/>
                <w:b/>
                <w:bCs/>
                <w:color w:val="000000"/>
                <w:kern w:val="0"/>
                <w:sz w:val="24"/>
                <w:szCs w:val="24"/>
                <w:highlight w:val="none"/>
              </w:rPr>
              <w:t>公告内容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1</w:t>
            </w:r>
          </w:p>
        </w:tc>
        <w:tc>
          <w:tcPr>
            <w:tcW w:w="1155" w:type="pct"/>
            <w:vMerge w:val="restar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基金临时报告</w:t>
            </w: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项目购入或出售（REITs）</w:t>
            </w:r>
          </w:p>
        </w:tc>
        <w:tc>
          <w:tcPr>
            <w:tcW w:w="1819" w:type="pct"/>
            <w:shd w:val="clear" w:color="auto" w:fill="auto"/>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拟购入</w:t>
            </w:r>
            <w:r>
              <w:rPr>
                <w:rFonts w:hint="eastAsia" w:ascii="Times New Roman" w:hAnsi="Times New Roman" w:eastAsia="仿宋" w:cs="Times New Roman"/>
                <w:color w:val="000000"/>
                <w:kern w:val="0"/>
                <w:sz w:val="24"/>
                <w:szCs w:val="24"/>
                <w:highlight w:val="none"/>
                <w:lang w:eastAsia="zh-CN"/>
              </w:rPr>
              <w:t>不动产项目</w:t>
            </w:r>
            <w:r>
              <w:rPr>
                <w:rFonts w:hint="eastAsia" w:ascii="Times New Roman" w:hAnsi="Times New Roman" w:eastAsia="仿宋" w:cs="Times New Roman"/>
                <w:color w:val="000000"/>
                <w:kern w:val="0"/>
                <w:sz w:val="24"/>
                <w:szCs w:val="24"/>
                <w:highlight w:val="none"/>
              </w:rPr>
              <w:t>的决定公告、产品变更草案、扩募方案（如有）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2</w:t>
            </w:r>
          </w:p>
        </w:tc>
        <w:tc>
          <w:tcPr>
            <w:tcW w:w="1155" w:type="pct"/>
            <w:vMerge w:val="continue"/>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lang w:eastAsia="zh-CN"/>
              </w:rPr>
              <w:t>不动产项目</w:t>
            </w:r>
            <w:r>
              <w:rPr>
                <w:rFonts w:hint="eastAsia" w:ascii="Times New Roman" w:hAnsi="Times New Roman" w:eastAsia="仿宋" w:cs="Times New Roman"/>
                <w:color w:val="000000"/>
                <w:kern w:val="0"/>
                <w:sz w:val="24"/>
                <w:szCs w:val="24"/>
                <w:highlight w:val="none"/>
              </w:rPr>
              <w:t>购入或出售进展情况（REITs）</w:t>
            </w:r>
          </w:p>
        </w:tc>
        <w:tc>
          <w:tcPr>
            <w:tcW w:w="1819" w:type="pct"/>
            <w:shd w:val="clear" w:color="auto" w:fill="auto"/>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拟购入</w:t>
            </w:r>
            <w:r>
              <w:rPr>
                <w:rFonts w:hint="eastAsia" w:ascii="Times New Roman" w:hAnsi="Times New Roman" w:eastAsia="仿宋" w:cs="Times New Roman"/>
                <w:color w:val="000000"/>
                <w:kern w:val="0"/>
                <w:sz w:val="24"/>
                <w:szCs w:val="24"/>
                <w:highlight w:val="none"/>
                <w:lang w:eastAsia="zh-CN"/>
              </w:rPr>
              <w:t>不动产项目</w:t>
            </w:r>
            <w:r>
              <w:rPr>
                <w:rFonts w:hint="eastAsia" w:ascii="Times New Roman" w:hAnsi="Times New Roman" w:eastAsia="仿宋" w:cs="Times New Roman"/>
                <w:color w:val="000000"/>
                <w:kern w:val="0"/>
                <w:sz w:val="24"/>
                <w:szCs w:val="24"/>
                <w:highlight w:val="none"/>
              </w:rPr>
              <w:t>的进展情况公告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3</w:t>
            </w:r>
          </w:p>
        </w:tc>
        <w:tc>
          <w:tcPr>
            <w:tcW w:w="1155" w:type="pct"/>
            <w:vMerge w:val="continue"/>
            <w:shd w:val="clear" w:color="auto" w:fill="auto"/>
            <w:noWrap/>
            <w:vAlign w:val="center"/>
          </w:tcPr>
          <w:p>
            <w:pPr>
              <w:jc w:val="center"/>
              <w:rPr>
                <w:rFonts w:ascii="Times New Roman" w:hAnsi="Times New Roman" w:eastAsia="仿宋" w:cs="Times New Roman"/>
                <w:color w:val="000000"/>
                <w:kern w:val="0"/>
                <w:sz w:val="24"/>
                <w:szCs w:val="24"/>
                <w:highlight w:val="none"/>
              </w:rPr>
            </w:pP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lang w:eastAsia="zh-CN"/>
              </w:rPr>
              <w:t>不动产项目</w:t>
            </w:r>
            <w:r>
              <w:rPr>
                <w:rFonts w:hint="eastAsia" w:ascii="Times New Roman" w:hAnsi="Times New Roman" w:eastAsia="仿宋" w:cs="Times New Roman"/>
                <w:color w:val="000000"/>
                <w:kern w:val="0"/>
                <w:sz w:val="24"/>
                <w:szCs w:val="24"/>
                <w:highlight w:val="none"/>
              </w:rPr>
              <w:t>交易实施情况报告书（REITs）</w:t>
            </w:r>
          </w:p>
        </w:tc>
        <w:tc>
          <w:tcPr>
            <w:tcW w:w="1819" w:type="pct"/>
            <w:shd w:val="clear" w:color="auto" w:fill="auto"/>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lang w:eastAsia="zh-CN"/>
              </w:rPr>
              <w:t>不动产项目</w:t>
            </w:r>
            <w:r>
              <w:rPr>
                <w:rFonts w:hint="eastAsia" w:ascii="Times New Roman" w:hAnsi="Times New Roman" w:eastAsia="仿宋" w:cs="Times New Roman"/>
                <w:color w:val="000000"/>
                <w:kern w:val="0"/>
                <w:sz w:val="24"/>
                <w:szCs w:val="24"/>
                <w:highlight w:val="none"/>
              </w:rPr>
              <w:t>交易实施情况报告书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4</w:t>
            </w:r>
          </w:p>
        </w:tc>
        <w:tc>
          <w:tcPr>
            <w:tcW w:w="1155" w:type="pct"/>
            <w:vMerge w:val="continue"/>
            <w:shd w:val="clear" w:color="auto" w:fill="auto"/>
            <w:noWrap/>
            <w:vAlign w:val="center"/>
          </w:tcPr>
          <w:p>
            <w:pPr>
              <w:jc w:val="center"/>
              <w:rPr>
                <w:rFonts w:ascii="Times New Roman" w:hAnsi="Times New Roman" w:eastAsia="仿宋" w:cs="Times New Roman"/>
                <w:color w:val="000000"/>
                <w:kern w:val="0"/>
                <w:sz w:val="24"/>
                <w:szCs w:val="24"/>
                <w:highlight w:val="none"/>
              </w:rPr>
            </w:pP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lang w:eastAsia="zh-CN"/>
              </w:rPr>
              <w:t>不动产项目</w:t>
            </w:r>
            <w:r>
              <w:rPr>
                <w:rFonts w:hint="eastAsia" w:ascii="Times New Roman" w:hAnsi="Times New Roman" w:eastAsia="仿宋" w:cs="Times New Roman"/>
                <w:color w:val="000000"/>
                <w:kern w:val="0"/>
                <w:sz w:val="24"/>
                <w:szCs w:val="24"/>
                <w:highlight w:val="none"/>
              </w:rPr>
              <w:t>交易重大事项（REITs）</w:t>
            </w:r>
          </w:p>
        </w:tc>
        <w:tc>
          <w:tcPr>
            <w:tcW w:w="1819" w:type="pct"/>
            <w:shd w:val="clear" w:color="auto" w:fill="auto"/>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lang w:eastAsia="zh-CN"/>
              </w:rPr>
              <w:t>不动产项目</w:t>
            </w:r>
            <w:r>
              <w:rPr>
                <w:rFonts w:hint="eastAsia" w:ascii="Times New Roman" w:hAnsi="Times New Roman" w:eastAsia="仿宋" w:cs="Times New Roman"/>
                <w:color w:val="000000"/>
                <w:kern w:val="0"/>
                <w:sz w:val="24"/>
                <w:szCs w:val="24"/>
                <w:highlight w:val="none"/>
              </w:rPr>
              <w:t>交易重大事项公告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5</w:t>
            </w:r>
          </w:p>
        </w:tc>
        <w:tc>
          <w:tcPr>
            <w:tcW w:w="1155" w:type="pct"/>
            <w:vMerge w:val="continue"/>
            <w:shd w:val="clear" w:color="auto" w:fill="auto"/>
            <w:noWrap/>
            <w:vAlign w:val="center"/>
          </w:tcPr>
          <w:p>
            <w:pPr>
              <w:jc w:val="center"/>
              <w:rPr>
                <w:rFonts w:ascii="Times New Roman" w:hAnsi="Times New Roman" w:eastAsia="仿宋" w:cs="Times New Roman"/>
                <w:color w:val="000000"/>
                <w:kern w:val="0"/>
                <w:sz w:val="24"/>
                <w:szCs w:val="24"/>
                <w:highlight w:val="none"/>
              </w:rPr>
            </w:pP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终止新购入</w:t>
            </w:r>
            <w:r>
              <w:rPr>
                <w:rFonts w:hint="eastAsia" w:ascii="Times New Roman" w:hAnsi="Times New Roman" w:eastAsia="仿宋" w:cs="Times New Roman"/>
                <w:color w:val="000000"/>
                <w:kern w:val="0"/>
                <w:sz w:val="24"/>
                <w:szCs w:val="24"/>
                <w:highlight w:val="none"/>
                <w:lang w:eastAsia="zh-CN"/>
              </w:rPr>
              <w:t>不动产项目</w:t>
            </w:r>
            <w:r>
              <w:rPr>
                <w:rFonts w:hint="eastAsia" w:ascii="Times New Roman" w:hAnsi="Times New Roman" w:eastAsia="仿宋" w:cs="Times New Roman"/>
                <w:color w:val="000000"/>
                <w:kern w:val="0"/>
                <w:sz w:val="24"/>
                <w:szCs w:val="24"/>
                <w:highlight w:val="none"/>
              </w:rPr>
              <w:t>（REITs）</w:t>
            </w:r>
          </w:p>
        </w:tc>
        <w:tc>
          <w:tcPr>
            <w:tcW w:w="1819" w:type="pct"/>
            <w:shd w:val="clear" w:color="auto" w:fill="auto"/>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终止新购入</w:t>
            </w:r>
            <w:r>
              <w:rPr>
                <w:rFonts w:hint="eastAsia" w:ascii="Times New Roman" w:hAnsi="Times New Roman" w:eastAsia="仿宋" w:cs="Times New Roman"/>
                <w:color w:val="000000"/>
                <w:kern w:val="0"/>
                <w:sz w:val="24"/>
                <w:szCs w:val="24"/>
                <w:highlight w:val="none"/>
                <w:lang w:eastAsia="zh-CN"/>
              </w:rPr>
              <w:t>不动产项目</w:t>
            </w:r>
            <w:r>
              <w:rPr>
                <w:rFonts w:hint="eastAsia" w:ascii="Times New Roman" w:hAnsi="Times New Roman" w:eastAsia="仿宋" w:cs="Times New Roman"/>
                <w:color w:val="000000"/>
                <w:kern w:val="0"/>
                <w:sz w:val="24"/>
                <w:szCs w:val="24"/>
                <w:highlight w:val="none"/>
              </w:rPr>
              <w:t>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6</w:t>
            </w:r>
          </w:p>
        </w:tc>
        <w:tc>
          <w:tcPr>
            <w:tcW w:w="1155" w:type="pct"/>
            <w:vMerge w:val="restart"/>
            <w:shd w:val="clear" w:color="auto" w:fill="auto"/>
            <w:noWrap/>
            <w:vAlign w:val="center"/>
          </w:tcPr>
          <w:p>
            <w:pPr>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变更注册公告（REITs）</w:t>
            </w: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基金产品变更申请公告</w:t>
            </w:r>
          </w:p>
        </w:tc>
        <w:tc>
          <w:tcPr>
            <w:tcW w:w="1819" w:type="pct"/>
            <w:shd w:val="clear" w:color="auto" w:fill="auto"/>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基金产品变更申请公告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7</w:t>
            </w:r>
          </w:p>
        </w:tc>
        <w:tc>
          <w:tcPr>
            <w:tcW w:w="1155" w:type="pct"/>
            <w:vMerge w:val="continue"/>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收到受理通知书</w:t>
            </w:r>
          </w:p>
        </w:tc>
        <w:tc>
          <w:tcPr>
            <w:tcW w:w="1819" w:type="pct"/>
            <w:shd w:val="clear" w:color="auto" w:fill="auto"/>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收到中国证监会/交易所的受理通知书公告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8</w:t>
            </w:r>
          </w:p>
        </w:tc>
        <w:tc>
          <w:tcPr>
            <w:tcW w:w="1155" w:type="pct"/>
            <w:vMerge w:val="continue"/>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收到交易所问询</w:t>
            </w:r>
          </w:p>
        </w:tc>
        <w:tc>
          <w:tcPr>
            <w:tcW w:w="1819" w:type="pct"/>
            <w:shd w:val="clear" w:color="auto" w:fill="auto"/>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收到交易所问询公告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9</w:t>
            </w:r>
          </w:p>
        </w:tc>
        <w:tc>
          <w:tcPr>
            <w:tcW w:w="1155" w:type="pct"/>
            <w:vMerge w:val="continue"/>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提交问询答复及相关文件</w:t>
            </w:r>
          </w:p>
        </w:tc>
        <w:tc>
          <w:tcPr>
            <w:tcW w:w="1819" w:type="pct"/>
            <w:shd w:val="clear" w:color="auto" w:fill="auto"/>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提交问询答复及相关文件公告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10</w:t>
            </w:r>
          </w:p>
        </w:tc>
        <w:tc>
          <w:tcPr>
            <w:tcW w:w="1155" w:type="pct"/>
            <w:vMerge w:val="continue"/>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收到交易所审核决定</w:t>
            </w:r>
          </w:p>
        </w:tc>
        <w:tc>
          <w:tcPr>
            <w:tcW w:w="1819" w:type="pct"/>
            <w:shd w:val="clear" w:color="auto" w:fill="auto"/>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收到交易所关于变更申请的无异议函/终止审核通知公告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11</w:t>
            </w:r>
          </w:p>
        </w:tc>
        <w:tc>
          <w:tcPr>
            <w:tcW w:w="1155" w:type="pct"/>
            <w:vMerge w:val="continue"/>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收到中国证监会注册决定</w:t>
            </w:r>
          </w:p>
        </w:tc>
        <w:tc>
          <w:tcPr>
            <w:tcW w:w="1819" w:type="pct"/>
            <w:shd w:val="clear" w:color="auto" w:fill="auto"/>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收到中国证监会关于基金变更注册/不予注册的批复公告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12</w:t>
            </w:r>
          </w:p>
        </w:tc>
        <w:tc>
          <w:tcPr>
            <w:tcW w:w="1155" w:type="pct"/>
            <w:vMerge w:val="continue"/>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撤回申请</w:t>
            </w:r>
          </w:p>
        </w:tc>
        <w:tc>
          <w:tcPr>
            <w:tcW w:w="1819" w:type="pct"/>
            <w:shd w:val="clear" w:color="auto" w:fill="auto"/>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撤回申请公告（需说明原因）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13</w:t>
            </w:r>
          </w:p>
        </w:tc>
        <w:tc>
          <w:tcPr>
            <w:tcW w:w="1155" w:type="pct"/>
            <w:vMerge w:val="restar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REITs定向扩募</w:t>
            </w: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扩募</w:t>
            </w:r>
            <w:r>
              <w:rPr>
                <w:rFonts w:ascii="Times New Roman" w:hAnsi="Times New Roman" w:eastAsia="仿宋" w:cs="Times New Roman"/>
                <w:color w:val="000000"/>
                <w:kern w:val="0"/>
                <w:sz w:val="24"/>
                <w:szCs w:val="24"/>
                <w:highlight w:val="none"/>
              </w:rPr>
              <w:t>基金份额募集失败</w:t>
            </w:r>
          </w:p>
        </w:tc>
        <w:tc>
          <w:tcPr>
            <w:tcW w:w="1819" w:type="pct"/>
            <w:shd w:val="clear" w:color="auto" w:fill="auto"/>
            <w:vAlign w:val="center"/>
          </w:tcPr>
          <w:p>
            <w:pPr>
              <w:widowControl/>
              <w:rPr>
                <w:rFonts w:ascii="Times New Roman" w:hAnsi="Times New Roman" w:eastAsia="仿宋" w:cs="Times New Roman"/>
                <w:color w:val="000000"/>
                <w:kern w:val="0"/>
                <w:sz w:val="24"/>
                <w:szCs w:val="24"/>
                <w:highlight w:val="none"/>
              </w:rPr>
            </w:pPr>
            <w:r>
              <w:rPr>
                <w:rFonts w:ascii="Times New Roman" w:hAnsi="Times New Roman" w:eastAsia="仿宋" w:cs="Times New Roman"/>
                <w:color w:val="000000"/>
                <w:kern w:val="0"/>
                <w:sz w:val="24"/>
                <w:szCs w:val="24"/>
                <w:highlight w:val="none"/>
              </w:rPr>
              <w:t>基金募集失败公告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14</w:t>
            </w:r>
          </w:p>
        </w:tc>
        <w:tc>
          <w:tcPr>
            <w:tcW w:w="1155" w:type="pct"/>
            <w:vMerge w:val="continue"/>
            <w:vAlign w:val="center"/>
          </w:tcPr>
          <w:p>
            <w:pPr>
              <w:widowControl/>
              <w:rPr>
                <w:rFonts w:ascii="Times New Roman" w:hAnsi="Times New Roman" w:eastAsia="仿宋" w:cs="Times New Roman"/>
                <w:color w:val="000000"/>
                <w:kern w:val="0"/>
                <w:sz w:val="24"/>
                <w:szCs w:val="24"/>
                <w:highlight w:val="none"/>
              </w:rPr>
            </w:pP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扩募发行情况报告</w:t>
            </w:r>
          </w:p>
        </w:tc>
        <w:tc>
          <w:tcPr>
            <w:tcW w:w="1819"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发行情况报告书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15</w:t>
            </w:r>
          </w:p>
        </w:tc>
        <w:tc>
          <w:tcPr>
            <w:tcW w:w="1155" w:type="pct"/>
            <w:vMerge w:val="continue"/>
            <w:vAlign w:val="center"/>
          </w:tcPr>
          <w:p>
            <w:pPr>
              <w:widowControl/>
              <w:rPr>
                <w:rFonts w:ascii="Times New Roman" w:hAnsi="Times New Roman" w:eastAsia="仿宋" w:cs="Times New Roman"/>
                <w:color w:val="000000"/>
                <w:kern w:val="0"/>
                <w:sz w:val="24"/>
                <w:szCs w:val="24"/>
                <w:highlight w:val="none"/>
              </w:rPr>
            </w:pP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定向扩募限售公告</w:t>
            </w:r>
          </w:p>
        </w:tc>
        <w:tc>
          <w:tcPr>
            <w:tcW w:w="1819"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限售公告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16</w:t>
            </w:r>
          </w:p>
        </w:tc>
        <w:tc>
          <w:tcPr>
            <w:tcW w:w="1155" w:type="pct"/>
            <w:vMerge w:val="continue"/>
            <w:vAlign w:val="center"/>
          </w:tcPr>
          <w:p>
            <w:pPr>
              <w:widowControl/>
              <w:rPr>
                <w:rFonts w:ascii="Times New Roman" w:hAnsi="Times New Roman" w:eastAsia="仿宋" w:cs="Times New Roman"/>
                <w:color w:val="000000"/>
                <w:kern w:val="0"/>
                <w:sz w:val="24"/>
                <w:szCs w:val="24"/>
                <w:highlight w:val="none"/>
              </w:rPr>
            </w:pP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暂停/恢复基金通转让/转入转出</w:t>
            </w:r>
          </w:p>
        </w:tc>
        <w:tc>
          <w:tcPr>
            <w:tcW w:w="1819"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暂停恢复基金通转让、转入转出公告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17</w:t>
            </w:r>
          </w:p>
        </w:tc>
        <w:tc>
          <w:tcPr>
            <w:tcW w:w="1155" w:type="pct"/>
            <w:vMerge w:val="continue"/>
            <w:vAlign w:val="center"/>
          </w:tcPr>
          <w:p>
            <w:pPr>
              <w:widowControl/>
              <w:rPr>
                <w:rFonts w:ascii="Times New Roman" w:hAnsi="Times New Roman" w:eastAsia="仿宋" w:cs="Times New Roman"/>
                <w:color w:val="000000"/>
                <w:kern w:val="0"/>
                <w:sz w:val="24"/>
                <w:szCs w:val="24"/>
                <w:highlight w:val="none"/>
              </w:rPr>
            </w:pP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ascii="Times New Roman" w:hAnsi="Times New Roman" w:eastAsia="仿宋" w:cs="Times New Roman"/>
                <w:color w:val="000000"/>
                <w:kern w:val="0"/>
                <w:sz w:val="24"/>
                <w:szCs w:val="24"/>
                <w:highlight w:val="none"/>
              </w:rPr>
              <w:t>基金合同</w:t>
            </w:r>
            <w:r>
              <w:rPr>
                <w:rFonts w:hint="eastAsia" w:ascii="Times New Roman" w:hAnsi="Times New Roman" w:eastAsia="仿宋" w:cs="Times New Roman"/>
                <w:color w:val="000000"/>
                <w:kern w:val="0"/>
                <w:sz w:val="24"/>
                <w:szCs w:val="24"/>
                <w:highlight w:val="none"/>
              </w:rPr>
              <w:t>更新</w:t>
            </w:r>
          </w:p>
        </w:tc>
        <w:tc>
          <w:tcPr>
            <w:tcW w:w="1819"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基金合同更新公告（如有）、基金合同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7"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18</w:t>
            </w:r>
          </w:p>
        </w:tc>
        <w:tc>
          <w:tcPr>
            <w:tcW w:w="1155" w:type="pct"/>
            <w:vMerge w:val="continue"/>
            <w:vAlign w:val="center"/>
          </w:tcPr>
          <w:p>
            <w:pPr>
              <w:widowControl/>
              <w:rPr>
                <w:rFonts w:ascii="Times New Roman" w:hAnsi="Times New Roman" w:eastAsia="仿宋" w:cs="Times New Roman"/>
                <w:color w:val="000000"/>
                <w:kern w:val="0"/>
                <w:sz w:val="24"/>
                <w:szCs w:val="24"/>
                <w:highlight w:val="none"/>
              </w:rPr>
            </w:pPr>
          </w:p>
        </w:tc>
        <w:tc>
          <w:tcPr>
            <w:tcW w:w="1568"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扩募份额</w:t>
            </w:r>
            <w:r>
              <w:rPr>
                <w:rFonts w:ascii="Times New Roman" w:hAnsi="Times New Roman" w:eastAsia="仿宋" w:cs="Times New Roman"/>
                <w:color w:val="000000"/>
                <w:kern w:val="0"/>
                <w:sz w:val="24"/>
                <w:szCs w:val="24"/>
                <w:highlight w:val="none"/>
              </w:rPr>
              <w:t>上市交易公告书</w:t>
            </w:r>
          </w:p>
        </w:tc>
        <w:tc>
          <w:tcPr>
            <w:tcW w:w="1819" w:type="pct"/>
            <w:shd w:val="clear" w:color="auto" w:fill="auto"/>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上市交易公告书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5" w:hRule="atLeast"/>
          <w:jc w:val="center"/>
        </w:trPr>
        <w:tc>
          <w:tcPr>
            <w:tcW w:w="456" w:type="pct"/>
            <w:shd w:val="clear" w:color="auto" w:fill="auto"/>
            <w:noWrap/>
            <w:vAlign w:val="center"/>
          </w:tcPr>
          <w:p>
            <w:pPr>
              <w:widowControl/>
              <w:jc w:val="center"/>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19</w:t>
            </w:r>
          </w:p>
        </w:tc>
        <w:tc>
          <w:tcPr>
            <w:tcW w:w="1155" w:type="pct"/>
            <w:vMerge w:val="continue"/>
            <w:vAlign w:val="center"/>
          </w:tcPr>
          <w:p>
            <w:pPr>
              <w:widowControl/>
              <w:rPr>
                <w:rFonts w:ascii="Times New Roman" w:hAnsi="Times New Roman" w:eastAsia="仿宋" w:cs="Times New Roman"/>
                <w:color w:val="000000"/>
                <w:kern w:val="0"/>
                <w:sz w:val="24"/>
                <w:szCs w:val="24"/>
                <w:highlight w:val="none"/>
              </w:rPr>
            </w:pPr>
          </w:p>
        </w:tc>
        <w:tc>
          <w:tcPr>
            <w:tcW w:w="1568" w:type="pct"/>
            <w:shd w:val="clear" w:color="auto" w:fill="auto"/>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扩募份额上市交易提示性公告</w:t>
            </w:r>
          </w:p>
        </w:tc>
        <w:tc>
          <w:tcPr>
            <w:tcW w:w="1819" w:type="pct"/>
            <w:shd w:val="clear" w:color="auto" w:fill="auto"/>
            <w:noWrap/>
            <w:vAlign w:val="center"/>
          </w:tcPr>
          <w:p>
            <w:pPr>
              <w:widowControl/>
              <w:rPr>
                <w:rFonts w:ascii="Times New Roman" w:hAnsi="Times New Roman" w:eastAsia="仿宋" w:cs="Times New Roman"/>
                <w:color w:val="000000"/>
                <w:kern w:val="0"/>
                <w:sz w:val="24"/>
                <w:szCs w:val="24"/>
                <w:highlight w:val="none"/>
              </w:rPr>
            </w:pPr>
            <w:r>
              <w:rPr>
                <w:rFonts w:hint="eastAsia" w:ascii="Times New Roman" w:hAnsi="Times New Roman" w:eastAsia="仿宋" w:cs="Times New Roman"/>
                <w:color w:val="000000"/>
                <w:kern w:val="0"/>
                <w:sz w:val="24"/>
                <w:szCs w:val="24"/>
                <w:highlight w:val="none"/>
              </w:rPr>
              <w:t>扩募份额上市交易提示性公告</w:t>
            </w:r>
          </w:p>
        </w:tc>
      </w:tr>
    </w:tbl>
    <w:p>
      <w:pPr>
        <w:spacing w:line="360" w:lineRule="auto"/>
        <w:contextualSpacing/>
        <w:jc w:val="center"/>
        <w:rPr>
          <w:rFonts w:ascii="Times New Roman" w:hAnsi="Times New Roman" w:eastAsia="方正小标宋简体"/>
          <w:color w:val="000000"/>
          <w:sz w:val="32"/>
          <w:szCs w:val="32"/>
          <w:highlight w:val="none"/>
        </w:rPr>
        <w:sectPr>
          <w:footerReference r:id="rId10" w:type="default"/>
          <w:footerReference r:id="rId11" w:type="even"/>
          <w:pgSz w:w="11906" w:h="16838"/>
          <w:pgMar w:top="1440" w:right="1800" w:bottom="1440" w:left="1800" w:header="851" w:footer="992" w:gutter="0"/>
          <w:pgNumType w:fmt="decimal" w:start="1"/>
          <w:cols w:space="425" w:num="1"/>
          <w:docGrid w:type="lines" w:linePitch="312" w:charSpace="0"/>
        </w:sectPr>
      </w:pPr>
    </w:p>
    <w:p>
      <w:pPr>
        <w:pStyle w:val="3"/>
        <w:keepNext w:val="0"/>
        <w:keepLines w:val="0"/>
        <w:adjustRightInd w:val="0"/>
        <w:snapToGrid w:val="0"/>
        <w:spacing w:before="0" w:after="0" w:line="240" w:lineRule="auto"/>
        <w:outlineLvl w:val="1"/>
        <w:rPr>
          <w:rFonts w:hint="eastAsia" w:ascii="黑体" w:hAnsi="黑体" w:eastAsia="黑体"/>
          <w:b w:val="0"/>
          <w:bCs w:val="0"/>
          <w:highlight w:val="none"/>
          <w:lang w:eastAsia="zh-CN"/>
        </w:rPr>
      </w:pPr>
      <w:bookmarkStart w:id="266" w:name="_Toc20315"/>
      <w:bookmarkStart w:id="267" w:name="_Toc10840"/>
      <w:bookmarkStart w:id="268" w:name="_Toc9002"/>
      <w:bookmarkStart w:id="269" w:name="_Toc24245"/>
      <w:bookmarkStart w:id="270" w:name="_Toc146725937"/>
      <w:bookmarkStart w:id="271" w:name="_Toc16519"/>
      <w:bookmarkStart w:id="272" w:name="_Toc15765"/>
      <w:r>
        <w:rPr>
          <w:rFonts w:hint="eastAsia" w:ascii="黑体" w:hAnsi="黑体" w:eastAsia="黑体"/>
          <w:b w:val="0"/>
          <w:bCs w:val="0"/>
          <w:highlight w:val="none"/>
        </w:rPr>
        <w:t>附件</w:t>
      </w:r>
      <w:r>
        <w:rPr>
          <w:rFonts w:hint="eastAsia" w:ascii="黑体" w:hAnsi="黑体" w:eastAsia="黑体"/>
          <w:b w:val="0"/>
          <w:bCs w:val="0"/>
          <w:highlight w:val="none"/>
          <w:lang w:val="en-US" w:eastAsia="zh-CN"/>
        </w:rPr>
        <w:t>2</w:t>
      </w:r>
      <w:bookmarkEnd w:id="266"/>
    </w:p>
    <w:p>
      <w:pPr>
        <w:outlineLvl w:val="9"/>
        <w:rPr>
          <w:rFonts w:hint="eastAsia" w:ascii="黑体" w:hAnsi="黑体" w:eastAsia="黑体"/>
          <w:b w:val="0"/>
          <w:bCs w:val="0"/>
          <w:highlight w:val="none"/>
        </w:rPr>
      </w:pPr>
    </w:p>
    <w:p>
      <w:pPr>
        <w:keepNext w:val="0"/>
        <w:keepLines w:val="0"/>
        <w:adjustRightInd w:val="0"/>
        <w:snapToGrid w:val="0"/>
        <w:spacing w:before="0" w:after="0" w:line="240" w:lineRule="auto"/>
        <w:jc w:val="center"/>
        <w:outlineLvl w:val="9"/>
        <w:rPr>
          <w:rFonts w:ascii="黑体" w:hAnsi="黑体" w:eastAsia="黑体"/>
          <w:sz w:val="30"/>
          <w:szCs w:val="30"/>
          <w:highlight w:val="none"/>
        </w:rPr>
      </w:pPr>
      <w:r>
        <w:rPr>
          <w:rFonts w:hint="eastAsia" w:ascii="Times New Roman" w:hAnsi="Times New Roman" w:eastAsia="方正小标宋简体"/>
          <w:b w:val="0"/>
          <w:bCs/>
          <w:sz w:val="44"/>
          <w:szCs w:val="44"/>
          <w:highlight w:val="none"/>
        </w:rPr>
        <w:t>产品变更草案</w:t>
      </w:r>
      <w:r>
        <w:rPr>
          <w:rFonts w:hint="eastAsia" w:ascii="Times New Roman" w:hAnsi="Times New Roman" w:eastAsia="方正小标宋简体"/>
          <w:b w:val="0"/>
          <w:bCs/>
          <w:sz w:val="44"/>
          <w:szCs w:val="44"/>
          <w:highlight w:val="none"/>
          <w:lang w:eastAsia="zh-CN"/>
        </w:rPr>
        <w:t>必备要素</w:t>
      </w:r>
      <w:bookmarkEnd w:id="267"/>
      <w:bookmarkEnd w:id="268"/>
      <w:bookmarkEnd w:id="269"/>
      <w:bookmarkEnd w:id="270"/>
      <w:bookmarkEnd w:id="271"/>
      <w:bookmarkEnd w:id="272"/>
    </w:p>
    <w:p>
      <w:pPr>
        <w:autoSpaceDE/>
        <w:autoSpaceDN/>
        <w:adjustRightInd/>
        <w:snapToGrid/>
        <w:spacing w:line="360" w:lineRule="auto"/>
        <w:ind w:firstLine="560" w:firstLineChars="200"/>
        <w:jc w:val="left"/>
        <w:rPr>
          <w:rFonts w:hint="eastAsia" w:ascii="仿宋_GB2312" w:hAnsi="仿宋" w:eastAsia="仿宋_GB2312" w:cstheme="minorBidi"/>
          <w:b w:val="0"/>
          <w:bCs/>
          <w:kern w:val="2"/>
          <w:sz w:val="28"/>
          <w:szCs w:val="28"/>
          <w:highlight w:val="none"/>
          <w:lang w:eastAsia="zh-CN"/>
        </w:rPr>
      </w:pPr>
    </w:p>
    <w:p>
      <w:pPr>
        <w:autoSpaceDE/>
        <w:autoSpaceDN/>
        <w:adjustRightInd/>
        <w:snapToGrid/>
        <w:spacing w:line="560" w:lineRule="exact"/>
        <w:ind w:firstLine="560" w:firstLineChars="200"/>
        <w:jc w:val="left"/>
        <w:rPr>
          <w:rFonts w:hint="eastAsia" w:ascii="仿宋_GB2312" w:hAnsi="仿宋" w:eastAsia="仿宋_GB2312" w:cstheme="minorBidi"/>
          <w:b w:val="0"/>
          <w:bCs/>
          <w:kern w:val="2"/>
          <w:sz w:val="28"/>
          <w:szCs w:val="28"/>
          <w:highlight w:val="none"/>
          <w:lang w:eastAsia="zh-CN"/>
        </w:rPr>
      </w:pPr>
      <w:r>
        <w:rPr>
          <w:rFonts w:hint="eastAsia" w:ascii="仿宋_GB2312" w:hAnsi="仿宋" w:eastAsia="仿宋_GB2312" w:cstheme="minorBidi"/>
          <w:b w:val="0"/>
          <w:bCs/>
          <w:kern w:val="2"/>
          <w:sz w:val="28"/>
          <w:szCs w:val="28"/>
          <w:highlight w:val="none"/>
          <w:lang w:eastAsia="zh-CN"/>
        </w:rPr>
        <w:t>产品变更草案封面页需标明不动产基金名称、“产品变更草案”字样和日期，正文开始前包括基金声明和释义。</w:t>
      </w:r>
    </w:p>
    <w:p>
      <w:pPr>
        <w:autoSpaceDE/>
        <w:autoSpaceDN/>
        <w:adjustRightInd/>
        <w:snapToGrid/>
        <w:spacing w:line="560" w:lineRule="exact"/>
        <w:ind w:firstLine="562" w:firstLineChars="200"/>
        <w:jc w:val="left"/>
        <w:rPr>
          <w:rFonts w:hint="eastAsia" w:ascii="黑体" w:hAnsi="黑体" w:eastAsia="黑体" w:cs="黑体"/>
          <w:b/>
          <w:kern w:val="2"/>
          <w:sz w:val="28"/>
          <w:szCs w:val="28"/>
          <w:highlight w:val="none"/>
        </w:rPr>
      </w:pPr>
      <w:r>
        <w:rPr>
          <w:rFonts w:hint="eastAsia" w:ascii="黑体" w:hAnsi="黑体" w:eastAsia="黑体" w:cs="黑体"/>
          <w:b/>
          <w:kern w:val="2"/>
          <w:sz w:val="28"/>
          <w:szCs w:val="28"/>
          <w:highlight w:val="none"/>
        </w:rPr>
        <w:t>一、</w:t>
      </w:r>
      <w:r>
        <w:rPr>
          <w:rFonts w:hint="eastAsia" w:ascii="黑体" w:hAnsi="黑体" w:eastAsia="黑体" w:cs="黑体"/>
          <w:b/>
          <w:kern w:val="2"/>
          <w:sz w:val="28"/>
          <w:szCs w:val="28"/>
          <w:highlight w:val="none"/>
          <w:lang w:eastAsia="zh-CN"/>
        </w:rPr>
        <w:t>REITs</w:t>
      </w:r>
      <w:r>
        <w:rPr>
          <w:rFonts w:hint="eastAsia" w:ascii="黑体" w:hAnsi="黑体" w:eastAsia="黑体" w:cs="黑体"/>
          <w:b/>
          <w:kern w:val="2"/>
          <w:sz w:val="28"/>
          <w:szCs w:val="28"/>
          <w:highlight w:val="none"/>
        </w:rPr>
        <w:t>基本信息</w:t>
      </w:r>
    </w:p>
    <w:p>
      <w:pPr>
        <w:autoSpaceDE/>
        <w:autoSpaceDN/>
        <w:adjustRightInd/>
        <w:snapToGrid/>
        <w:spacing w:line="560" w:lineRule="exact"/>
        <w:ind w:firstLine="562" w:firstLineChars="200"/>
        <w:jc w:val="left"/>
        <w:rPr>
          <w:rFonts w:hint="eastAsia" w:ascii="仿宋_GB2312" w:hAnsi="仿宋" w:eastAsia="仿宋_GB2312" w:cstheme="minorBidi"/>
          <w:b/>
          <w:kern w:val="2"/>
          <w:sz w:val="28"/>
          <w:szCs w:val="28"/>
          <w:highlight w:val="none"/>
        </w:rPr>
      </w:pPr>
      <w:r>
        <w:rPr>
          <w:rFonts w:hint="eastAsia" w:ascii="黑体" w:hAnsi="黑体" w:eastAsia="黑体" w:cs="黑体"/>
          <w:b/>
          <w:kern w:val="2"/>
          <w:sz w:val="28"/>
          <w:szCs w:val="28"/>
          <w:highlight w:val="none"/>
        </w:rPr>
        <w:t>二、拟购入</w:t>
      </w:r>
      <w:r>
        <w:rPr>
          <w:rFonts w:hint="eastAsia" w:ascii="黑体" w:hAnsi="黑体" w:eastAsia="黑体" w:cs="黑体"/>
          <w:b/>
          <w:kern w:val="2"/>
          <w:sz w:val="28"/>
          <w:szCs w:val="28"/>
          <w:highlight w:val="none"/>
          <w:lang w:eastAsia="zh-CN"/>
        </w:rPr>
        <w:t>不动产项目</w:t>
      </w:r>
      <w:r>
        <w:rPr>
          <w:rFonts w:hint="eastAsia" w:ascii="黑体" w:hAnsi="黑体" w:eastAsia="黑体" w:cs="黑体"/>
          <w:b/>
          <w:kern w:val="2"/>
          <w:sz w:val="28"/>
          <w:szCs w:val="28"/>
          <w:highlight w:val="none"/>
        </w:rPr>
        <w:t>及交易安排</w:t>
      </w:r>
    </w:p>
    <w:p>
      <w:pPr>
        <w:autoSpaceDE/>
        <w:autoSpaceDN/>
        <w:adjustRightInd/>
        <w:snapToGrid/>
        <w:spacing w:line="560" w:lineRule="exact"/>
        <w:ind w:firstLine="560" w:firstLineChars="200"/>
        <w:jc w:val="left"/>
        <w:rPr>
          <w:rFonts w:hint="eastAsia" w:ascii="仿宋_GB2312" w:hAnsi="仿宋" w:eastAsia="仿宋_GB2312" w:cstheme="minorBidi"/>
          <w:b w:val="0"/>
          <w:bCs/>
          <w:kern w:val="2"/>
          <w:sz w:val="28"/>
          <w:szCs w:val="28"/>
          <w:highlight w:val="none"/>
        </w:rPr>
      </w:pPr>
      <w:r>
        <w:rPr>
          <w:rFonts w:hint="eastAsia" w:ascii="仿宋_GB2312" w:hAnsi="仿宋" w:eastAsia="仿宋_GB2312" w:cstheme="minorBidi"/>
          <w:b w:val="0"/>
          <w:bCs/>
          <w:kern w:val="2"/>
          <w:sz w:val="28"/>
          <w:szCs w:val="28"/>
          <w:highlight w:val="none"/>
        </w:rPr>
        <w:t>（一）交易概况</w:t>
      </w:r>
    </w:p>
    <w:p>
      <w:pPr>
        <w:autoSpaceDE/>
        <w:autoSpaceDN/>
        <w:adjustRightInd/>
        <w:snapToGrid/>
        <w:spacing w:line="560" w:lineRule="exact"/>
        <w:ind w:firstLine="560" w:firstLineChars="200"/>
        <w:jc w:val="left"/>
        <w:rPr>
          <w:rFonts w:hint="eastAsia" w:ascii="仿宋_GB2312" w:hAnsi="仿宋" w:eastAsia="仿宋_GB2312" w:cstheme="minorBidi"/>
          <w:b w:val="0"/>
          <w:bCs/>
          <w:kern w:val="2"/>
          <w:sz w:val="28"/>
          <w:szCs w:val="28"/>
          <w:highlight w:val="none"/>
          <w:lang w:eastAsia="zh-CN"/>
        </w:rPr>
      </w:pPr>
      <w:r>
        <w:rPr>
          <w:rFonts w:hint="eastAsia" w:ascii="仿宋_GB2312" w:hAnsi="仿宋" w:eastAsia="仿宋_GB2312" w:cstheme="minorBidi"/>
          <w:b w:val="0"/>
          <w:bCs/>
          <w:kern w:val="2"/>
          <w:sz w:val="28"/>
          <w:szCs w:val="28"/>
          <w:highlight w:val="none"/>
          <w:lang w:eastAsia="zh-CN"/>
        </w:rPr>
        <w:t>包括交易架构图、交易安排等。</w:t>
      </w:r>
    </w:p>
    <w:p>
      <w:pPr>
        <w:autoSpaceDE/>
        <w:autoSpaceDN/>
        <w:adjustRightInd/>
        <w:snapToGrid/>
        <w:spacing w:line="560" w:lineRule="exact"/>
        <w:ind w:firstLine="560" w:firstLineChars="200"/>
        <w:jc w:val="left"/>
        <w:rPr>
          <w:rFonts w:hint="eastAsia" w:ascii="仿宋_GB2312" w:hAnsi="仿宋" w:eastAsia="仿宋_GB2312" w:cstheme="minorBidi"/>
          <w:b w:val="0"/>
          <w:bCs/>
          <w:kern w:val="2"/>
          <w:sz w:val="28"/>
          <w:szCs w:val="28"/>
          <w:highlight w:val="none"/>
        </w:rPr>
      </w:pPr>
      <w:r>
        <w:rPr>
          <w:rFonts w:hint="eastAsia" w:ascii="仿宋_GB2312" w:hAnsi="仿宋" w:eastAsia="仿宋_GB2312" w:cstheme="minorBidi"/>
          <w:b w:val="0"/>
          <w:bCs/>
          <w:kern w:val="2"/>
          <w:sz w:val="28"/>
          <w:szCs w:val="28"/>
          <w:highlight w:val="none"/>
          <w:lang w:eastAsia="zh-CN"/>
        </w:rPr>
        <w:t>（二）</w:t>
      </w:r>
      <w:r>
        <w:rPr>
          <w:rFonts w:hint="eastAsia" w:ascii="仿宋_GB2312" w:hAnsi="仿宋" w:eastAsia="仿宋_GB2312" w:cstheme="minorBidi"/>
          <w:b w:val="0"/>
          <w:bCs/>
          <w:kern w:val="2"/>
          <w:sz w:val="28"/>
          <w:szCs w:val="28"/>
          <w:highlight w:val="none"/>
        </w:rPr>
        <w:t>拟购入</w:t>
      </w:r>
      <w:r>
        <w:rPr>
          <w:rFonts w:hint="eastAsia" w:ascii="仿宋_GB2312" w:hAnsi="仿宋" w:eastAsia="仿宋_GB2312" w:cstheme="minorBidi"/>
          <w:b w:val="0"/>
          <w:bCs/>
          <w:kern w:val="2"/>
          <w:sz w:val="28"/>
          <w:szCs w:val="28"/>
          <w:highlight w:val="none"/>
          <w:lang w:eastAsia="zh-CN"/>
        </w:rPr>
        <w:t>不动产项目</w:t>
      </w:r>
      <w:r>
        <w:rPr>
          <w:rFonts w:hint="eastAsia" w:ascii="仿宋_GB2312" w:hAnsi="仿宋" w:eastAsia="仿宋_GB2312" w:cstheme="minorBidi"/>
          <w:b w:val="0"/>
          <w:bCs/>
          <w:kern w:val="2"/>
          <w:sz w:val="28"/>
          <w:szCs w:val="28"/>
          <w:highlight w:val="none"/>
        </w:rPr>
        <w:t>的基本情况</w:t>
      </w:r>
    </w:p>
    <w:p>
      <w:pPr>
        <w:autoSpaceDE/>
        <w:autoSpaceDN/>
        <w:adjustRightInd/>
        <w:snapToGrid/>
        <w:spacing w:line="560" w:lineRule="exact"/>
        <w:ind w:firstLine="560" w:firstLineChars="200"/>
        <w:jc w:val="left"/>
        <w:rPr>
          <w:rFonts w:hint="eastAsia" w:ascii="仿宋_GB2312" w:hAnsi="仿宋" w:eastAsia="仿宋_GB2312" w:cstheme="minorBidi"/>
          <w:b w:val="0"/>
          <w:bCs/>
          <w:kern w:val="2"/>
          <w:sz w:val="28"/>
          <w:szCs w:val="28"/>
          <w:highlight w:val="none"/>
          <w:lang w:eastAsia="zh-CN"/>
        </w:rPr>
      </w:pPr>
      <w:r>
        <w:rPr>
          <w:rFonts w:hint="eastAsia" w:ascii="仿宋_GB2312" w:hAnsi="仿宋" w:eastAsia="仿宋_GB2312" w:cstheme="minorBidi"/>
          <w:b w:val="0"/>
          <w:bCs/>
          <w:kern w:val="2"/>
          <w:sz w:val="28"/>
          <w:szCs w:val="28"/>
          <w:highlight w:val="none"/>
          <w:lang w:eastAsia="zh-CN"/>
        </w:rPr>
        <w:t>不动产项目情况、交易对手方基本情况及股权架构等。</w:t>
      </w:r>
    </w:p>
    <w:p>
      <w:pPr>
        <w:numPr>
          <w:ilvl w:val="0"/>
          <w:numId w:val="1"/>
        </w:numPr>
        <w:autoSpaceDE/>
        <w:autoSpaceDN/>
        <w:adjustRightInd/>
        <w:snapToGrid/>
        <w:spacing w:line="560" w:lineRule="exact"/>
        <w:ind w:firstLine="560" w:firstLineChars="200"/>
        <w:jc w:val="left"/>
        <w:rPr>
          <w:rFonts w:hint="eastAsia" w:ascii="仿宋_GB2312" w:hAnsi="仿宋" w:eastAsia="仿宋_GB2312"/>
          <w:bCs/>
          <w:sz w:val="28"/>
          <w:szCs w:val="28"/>
          <w:highlight w:val="none"/>
        </w:rPr>
      </w:pPr>
      <w:r>
        <w:rPr>
          <w:rFonts w:hint="eastAsia" w:ascii="仿宋_GB2312" w:hAnsi="仿宋" w:eastAsia="仿宋_GB2312"/>
          <w:bCs/>
          <w:sz w:val="28"/>
          <w:szCs w:val="28"/>
          <w:highlight w:val="none"/>
        </w:rPr>
        <w:t>拟购入</w:t>
      </w:r>
      <w:r>
        <w:rPr>
          <w:rFonts w:hint="eastAsia" w:ascii="仿宋_GB2312" w:hAnsi="仿宋" w:eastAsia="仿宋_GB2312"/>
          <w:bCs/>
          <w:sz w:val="28"/>
          <w:szCs w:val="28"/>
          <w:highlight w:val="none"/>
          <w:lang w:eastAsia="zh-CN"/>
        </w:rPr>
        <w:t>不动产项目</w:t>
      </w:r>
      <w:r>
        <w:rPr>
          <w:rFonts w:hint="eastAsia" w:ascii="仿宋_GB2312" w:hAnsi="仿宋" w:eastAsia="仿宋_GB2312"/>
          <w:bCs/>
          <w:sz w:val="28"/>
          <w:szCs w:val="28"/>
          <w:highlight w:val="none"/>
        </w:rPr>
        <w:t>的定价方式和定价依据</w:t>
      </w:r>
    </w:p>
    <w:p>
      <w:pPr>
        <w:numPr>
          <w:ilvl w:val="-1"/>
          <w:numId w:val="0"/>
        </w:numPr>
        <w:autoSpaceDE/>
        <w:autoSpaceDN/>
        <w:adjustRightInd/>
        <w:snapToGrid/>
        <w:spacing w:line="560" w:lineRule="exact"/>
        <w:ind w:firstLine="562" w:firstLineChars="200"/>
        <w:jc w:val="left"/>
        <w:rPr>
          <w:rFonts w:hint="eastAsia" w:ascii="黑体" w:hAnsi="黑体" w:eastAsia="黑体" w:cs="黑体"/>
          <w:b/>
          <w:kern w:val="2"/>
          <w:sz w:val="28"/>
          <w:szCs w:val="28"/>
          <w:highlight w:val="none"/>
          <w:lang w:eastAsia="zh-CN"/>
        </w:rPr>
      </w:pPr>
      <w:r>
        <w:rPr>
          <w:rFonts w:hint="eastAsia" w:ascii="黑体" w:hAnsi="黑体" w:eastAsia="黑体" w:cs="黑体"/>
          <w:b/>
          <w:kern w:val="2"/>
          <w:sz w:val="28"/>
          <w:szCs w:val="28"/>
          <w:highlight w:val="none"/>
          <w:lang w:eastAsia="zh-CN"/>
        </w:rPr>
        <w:t>三、</w:t>
      </w:r>
      <w:r>
        <w:rPr>
          <w:rFonts w:hint="eastAsia" w:ascii="黑体" w:hAnsi="黑体" w:eastAsia="黑体" w:cs="黑体"/>
          <w:b/>
          <w:kern w:val="2"/>
          <w:sz w:val="28"/>
          <w:szCs w:val="28"/>
          <w:highlight w:val="none"/>
        </w:rPr>
        <w:t>拟购入</w:t>
      </w:r>
      <w:r>
        <w:rPr>
          <w:rFonts w:hint="eastAsia" w:ascii="黑体" w:hAnsi="黑体" w:eastAsia="黑体" w:cs="黑体"/>
          <w:b/>
          <w:kern w:val="2"/>
          <w:sz w:val="28"/>
          <w:szCs w:val="28"/>
          <w:highlight w:val="none"/>
          <w:lang w:eastAsia="zh-CN"/>
        </w:rPr>
        <w:t>不动产项目资金来源</w:t>
      </w:r>
    </w:p>
    <w:p>
      <w:pPr>
        <w:numPr>
          <w:ilvl w:val="-1"/>
          <w:numId w:val="0"/>
        </w:numPr>
        <w:autoSpaceDE/>
        <w:autoSpaceDN/>
        <w:adjustRightInd/>
        <w:snapToGrid/>
        <w:spacing w:line="560" w:lineRule="exact"/>
        <w:ind w:firstLine="562" w:firstLineChars="200"/>
        <w:jc w:val="left"/>
        <w:rPr>
          <w:rFonts w:hint="eastAsia" w:ascii="黑体" w:hAnsi="黑体" w:eastAsia="黑体" w:cs="黑体"/>
          <w:b/>
          <w:kern w:val="2"/>
          <w:sz w:val="28"/>
          <w:szCs w:val="28"/>
          <w:highlight w:val="none"/>
          <w:lang w:eastAsia="zh-CN"/>
        </w:rPr>
      </w:pPr>
      <w:r>
        <w:rPr>
          <w:rFonts w:hint="eastAsia" w:ascii="黑体" w:hAnsi="黑体" w:eastAsia="黑体" w:cs="黑体"/>
          <w:b/>
          <w:kern w:val="2"/>
          <w:sz w:val="28"/>
          <w:szCs w:val="28"/>
          <w:highlight w:val="none"/>
          <w:lang w:eastAsia="zh-CN"/>
        </w:rPr>
        <w:t>四、交易主要风险</w:t>
      </w:r>
    </w:p>
    <w:p>
      <w:pPr>
        <w:numPr>
          <w:ilvl w:val="-1"/>
          <w:numId w:val="0"/>
        </w:numPr>
        <w:autoSpaceDE/>
        <w:autoSpaceDN/>
        <w:adjustRightInd/>
        <w:snapToGrid/>
        <w:spacing w:line="560" w:lineRule="exact"/>
        <w:ind w:firstLine="562" w:firstLineChars="200"/>
        <w:jc w:val="left"/>
        <w:rPr>
          <w:rFonts w:hint="eastAsia" w:ascii="黑体" w:hAnsi="黑体" w:eastAsia="黑体" w:cs="黑体"/>
          <w:b/>
          <w:kern w:val="2"/>
          <w:sz w:val="28"/>
          <w:szCs w:val="28"/>
          <w:highlight w:val="none"/>
          <w:lang w:eastAsia="zh-CN"/>
        </w:rPr>
      </w:pPr>
      <w:r>
        <w:rPr>
          <w:rFonts w:hint="eastAsia" w:ascii="黑体" w:hAnsi="黑体" w:eastAsia="黑体" w:cs="黑体"/>
          <w:b/>
          <w:sz w:val="28"/>
          <w:szCs w:val="28"/>
          <w:highlight w:val="none"/>
          <w:lang w:eastAsia="zh-CN"/>
        </w:rPr>
        <w:t>五、</w:t>
      </w:r>
      <w:r>
        <w:rPr>
          <w:rFonts w:hint="eastAsia" w:ascii="黑体" w:hAnsi="黑体" w:eastAsia="黑体" w:cs="黑体"/>
          <w:b/>
          <w:sz w:val="28"/>
          <w:szCs w:val="28"/>
          <w:highlight w:val="none"/>
        </w:rPr>
        <w:t>交易各方声明与承诺</w:t>
      </w:r>
    </w:p>
    <w:p>
      <w:pPr>
        <w:numPr>
          <w:ilvl w:val="-1"/>
          <w:numId w:val="0"/>
        </w:numPr>
        <w:autoSpaceDE/>
        <w:autoSpaceDN/>
        <w:adjustRightInd/>
        <w:snapToGrid/>
        <w:spacing w:line="560" w:lineRule="exact"/>
        <w:ind w:firstLine="562" w:firstLineChars="200"/>
        <w:jc w:val="left"/>
        <w:rPr>
          <w:rFonts w:hint="eastAsia" w:ascii="黑体" w:hAnsi="黑体" w:eastAsia="黑体" w:cs="黑体"/>
          <w:b/>
          <w:kern w:val="2"/>
          <w:sz w:val="28"/>
          <w:szCs w:val="28"/>
          <w:highlight w:val="none"/>
          <w:lang w:eastAsia="zh-CN"/>
        </w:rPr>
      </w:pPr>
      <w:r>
        <w:rPr>
          <w:rFonts w:hint="eastAsia" w:ascii="黑体" w:hAnsi="黑体" w:eastAsia="黑体" w:cs="黑体"/>
          <w:b/>
          <w:kern w:val="2"/>
          <w:sz w:val="28"/>
          <w:szCs w:val="28"/>
          <w:highlight w:val="none"/>
          <w:lang w:eastAsia="zh-CN"/>
        </w:rPr>
        <w:t>六、本次交易存在的其他重大因素</w:t>
      </w:r>
    </w:p>
    <w:p>
      <w:pPr>
        <w:numPr>
          <w:ilvl w:val="-1"/>
          <w:numId w:val="0"/>
        </w:numPr>
        <w:autoSpaceDE/>
        <w:autoSpaceDN/>
        <w:adjustRightInd/>
        <w:snapToGrid/>
        <w:spacing w:line="360" w:lineRule="auto"/>
        <w:ind w:firstLine="0" w:firstLineChars="0"/>
        <w:jc w:val="left"/>
        <w:rPr>
          <w:rFonts w:hint="eastAsia" w:ascii="仿宋_GB2312" w:hAnsi="仿宋" w:eastAsia="仿宋_GB2312" w:cstheme="minorBidi"/>
          <w:b w:val="0"/>
          <w:bCs/>
          <w:kern w:val="2"/>
          <w:sz w:val="28"/>
          <w:szCs w:val="28"/>
          <w:highlight w:val="none"/>
        </w:rPr>
      </w:pPr>
    </w:p>
    <w:p>
      <w:pPr>
        <w:keepNext w:val="0"/>
        <w:keepLines w:val="0"/>
        <w:adjustRightInd w:val="0"/>
        <w:snapToGrid w:val="0"/>
        <w:spacing w:before="0" w:after="0" w:line="240" w:lineRule="auto"/>
        <w:rPr>
          <w:rFonts w:hint="eastAsia" w:ascii="黑体" w:hAnsi="黑体" w:eastAsia="黑体"/>
          <w:b w:val="0"/>
          <w:bCs w:val="0"/>
          <w:highlight w:val="none"/>
        </w:rPr>
      </w:pPr>
      <w:r>
        <w:rPr>
          <w:rFonts w:hint="eastAsia" w:ascii="黑体" w:hAnsi="黑体" w:eastAsia="黑体"/>
          <w:b w:val="0"/>
          <w:bCs w:val="0"/>
          <w:highlight w:val="none"/>
        </w:rPr>
        <w:br w:type="page"/>
      </w:r>
    </w:p>
    <w:p>
      <w:pPr>
        <w:pStyle w:val="3"/>
        <w:keepNext w:val="0"/>
        <w:keepLines w:val="0"/>
        <w:adjustRightInd w:val="0"/>
        <w:snapToGrid w:val="0"/>
        <w:spacing w:before="0" w:after="0" w:line="240" w:lineRule="auto"/>
        <w:outlineLvl w:val="1"/>
        <w:rPr>
          <w:rFonts w:hint="eastAsia" w:ascii="黑体" w:hAnsi="黑体" w:eastAsia="黑体"/>
          <w:b w:val="0"/>
          <w:bCs w:val="0"/>
          <w:highlight w:val="none"/>
          <w:lang w:eastAsia="zh-CN"/>
        </w:rPr>
      </w:pPr>
      <w:bookmarkStart w:id="273" w:name="_Toc13137"/>
      <w:bookmarkStart w:id="274" w:name="_Toc238"/>
      <w:bookmarkStart w:id="275" w:name="_Toc4437"/>
      <w:bookmarkStart w:id="276" w:name="_Toc21736"/>
      <w:r>
        <w:rPr>
          <w:rFonts w:hint="eastAsia" w:ascii="黑体" w:hAnsi="黑体" w:eastAsia="黑体"/>
          <w:b w:val="0"/>
          <w:bCs w:val="0"/>
          <w:highlight w:val="none"/>
        </w:rPr>
        <w:t>附件</w:t>
      </w:r>
      <w:r>
        <w:rPr>
          <w:rFonts w:hint="eastAsia" w:ascii="黑体" w:hAnsi="黑体" w:eastAsia="黑体"/>
          <w:b w:val="0"/>
          <w:bCs w:val="0"/>
          <w:highlight w:val="none"/>
          <w:lang w:val="en-US" w:eastAsia="zh-CN"/>
        </w:rPr>
        <w:t>3</w:t>
      </w:r>
      <w:bookmarkEnd w:id="273"/>
    </w:p>
    <w:p>
      <w:pPr>
        <w:outlineLvl w:val="9"/>
        <w:rPr>
          <w:rFonts w:hint="eastAsia" w:ascii="黑体" w:hAnsi="黑体" w:eastAsia="黑体"/>
          <w:b w:val="0"/>
          <w:bCs w:val="0"/>
          <w:highlight w:val="none"/>
        </w:rPr>
      </w:pPr>
    </w:p>
    <w:p>
      <w:pPr>
        <w:keepNext w:val="0"/>
        <w:keepLines w:val="0"/>
        <w:adjustRightInd w:val="0"/>
        <w:snapToGrid w:val="0"/>
        <w:spacing w:before="0" w:after="0" w:line="240" w:lineRule="auto"/>
        <w:jc w:val="center"/>
        <w:outlineLvl w:val="9"/>
        <w:rPr>
          <w:rFonts w:hint="eastAsia" w:ascii="Times New Roman" w:hAnsi="Times New Roman" w:eastAsia="方正小标宋简体"/>
          <w:b w:val="0"/>
          <w:sz w:val="44"/>
          <w:szCs w:val="44"/>
          <w:highlight w:val="none"/>
        </w:rPr>
      </w:pPr>
      <w:r>
        <w:rPr>
          <w:rFonts w:hint="eastAsia" w:ascii="Times New Roman" w:hAnsi="Times New Roman" w:eastAsia="方正小标宋简体"/>
          <w:b w:val="0"/>
          <w:bCs/>
          <w:sz w:val="44"/>
          <w:szCs w:val="44"/>
          <w:highlight w:val="none"/>
        </w:rPr>
        <w:t>扩募方案</w:t>
      </w:r>
      <w:r>
        <w:rPr>
          <w:rFonts w:hint="eastAsia" w:ascii="Times New Roman" w:hAnsi="Times New Roman" w:eastAsia="方正小标宋简体"/>
          <w:b w:val="0"/>
          <w:bCs/>
          <w:sz w:val="44"/>
          <w:szCs w:val="44"/>
          <w:highlight w:val="none"/>
          <w:lang w:eastAsia="zh-CN"/>
        </w:rPr>
        <w:t>必备要素</w:t>
      </w:r>
      <w:bookmarkEnd w:id="274"/>
      <w:bookmarkEnd w:id="275"/>
      <w:bookmarkEnd w:id="276"/>
    </w:p>
    <w:p>
      <w:pPr>
        <w:autoSpaceDE/>
        <w:autoSpaceDN/>
        <w:adjustRightInd/>
        <w:snapToGrid/>
        <w:spacing w:line="360" w:lineRule="auto"/>
        <w:ind w:firstLine="560" w:firstLineChars="200"/>
        <w:jc w:val="left"/>
        <w:rPr>
          <w:rFonts w:hint="eastAsia" w:ascii="仿宋_GB2312" w:hAnsi="仿宋" w:eastAsia="仿宋_GB2312" w:cstheme="minorBidi"/>
          <w:b w:val="0"/>
          <w:bCs/>
          <w:kern w:val="2"/>
          <w:sz w:val="28"/>
          <w:szCs w:val="28"/>
          <w:highlight w:val="none"/>
          <w:lang w:eastAsia="zh-CN"/>
        </w:rPr>
      </w:pPr>
    </w:p>
    <w:p>
      <w:pPr>
        <w:autoSpaceDE/>
        <w:autoSpaceDN/>
        <w:adjustRightInd/>
        <w:snapToGrid/>
        <w:spacing w:line="560" w:lineRule="exact"/>
        <w:ind w:firstLine="560" w:firstLineChars="200"/>
        <w:jc w:val="left"/>
        <w:rPr>
          <w:rFonts w:hint="eastAsia" w:ascii="仿宋_GB2312" w:hAnsi="仿宋" w:eastAsia="仿宋_GB2312" w:cstheme="minorBidi"/>
          <w:b w:val="0"/>
          <w:bCs/>
          <w:kern w:val="2"/>
          <w:sz w:val="28"/>
          <w:szCs w:val="28"/>
          <w:highlight w:val="none"/>
          <w:lang w:eastAsia="zh-CN"/>
        </w:rPr>
      </w:pPr>
      <w:r>
        <w:rPr>
          <w:rFonts w:hint="eastAsia" w:ascii="仿宋_GB2312" w:hAnsi="仿宋" w:eastAsia="仿宋_GB2312" w:cstheme="minorBidi"/>
          <w:b w:val="0"/>
          <w:bCs/>
          <w:kern w:val="2"/>
          <w:sz w:val="28"/>
          <w:szCs w:val="28"/>
          <w:highlight w:val="none"/>
          <w:lang w:eastAsia="zh-CN"/>
        </w:rPr>
        <w:t>扩募方案封面页需标明不动产基金名称、“扩募方案（草案）”字样和日期，正文开始前包括基金声明、释义和重大事项提示。</w:t>
      </w:r>
    </w:p>
    <w:p>
      <w:pPr>
        <w:autoSpaceDE/>
        <w:autoSpaceDN/>
        <w:adjustRightInd/>
        <w:snapToGrid/>
        <w:spacing w:line="560" w:lineRule="exact"/>
        <w:ind w:firstLine="562" w:firstLineChars="200"/>
        <w:jc w:val="left"/>
        <w:rPr>
          <w:rFonts w:hint="eastAsia" w:ascii="黑体" w:hAnsi="黑体" w:eastAsia="黑体" w:cs="黑体"/>
          <w:b/>
          <w:kern w:val="2"/>
          <w:sz w:val="28"/>
          <w:szCs w:val="28"/>
          <w:highlight w:val="none"/>
          <w:lang w:eastAsia="zh-CN"/>
        </w:rPr>
      </w:pPr>
      <w:r>
        <w:rPr>
          <w:rFonts w:hint="eastAsia" w:ascii="黑体" w:hAnsi="黑体" w:eastAsia="黑体" w:cs="黑体"/>
          <w:b/>
          <w:kern w:val="2"/>
          <w:sz w:val="28"/>
          <w:szCs w:val="28"/>
          <w:highlight w:val="none"/>
        </w:rPr>
        <w:t>一、</w:t>
      </w:r>
      <w:r>
        <w:rPr>
          <w:rFonts w:hint="eastAsia" w:ascii="黑体" w:hAnsi="黑体" w:eastAsia="黑体" w:cs="黑体"/>
          <w:b/>
          <w:kern w:val="2"/>
          <w:sz w:val="28"/>
          <w:szCs w:val="28"/>
          <w:highlight w:val="none"/>
          <w:lang w:eastAsia="zh-CN"/>
        </w:rPr>
        <w:t>REITs</w:t>
      </w:r>
      <w:r>
        <w:rPr>
          <w:rFonts w:hint="eastAsia" w:ascii="黑体" w:hAnsi="黑体" w:eastAsia="黑体" w:cs="黑体"/>
          <w:b/>
          <w:kern w:val="2"/>
          <w:sz w:val="28"/>
          <w:szCs w:val="28"/>
          <w:highlight w:val="none"/>
        </w:rPr>
        <w:t>基本</w:t>
      </w:r>
      <w:r>
        <w:rPr>
          <w:rFonts w:hint="eastAsia" w:ascii="黑体" w:hAnsi="黑体" w:eastAsia="黑体" w:cs="黑体"/>
          <w:b/>
          <w:kern w:val="2"/>
          <w:sz w:val="28"/>
          <w:szCs w:val="28"/>
          <w:highlight w:val="none"/>
          <w:lang w:eastAsia="zh-CN"/>
        </w:rPr>
        <w:t>情况</w:t>
      </w:r>
    </w:p>
    <w:p>
      <w:pPr>
        <w:autoSpaceDE/>
        <w:autoSpaceDN/>
        <w:adjustRightInd/>
        <w:snapToGrid/>
        <w:spacing w:line="560" w:lineRule="exact"/>
        <w:ind w:firstLine="562" w:firstLineChars="200"/>
        <w:jc w:val="left"/>
        <w:rPr>
          <w:rFonts w:hint="eastAsia" w:ascii="黑体" w:hAnsi="黑体" w:eastAsia="黑体" w:cs="黑体"/>
          <w:b/>
          <w:kern w:val="2"/>
          <w:sz w:val="28"/>
          <w:szCs w:val="28"/>
          <w:highlight w:val="none"/>
        </w:rPr>
      </w:pPr>
      <w:r>
        <w:rPr>
          <w:rFonts w:hint="eastAsia" w:ascii="黑体" w:hAnsi="黑体" w:eastAsia="黑体" w:cs="黑体"/>
          <w:b/>
          <w:kern w:val="2"/>
          <w:sz w:val="28"/>
          <w:szCs w:val="28"/>
          <w:highlight w:val="none"/>
        </w:rPr>
        <w:t>二、本次扩募</w:t>
      </w:r>
      <w:r>
        <w:rPr>
          <w:rFonts w:hint="eastAsia" w:ascii="黑体" w:hAnsi="黑体" w:eastAsia="黑体" w:cs="黑体"/>
          <w:b/>
          <w:kern w:val="2"/>
          <w:sz w:val="28"/>
          <w:szCs w:val="28"/>
          <w:highlight w:val="none"/>
          <w:lang w:eastAsia="zh-CN"/>
        </w:rPr>
        <w:t>发售</w:t>
      </w:r>
      <w:r>
        <w:rPr>
          <w:rFonts w:hint="eastAsia" w:ascii="黑体" w:hAnsi="黑体" w:eastAsia="黑体" w:cs="黑体"/>
          <w:b/>
          <w:kern w:val="2"/>
          <w:sz w:val="28"/>
          <w:szCs w:val="28"/>
          <w:highlight w:val="none"/>
        </w:rPr>
        <w:t>的背景和目的</w:t>
      </w:r>
    </w:p>
    <w:p>
      <w:pPr>
        <w:numPr>
          <w:ilvl w:val="-1"/>
          <w:numId w:val="0"/>
        </w:numPr>
        <w:autoSpaceDE/>
        <w:autoSpaceDN/>
        <w:adjustRightInd/>
        <w:snapToGrid/>
        <w:spacing w:line="560" w:lineRule="exact"/>
        <w:ind w:firstLine="562" w:firstLineChars="200"/>
        <w:jc w:val="left"/>
        <w:rPr>
          <w:rFonts w:hint="eastAsia" w:ascii="黑体" w:hAnsi="黑体" w:eastAsia="黑体" w:cs="黑体"/>
          <w:b/>
          <w:kern w:val="2"/>
          <w:sz w:val="28"/>
          <w:szCs w:val="28"/>
          <w:highlight w:val="none"/>
          <w:lang w:eastAsia="zh-CN"/>
        </w:rPr>
      </w:pPr>
      <w:r>
        <w:rPr>
          <w:rFonts w:hint="eastAsia" w:ascii="黑体" w:hAnsi="黑体" w:eastAsia="黑体" w:cs="黑体"/>
          <w:b/>
          <w:kern w:val="2"/>
          <w:sz w:val="28"/>
          <w:szCs w:val="28"/>
          <w:highlight w:val="none"/>
          <w:lang w:eastAsia="zh-CN"/>
        </w:rPr>
        <w:t>三、本次扩募方案概要</w:t>
      </w:r>
    </w:p>
    <w:p>
      <w:pPr>
        <w:numPr>
          <w:ilvl w:val="-1"/>
          <w:numId w:val="0"/>
        </w:numPr>
        <w:autoSpaceDE/>
        <w:autoSpaceDN/>
        <w:adjustRightInd/>
        <w:snapToGrid/>
        <w:spacing w:line="560" w:lineRule="exact"/>
        <w:ind w:firstLine="560" w:firstLineChars="200"/>
        <w:jc w:val="left"/>
        <w:rPr>
          <w:rFonts w:hint="eastAsia" w:ascii="仿宋_GB2312" w:hAnsi="仿宋" w:eastAsia="仿宋_GB2312" w:cstheme="minorBidi"/>
          <w:b w:val="0"/>
          <w:bCs/>
          <w:kern w:val="2"/>
          <w:sz w:val="28"/>
          <w:szCs w:val="28"/>
          <w:highlight w:val="none"/>
          <w:lang w:eastAsia="zh-CN"/>
        </w:rPr>
      </w:pPr>
      <w:r>
        <w:rPr>
          <w:rFonts w:hint="eastAsia" w:ascii="仿宋_GB2312" w:hAnsi="仿宋" w:eastAsia="仿宋_GB2312" w:cstheme="minorBidi"/>
          <w:b w:val="0"/>
          <w:bCs/>
          <w:kern w:val="2"/>
          <w:sz w:val="28"/>
          <w:szCs w:val="28"/>
          <w:highlight w:val="none"/>
          <w:lang w:eastAsia="zh-CN"/>
        </w:rPr>
        <w:t>包括</w:t>
      </w:r>
      <w:r>
        <w:rPr>
          <w:rFonts w:hint="eastAsia" w:ascii="仿宋_GB2312" w:hAnsi="仿宋" w:eastAsia="仿宋_GB2312"/>
          <w:b w:val="0"/>
          <w:bCs/>
          <w:sz w:val="28"/>
          <w:szCs w:val="28"/>
          <w:highlight w:val="none"/>
          <w:lang w:eastAsia="zh-CN"/>
        </w:rPr>
        <w:t>发售</w:t>
      </w:r>
      <w:r>
        <w:rPr>
          <w:rFonts w:hint="eastAsia" w:ascii="仿宋_GB2312" w:hAnsi="仿宋" w:eastAsia="仿宋_GB2312"/>
          <w:b w:val="0"/>
          <w:bCs/>
          <w:sz w:val="28"/>
          <w:szCs w:val="28"/>
          <w:highlight w:val="none"/>
        </w:rPr>
        <w:t>方式、</w:t>
      </w:r>
      <w:r>
        <w:rPr>
          <w:rFonts w:hint="eastAsia" w:ascii="仿宋_GB2312" w:hAnsi="仿宋" w:eastAsia="仿宋_GB2312"/>
          <w:b w:val="0"/>
          <w:bCs/>
          <w:sz w:val="28"/>
          <w:szCs w:val="28"/>
          <w:highlight w:val="none"/>
          <w:lang w:eastAsia="zh-CN"/>
        </w:rPr>
        <w:t>发售时间、发售</w:t>
      </w:r>
      <w:r>
        <w:rPr>
          <w:rFonts w:hint="eastAsia" w:ascii="仿宋_GB2312" w:hAnsi="仿宋" w:eastAsia="仿宋_GB2312"/>
          <w:b w:val="0"/>
          <w:bCs/>
          <w:sz w:val="28"/>
          <w:szCs w:val="28"/>
          <w:highlight w:val="none"/>
        </w:rPr>
        <w:t>对象、定价方式、募集资金用途</w:t>
      </w:r>
      <w:r>
        <w:rPr>
          <w:rFonts w:hint="eastAsia" w:ascii="仿宋_GB2312" w:hAnsi="仿宋" w:eastAsia="仿宋_GB2312"/>
          <w:b w:val="0"/>
          <w:bCs/>
          <w:sz w:val="28"/>
          <w:szCs w:val="28"/>
          <w:highlight w:val="none"/>
          <w:lang w:eastAsia="zh-CN"/>
        </w:rPr>
        <w:t>、发售前累计收益的分配方案（如有）、上市地点等。</w:t>
      </w:r>
    </w:p>
    <w:p>
      <w:pPr>
        <w:numPr>
          <w:ilvl w:val="-1"/>
          <w:numId w:val="0"/>
        </w:numPr>
        <w:autoSpaceDE/>
        <w:autoSpaceDN/>
        <w:adjustRightInd/>
        <w:snapToGrid/>
        <w:spacing w:line="560" w:lineRule="exact"/>
        <w:ind w:firstLine="562" w:firstLineChars="200"/>
        <w:jc w:val="left"/>
        <w:rPr>
          <w:rFonts w:hint="eastAsia" w:ascii="黑体" w:hAnsi="黑体" w:eastAsia="黑体" w:cs="黑体"/>
          <w:b/>
          <w:kern w:val="2"/>
          <w:sz w:val="28"/>
          <w:szCs w:val="28"/>
          <w:highlight w:val="none"/>
          <w:lang w:eastAsia="zh-CN"/>
        </w:rPr>
      </w:pPr>
      <w:r>
        <w:rPr>
          <w:rFonts w:hint="eastAsia" w:ascii="黑体" w:hAnsi="黑体" w:eastAsia="黑体" w:cs="黑体"/>
          <w:b/>
          <w:kern w:val="2"/>
          <w:sz w:val="28"/>
          <w:szCs w:val="28"/>
          <w:highlight w:val="none"/>
          <w:lang w:eastAsia="zh-CN"/>
        </w:rPr>
        <w:t>四、交易标的基本情况</w:t>
      </w:r>
    </w:p>
    <w:p>
      <w:pPr>
        <w:numPr>
          <w:ilvl w:val="-1"/>
          <w:numId w:val="0"/>
        </w:numPr>
        <w:autoSpaceDE/>
        <w:autoSpaceDN/>
        <w:adjustRightInd/>
        <w:snapToGrid/>
        <w:spacing w:line="560" w:lineRule="exact"/>
        <w:ind w:firstLine="560" w:firstLineChars="200"/>
        <w:jc w:val="left"/>
        <w:rPr>
          <w:rFonts w:hint="eastAsia" w:ascii="仿宋_GB2312" w:hAnsi="仿宋" w:eastAsia="仿宋_GB2312" w:cstheme="minorBidi"/>
          <w:b w:val="0"/>
          <w:bCs/>
          <w:kern w:val="2"/>
          <w:sz w:val="28"/>
          <w:szCs w:val="28"/>
          <w:highlight w:val="none"/>
          <w:lang w:val="en-US" w:eastAsia="zh-CN"/>
        </w:rPr>
      </w:pPr>
      <w:r>
        <w:rPr>
          <w:rFonts w:hint="eastAsia" w:ascii="仿宋_GB2312" w:hAnsi="仿宋" w:eastAsia="仿宋_GB2312" w:cstheme="minorBidi"/>
          <w:b w:val="0"/>
          <w:bCs/>
          <w:kern w:val="2"/>
          <w:sz w:val="28"/>
          <w:szCs w:val="28"/>
          <w:highlight w:val="none"/>
          <w:lang w:val="en-US" w:eastAsia="zh-CN"/>
        </w:rPr>
        <w:t>可索引产品变更草案内容。</w:t>
      </w:r>
    </w:p>
    <w:p>
      <w:pPr>
        <w:numPr>
          <w:ilvl w:val="-1"/>
          <w:numId w:val="0"/>
        </w:numPr>
        <w:autoSpaceDE/>
        <w:autoSpaceDN/>
        <w:adjustRightInd/>
        <w:snapToGrid/>
        <w:spacing w:line="560" w:lineRule="exact"/>
        <w:ind w:firstLine="562" w:firstLineChars="200"/>
        <w:jc w:val="left"/>
        <w:rPr>
          <w:rFonts w:hint="eastAsia" w:ascii="黑体" w:hAnsi="黑体" w:eastAsia="黑体" w:cs="黑体"/>
          <w:b/>
          <w:sz w:val="28"/>
          <w:szCs w:val="28"/>
          <w:highlight w:val="none"/>
        </w:rPr>
      </w:pPr>
      <w:r>
        <w:rPr>
          <w:rFonts w:hint="eastAsia" w:ascii="黑体" w:hAnsi="黑体" w:eastAsia="黑体" w:cs="黑体"/>
          <w:b/>
          <w:sz w:val="28"/>
          <w:szCs w:val="28"/>
          <w:highlight w:val="none"/>
          <w:lang w:eastAsia="zh-CN"/>
        </w:rPr>
        <w:t>五、</w:t>
      </w:r>
      <w:r>
        <w:rPr>
          <w:rFonts w:hint="eastAsia" w:ascii="黑体" w:hAnsi="黑体" w:eastAsia="黑体" w:cs="黑体"/>
          <w:b/>
          <w:sz w:val="28"/>
          <w:szCs w:val="28"/>
          <w:highlight w:val="none"/>
        </w:rPr>
        <w:t>本次扩募对原份额持有人的影响</w:t>
      </w:r>
    </w:p>
    <w:p>
      <w:pPr>
        <w:numPr>
          <w:ilvl w:val="-1"/>
          <w:numId w:val="0"/>
        </w:numPr>
        <w:autoSpaceDE/>
        <w:autoSpaceDN/>
        <w:adjustRightInd/>
        <w:snapToGrid/>
        <w:spacing w:line="560" w:lineRule="exact"/>
        <w:ind w:firstLine="562" w:firstLineChars="200"/>
        <w:jc w:val="left"/>
        <w:rPr>
          <w:rFonts w:hint="eastAsia" w:ascii="黑体" w:hAnsi="黑体" w:eastAsia="黑体" w:cs="黑体"/>
          <w:b/>
          <w:kern w:val="2"/>
          <w:sz w:val="28"/>
          <w:szCs w:val="28"/>
          <w:highlight w:val="none"/>
          <w:lang w:eastAsia="zh-CN"/>
        </w:rPr>
      </w:pPr>
      <w:r>
        <w:rPr>
          <w:rFonts w:hint="eastAsia" w:ascii="黑体" w:hAnsi="黑体" w:eastAsia="黑体" w:cs="黑体"/>
          <w:b/>
          <w:kern w:val="2"/>
          <w:sz w:val="28"/>
          <w:szCs w:val="28"/>
          <w:highlight w:val="none"/>
          <w:lang w:eastAsia="zh-CN"/>
        </w:rPr>
        <w:t>六、本次扩募发售是否构成关联交易</w:t>
      </w:r>
    </w:p>
    <w:p>
      <w:pPr>
        <w:numPr>
          <w:ilvl w:val="-1"/>
          <w:numId w:val="0"/>
        </w:numPr>
        <w:autoSpaceDE/>
        <w:autoSpaceDN/>
        <w:adjustRightInd/>
        <w:snapToGrid/>
        <w:spacing w:line="560" w:lineRule="exact"/>
        <w:ind w:firstLine="562" w:firstLineChars="200"/>
        <w:jc w:val="left"/>
        <w:rPr>
          <w:rFonts w:hint="eastAsia" w:ascii="黑体" w:hAnsi="黑体" w:eastAsia="黑体" w:cs="黑体"/>
          <w:b/>
          <w:kern w:val="2"/>
          <w:sz w:val="28"/>
          <w:szCs w:val="28"/>
          <w:highlight w:val="none"/>
          <w:lang w:eastAsia="zh-CN"/>
        </w:rPr>
      </w:pPr>
      <w:r>
        <w:rPr>
          <w:rFonts w:hint="eastAsia" w:ascii="黑体" w:hAnsi="黑体" w:eastAsia="黑体" w:cs="黑体"/>
          <w:b/>
          <w:kern w:val="2"/>
          <w:sz w:val="28"/>
          <w:szCs w:val="28"/>
          <w:highlight w:val="none"/>
          <w:lang w:eastAsia="zh-CN"/>
        </w:rPr>
        <w:t>七、本次扩募发售是否触发权益份额变动或要约收购</w:t>
      </w:r>
    </w:p>
    <w:p>
      <w:pPr>
        <w:numPr>
          <w:ilvl w:val="-1"/>
          <w:numId w:val="0"/>
        </w:numPr>
        <w:autoSpaceDE/>
        <w:autoSpaceDN/>
        <w:adjustRightInd/>
        <w:snapToGrid/>
        <w:spacing w:line="560" w:lineRule="exact"/>
        <w:ind w:firstLine="562" w:firstLineChars="200"/>
        <w:jc w:val="left"/>
        <w:rPr>
          <w:rFonts w:hint="eastAsia" w:ascii="黑体" w:hAnsi="黑体" w:eastAsia="黑体" w:cs="黑体"/>
          <w:b/>
          <w:kern w:val="2"/>
          <w:sz w:val="28"/>
          <w:szCs w:val="28"/>
          <w:highlight w:val="none"/>
          <w:lang w:eastAsia="zh-CN"/>
        </w:rPr>
      </w:pPr>
      <w:r>
        <w:rPr>
          <w:rFonts w:hint="eastAsia" w:ascii="黑体" w:hAnsi="黑体" w:eastAsia="黑体" w:cs="黑体"/>
          <w:b/>
          <w:kern w:val="2"/>
          <w:sz w:val="28"/>
          <w:szCs w:val="28"/>
          <w:highlight w:val="none"/>
          <w:lang w:eastAsia="zh-CN"/>
        </w:rPr>
        <w:t>八、本次扩募方案已经取得批准的情况以及尚需呈报批准的程序</w:t>
      </w:r>
    </w:p>
    <w:p>
      <w:pPr>
        <w:numPr>
          <w:ilvl w:val="-1"/>
          <w:numId w:val="0"/>
        </w:numPr>
        <w:autoSpaceDE/>
        <w:autoSpaceDN/>
        <w:adjustRightInd/>
        <w:snapToGrid/>
        <w:spacing w:line="560" w:lineRule="exact"/>
        <w:ind w:firstLine="562" w:firstLineChars="200"/>
        <w:jc w:val="left"/>
        <w:rPr>
          <w:rFonts w:hint="eastAsia" w:ascii="黑体" w:hAnsi="黑体" w:eastAsia="黑体" w:cs="黑体"/>
          <w:b/>
          <w:kern w:val="2"/>
          <w:sz w:val="28"/>
          <w:szCs w:val="28"/>
          <w:highlight w:val="none"/>
          <w:lang w:eastAsia="zh-CN"/>
        </w:rPr>
      </w:pPr>
      <w:r>
        <w:rPr>
          <w:rFonts w:hint="eastAsia" w:ascii="黑体" w:hAnsi="黑体" w:eastAsia="黑体" w:cs="黑体"/>
          <w:b/>
          <w:kern w:val="2"/>
          <w:sz w:val="28"/>
          <w:szCs w:val="28"/>
          <w:highlight w:val="none"/>
          <w:lang w:eastAsia="zh-CN"/>
        </w:rPr>
        <w:t>九、风险揭示</w:t>
      </w:r>
    </w:p>
    <w:p>
      <w:pPr>
        <w:keepNext w:val="0"/>
        <w:keepLines w:val="0"/>
        <w:adjustRightInd w:val="0"/>
        <w:snapToGrid w:val="0"/>
        <w:spacing w:before="0" w:after="0" w:line="240" w:lineRule="auto"/>
        <w:rPr>
          <w:rFonts w:hint="eastAsia" w:ascii="黑体" w:hAnsi="黑体" w:eastAsia="黑体"/>
          <w:b w:val="0"/>
          <w:bCs w:val="0"/>
          <w:highlight w:val="none"/>
          <w:lang w:eastAsia="zh-CN"/>
        </w:rPr>
      </w:pPr>
      <w:r>
        <w:rPr>
          <w:rFonts w:hint="eastAsia" w:ascii="黑体" w:hAnsi="黑体" w:eastAsia="黑体"/>
          <w:b w:val="0"/>
          <w:bCs w:val="0"/>
          <w:highlight w:val="none"/>
          <w:lang w:eastAsia="zh-CN"/>
        </w:rPr>
        <w:br w:type="page"/>
      </w:r>
    </w:p>
    <w:p>
      <w:pPr>
        <w:pStyle w:val="3"/>
        <w:keepNext w:val="0"/>
        <w:keepLines w:val="0"/>
        <w:adjustRightInd w:val="0"/>
        <w:snapToGrid w:val="0"/>
        <w:spacing w:before="0" w:after="0" w:line="240" w:lineRule="auto"/>
        <w:outlineLvl w:val="1"/>
        <w:rPr>
          <w:rFonts w:hint="eastAsia" w:ascii="黑体" w:hAnsi="黑体" w:eastAsia="黑体"/>
          <w:b w:val="0"/>
          <w:bCs w:val="0"/>
          <w:highlight w:val="none"/>
          <w:lang w:eastAsia="zh-CN"/>
        </w:rPr>
      </w:pPr>
      <w:bookmarkStart w:id="277" w:name="_Toc5025"/>
      <w:bookmarkStart w:id="278" w:name="_Toc31717"/>
      <w:bookmarkStart w:id="279" w:name="_Toc13828"/>
      <w:bookmarkStart w:id="280" w:name="_Toc8984"/>
      <w:r>
        <w:rPr>
          <w:rFonts w:hint="eastAsia" w:ascii="黑体" w:hAnsi="黑体" w:eastAsia="黑体"/>
          <w:b w:val="0"/>
          <w:bCs w:val="0"/>
          <w:highlight w:val="none"/>
        </w:rPr>
        <w:t>附件</w:t>
      </w:r>
      <w:r>
        <w:rPr>
          <w:rFonts w:hint="eastAsia" w:ascii="黑体" w:hAnsi="黑体" w:eastAsia="黑体"/>
          <w:b w:val="0"/>
          <w:bCs w:val="0"/>
          <w:highlight w:val="none"/>
          <w:lang w:val="en-US" w:eastAsia="zh-CN"/>
        </w:rPr>
        <w:t>4</w:t>
      </w:r>
      <w:bookmarkEnd w:id="277"/>
    </w:p>
    <w:p>
      <w:pPr>
        <w:outlineLvl w:val="9"/>
        <w:rPr>
          <w:rFonts w:hint="eastAsia" w:ascii="黑体" w:hAnsi="黑体" w:eastAsia="黑体"/>
          <w:b w:val="0"/>
          <w:bCs w:val="0"/>
          <w:highlight w:val="none"/>
        </w:rPr>
      </w:pPr>
    </w:p>
    <w:p>
      <w:pPr>
        <w:keepNext w:val="0"/>
        <w:keepLines w:val="0"/>
        <w:adjustRightInd w:val="0"/>
        <w:snapToGrid w:val="0"/>
        <w:spacing w:before="0" w:after="0" w:line="240" w:lineRule="auto"/>
        <w:jc w:val="center"/>
        <w:outlineLvl w:val="9"/>
        <w:rPr>
          <w:rFonts w:hint="eastAsia" w:ascii="Times New Roman" w:hAnsi="Times New Roman" w:eastAsia="方正小标宋简体"/>
          <w:b w:val="0"/>
          <w:sz w:val="44"/>
          <w:szCs w:val="44"/>
          <w:highlight w:val="none"/>
        </w:rPr>
      </w:pPr>
      <w:r>
        <w:rPr>
          <w:rFonts w:hint="eastAsia" w:ascii="Times New Roman" w:hAnsi="Times New Roman" w:eastAsia="方正小标宋简体"/>
          <w:b w:val="0"/>
          <w:bCs/>
          <w:sz w:val="44"/>
          <w:szCs w:val="44"/>
          <w:highlight w:val="none"/>
        </w:rPr>
        <w:t>REITs定向扩募基本情况表</w:t>
      </w:r>
      <w:bookmarkEnd w:id="278"/>
      <w:bookmarkEnd w:id="279"/>
      <w:bookmarkEnd w:id="280"/>
    </w:p>
    <w:p>
      <w:pPr>
        <w:autoSpaceDE w:val="0"/>
        <w:autoSpaceDN w:val="0"/>
        <w:adjustRightInd w:val="0"/>
        <w:snapToGrid w:val="0"/>
        <w:spacing w:line="400" w:lineRule="exact"/>
        <w:jc w:val="center"/>
        <w:rPr>
          <w:rFonts w:ascii="黑体" w:hAnsi="黑体" w:eastAsia="黑体" w:cs="宋体"/>
          <w:b/>
          <w:kern w:val="0"/>
          <w:sz w:val="30"/>
          <w:szCs w:val="30"/>
          <w:highlight w:val="none"/>
        </w:rPr>
      </w:pPr>
    </w:p>
    <w:tbl>
      <w:tblPr>
        <w:tblStyle w:val="17"/>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901"/>
        <w:gridCol w:w="1602"/>
        <w:gridCol w:w="2409"/>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vMerge w:val="restart"/>
            <w:shd w:val="clear" w:color="auto" w:fill="FFFFFF"/>
            <w:vAlign w:val="center"/>
          </w:tcPr>
          <w:p>
            <w:pPr>
              <w:adjustRightInd w:val="0"/>
              <w:snapToGrid w:val="0"/>
              <w:spacing w:line="400" w:lineRule="exact"/>
              <w:jc w:val="center"/>
              <w:rPr>
                <w:rFonts w:ascii="仿宋_GB2312" w:hAnsi="Times New Roman" w:eastAsia="仿宋_GB2312" w:cs="宋体"/>
                <w:b/>
                <w:sz w:val="28"/>
                <w:szCs w:val="28"/>
                <w:highlight w:val="none"/>
              </w:rPr>
            </w:pPr>
            <w:r>
              <w:rPr>
                <w:rFonts w:hint="eastAsia" w:ascii="仿宋_GB2312" w:hAnsi="Times New Roman" w:eastAsia="仿宋_GB2312" w:cs="宋体"/>
                <w:b/>
                <w:sz w:val="28"/>
                <w:szCs w:val="28"/>
                <w:highlight w:val="none"/>
              </w:rPr>
              <w:t>基本情况</w:t>
            </w:r>
          </w:p>
        </w:tc>
        <w:tc>
          <w:tcPr>
            <w:tcW w:w="2901" w:type="dxa"/>
            <w:shd w:val="clear" w:color="auto" w:fill="auto"/>
            <w:vAlign w:val="center"/>
          </w:tcPr>
          <w:p>
            <w:pPr>
              <w:adjustRightInd w:val="0"/>
              <w:snapToGrid w:val="0"/>
              <w:spacing w:line="400" w:lineRule="exac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基金代码</w:t>
            </w:r>
          </w:p>
        </w:tc>
        <w:tc>
          <w:tcPr>
            <w:tcW w:w="1602"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p>
        </w:tc>
        <w:tc>
          <w:tcPr>
            <w:tcW w:w="2409"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基金简称</w:t>
            </w:r>
          </w:p>
        </w:tc>
        <w:tc>
          <w:tcPr>
            <w:tcW w:w="2320"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vMerge w:val="continue"/>
            <w:shd w:val="clear" w:color="auto" w:fill="FFFFFF"/>
            <w:vAlign w:val="center"/>
          </w:tcPr>
          <w:p>
            <w:pPr>
              <w:adjustRightInd w:val="0"/>
              <w:snapToGrid w:val="0"/>
              <w:spacing w:line="400" w:lineRule="exact"/>
              <w:jc w:val="center"/>
              <w:rPr>
                <w:rFonts w:ascii="仿宋_GB2312" w:hAnsi="Times New Roman" w:eastAsia="仿宋_GB2312" w:cs="宋体"/>
                <w:b/>
                <w:sz w:val="28"/>
                <w:szCs w:val="28"/>
                <w:highlight w:val="none"/>
              </w:rPr>
            </w:pPr>
          </w:p>
        </w:tc>
        <w:tc>
          <w:tcPr>
            <w:tcW w:w="2901" w:type="dxa"/>
            <w:shd w:val="clear" w:color="auto" w:fill="auto"/>
            <w:vAlign w:val="center"/>
          </w:tcPr>
          <w:p>
            <w:pPr>
              <w:adjustRightInd w:val="0"/>
              <w:snapToGrid w:val="0"/>
              <w:spacing w:line="400" w:lineRule="exac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基金管理人</w:t>
            </w:r>
          </w:p>
        </w:tc>
        <w:tc>
          <w:tcPr>
            <w:tcW w:w="1602"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p>
        </w:tc>
        <w:tc>
          <w:tcPr>
            <w:tcW w:w="2409"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证监会同意注册日</w:t>
            </w:r>
            <w:r>
              <w:rPr>
                <w:rFonts w:hint="eastAsia" w:ascii="仿宋_GB2312" w:hAnsi="Times New Roman" w:eastAsia="仿宋_GB2312" w:cs="Arial"/>
                <w:sz w:val="28"/>
                <w:szCs w:val="28"/>
                <w:highlight w:val="none"/>
              </w:rPr>
              <w:t>期</w:t>
            </w:r>
          </w:p>
        </w:tc>
        <w:tc>
          <w:tcPr>
            <w:tcW w:w="2320"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vMerge w:val="continue"/>
            <w:shd w:val="clear" w:color="auto" w:fill="FFFFFF"/>
            <w:vAlign w:val="center"/>
          </w:tcPr>
          <w:p>
            <w:pPr>
              <w:adjustRightInd w:val="0"/>
              <w:snapToGrid w:val="0"/>
              <w:spacing w:line="400" w:lineRule="exact"/>
              <w:jc w:val="center"/>
              <w:rPr>
                <w:rFonts w:ascii="仿宋_GB2312" w:hAnsi="Times New Roman" w:eastAsia="仿宋_GB2312" w:cs="宋体"/>
                <w:b/>
                <w:sz w:val="28"/>
                <w:szCs w:val="28"/>
                <w:highlight w:val="none"/>
              </w:rPr>
            </w:pPr>
          </w:p>
        </w:tc>
        <w:tc>
          <w:tcPr>
            <w:tcW w:w="2901" w:type="dxa"/>
            <w:shd w:val="clear" w:color="auto" w:fill="auto"/>
            <w:vAlign w:val="center"/>
          </w:tcPr>
          <w:p>
            <w:pPr>
              <w:adjustRightInd w:val="0"/>
              <w:snapToGrid w:val="0"/>
              <w:spacing w:line="400" w:lineRule="exac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基金份额持有人大会决议日</w:t>
            </w:r>
          </w:p>
        </w:tc>
        <w:tc>
          <w:tcPr>
            <w:tcW w:w="1602"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p>
        </w:tc>
        <w:tc>
          <w:tcPr>
            <w:tcW w:w="2409"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基金份额持有人大会决议有效期</w:t>
            </w:r>
          </w:p>
        </w:tc>
        <w:tc>
          <w:tcPr>
            <w:tcW w:w="2320"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vMerge w:val="continue"/>
            <w:shd w:val="clear" w:color="auto" w:fill="FFFFFF"/>
            <w:vAlign w:val="center"/>
          </w:tcPr>
          <w:p>
            <w:pPr>
              <w:adjustRightInd w:val="0"/>
              <w:snapToGrid w:val="0"/>
              <w:spacing w:line="400" w:lineRule="exact"/>
              <w:jc w:val="center"/>
              <w:rPr>
                <w:rFonts w:ascii="仿宋_GB2312" w:hAnsi="Times New Roman" w:eastAsia="仿宋_GB2312" w:cs="宋体"/>
                <w:sz w:val="28"/>
                <w:szCs w:val="28"/>
                <w:highlight w:val="none"/>
              </w:rPr>
            </w:pPr>
          </w:p>
        </w:tc>
        <w:tc>
          <w:tcPr>
            <w:tcW w:w="2901" w:type="dxa"/>
            <w:shd w:val="clear" w:color="auto" w:fill="auto"/>
            <w:vAlign w:val="center"/>
          </w:tcPr>
          <w:p>
            <w:pPr>
              <w:adjustRightInd w:val="0"/>
              <w:snapToGrid w:val="0"/>
              <w:spacing w:line="400" w:lineRule="exac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发送《认购邀请书》日期</w:t>
            </w:r>
          </w:p>
        </w:tc>
        <w:tc>
          <w:tcPr>
            <w:tcW w:w="1602"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p>
        </w:tc>
        <w:tc>
          <w:tcPr>
            <w:tcW w:w="2409"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发送《缴款通知书》日期</w:t>
            </w:r>
          </w:p>
        </w:tc>
        <w:tc>
          <w:tcPr>
            <w:tcW w:w="2320"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vMerge w:val="continue"/>
            <w:shd w:val="clear" w:color="auto" w:fill="FFFFFF"/>
            <w:vAlign w:val="center"/>
          </w:tcPr>
          <w:p>
            <w:pPr>
              <w:adjustRightInd w:val="0"/>
              <w:snapToGrid w:val="0"/>
              <w:spacing w:line="400" w:lineRule="exact"/>
              <w:jc w:val="center"/>
              <w:rPr>
                <w:rFonts w:ascii="仿宋_GB2312" w:hAnsi="Times New Roman" w:eastAsia="仿宋_GB2312" w:cs="宋体"/>
                <w:sz w:val="28"/>
                <w:szCs w:val="28"/>
                <w:highlight w:val="none"/>
              </w:rPr>
            </w:pPr>
          </w:p>
        </w:tc>
        <w:tc>
          <w:tcPr>
            <w:tcW w:w="2901" w:type="dxa"/>
            <w:shd w:val="clear" w:color="auto" w:fill="auto"/>
            <w:vAlign w:val="center"/>
          </w:tcPr>
          <w:p>
            <w:pPr>
              <w:adjustRightInd w:val="0"/>
              <w:snapToGrid w:val="0"/>
              <w:spacing w:line="400" w:lineRule="exac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lang w:eastAsia="zh-CN"/>
              </w:rPr>
              <w:t>发售</w:t>
            </w:r>
            <w:r>
              <w:rPr>
                <w:rFonts w:hint="eastAsia" w:ascii="仿宋_GB2312" w:hAnsi="Times New Roman" w:eastAsia="仿宋_GB2312" w:cs="宋体"/>
                <w:sz w:val="28"/>
                <w:szCs w:val="28"/>
                <w:highlight w:val="none"/>
              </w:rPr>
              <w:t>期首日</w:t>
            </w:r>
          </w:p>
        </w:tc>
        <w:tc>
          <w:tcPr>
            <w:tcW w:w="1602" w:type="dxa"/>
            <w:shd w:val="clear" w:color="auto" w:fill="auto"/>
          </w:tcPr>
          <w:p>
            <w:pPr>
              <w:adjustRightInd w:val="0"/>
              <w:snapToGrid w:val="0"/>
              <w:spacing w:line="400" w:lineRule="exact"/>
              <w:jc w:val="left"/>
              <w:rPr>
                <w:rFonts w:ascii="仿宋_GB2312" w:hAnsi="Times New Roman" w:eastAsia="仿宋_GB2312" w:cs="宋体"/>
                <w:sz w:val="28"/>
                <w:szCs w:val="28"/>
                <w:highlight w:val="none"/>
              </w:rPr>
            </w:pPr>
          </w:p>
        </w:tc>
        <w:tc>
          <w:tcPr>
            <w:tcW w:w="2409"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申购报价日</w:t>
            </w:r>
          </w:p>
        </w:tc>
        <w:tc>
          <w:tcPr>
            <w:tcW w:w="2320"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vMerge w:val="continue"/>
            <w:shd w:val="clear" w:color="auto" w:fill="FFFFFF"/>
            <w:vAlign w:val="center"/>
          </w:tcPr>
          <w:p>
            <w:pPr>
              <w:adjustRightInd w:val="0"/>
              <w:snapToGrid w:val="0"/>
              <w:spacing w:line="400" w:lineRule="exact"/>
              <w:jc w:val="center"/>
              <w:rPr>
                <w:rFonts w:ascii="仿宋_GB2312" w:hAnsi="Times New Roman" w:eastAsia="仿宋_GB2312" w:cs="宋体"/>
                <w:sz w:val="28"/>
                <w:szCs w:val="28"/>
                <w:highlight w:val="none"/>
              </w:rPr>
            </w:pPr>
          </w:p>
        </w:tc>
        <w:tc>
          <w:tcPr>
            <w:tcW w:w="2901" w:type="dxa"/>
            <w:shd w:val="clear" w:color="auto" w:fill="auto"/>
            <w:vAlign w:val="center"/>
          </w:tcPr>
          <w:p>
            <w:pPr>
              <w:adjustRightInd w:val="0"/>
              <w:snapToGrid w:val="0"/>
              <w:spacing w:line="400" w:lineRule="exac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拟扩募份额</w:t>
            </w:r>
          </w:p>
        </w:tc>
        <w:tc>
          <w:tcPr>
            <w:tcW w:w="6331" w:type="dxa"/>
            <w:gridSpan w:val="3"/>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vAlign w:val="center"/>
          </w:tcPr>
          <w:p>
            <w:pPr>
              <w:adjustRightInd w:val="0"/>
              <w:snapToGrid w:val="0"/>
              <w:spacing w:line="400" w:lineRule="exact"/>
              <w:jc w:val="center"/>
              <w:rPr>
                <w:rFonts w:ascii="仿宋_GB2312" w:hAnsi="Times New Roman" w:eastAsia="仿宋_GB2312" w:cs="宋体"/>
                <w:b/>
                <w:sz w:val="28"/>
                <w:szCs w:val="28"/>
                <w:highlight w:val="none"/>
              </w:rPr>
            </w:pPr>
            <w:r>
              <w:rPr>
                <w:rFonts w:hint="eastAsia" w:ascii="仿宋_GB2312" w:hAnsi="Times New Roman" w:eastAsia="仿宋_GB2312" w:cs="宋体"/>
                <w:b/>
                <w:sz w:val="28"/>
                <w:szCs w:val="28"/>
                <w:highlight w:val="none"/>
              </w:rPr>
              <w:t>筹资情况</w:t>
            </w:r>
          </w:p>
        </w:tc>
        <w:tc>
          <w:tcPr>
            <w:tcW w:w="2901" w:type="dxa"/>
            <w:shd w:val="clear" w:color="auto" w:fill="auto"/>
            <w:vAlign w:val="center"/>
          </w:tcPr>
          <w:p>
            <w:pPr>
              <w:adjustRightInd w:val="0"/>
              <w:snapToGrid w:val="0"/>
              <w:spacing w:line="400" w:lineRule="exac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拟用本次募集资金投资的项目及金额</w:t>
            </w:r>
          </w:p>
        </w:tc>
        <w:tc>
          <w:tcPr>
            <w:tcW w:w="6331" w:type="dxa"/>
            <w:gridSpan w:val="3"/>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vMerge w:val="restart"/>
            <w:vAlign w:val="center"/>
          </w:tcPr>
          <w:p>
            <w:pPr>
              <w:adjustRightInd w:val="0"/>
              <w:snapToGrid w:val="0"/>
              <w:spacing w:line="400" w:lineRule="exact"/>
              <w:jc w:val="center"/>
              <w:rPr>
                <w:rFonts w:ascii="仿宋_GB2312" w:hAnsi="Times New Roman" w:eastAsia="仿宋_GB2312" w:cs="宋体"/>
                <w:b/>
                <w:sz w:val="28"/>
                <w:szCs w:val="28"/>
                <w:highlight w:val="none"/>
              </w:rPr>
            </w:pPr>
            <w:r>
              <w:rPr>
                <w:rFonts w:hint="eastAsia" w:ascii="仿宋_GB2312" w:hAnsi="Times New Roman" w:eastAsia="仿宋_GB2312" w:cs="宋体"/>
                <w:b/>
                <w:sz w:val="28"/>
                <w:szCs w:val="28"/>
                <w:highlight w:val="none"/>
                <w:lang w:eastAsia="zh-CN"/>
              </w:rPr>
              <w:t>发售</w:t>
            </w:r>
            <w:r>
              <w:rPr>
                <w:rFonts w:hint="eastAsia" w:ascii="仿宋_GB2312" w:hAnsi="Times New Roman" w:eastAsia="仿宋_GB2312" w:cs="宋体"/>
                <w:b/>
                <w:sz w:val="28"/>
                <w:szCs w:val="28"/>
                <w:highlight w:val="none"/>
              </w:rPr>
              <w:t>方案</w:t>
            </w:r>
          </w:p>
        </w:tc>
        <w:tc>
          <w:tcPr>
            <w:tcW w:w="2901" w:type="dxa"/>
            <w:shd w:val="clear" w:color="auto" w:fill="auto"/>
            <w:vAlign w:val="center"/>
          </w:tcPr>
          <w:p>
            <w:pPr>
              <w:adjustRightInd w:val="0"/>
              <w:snapToGrid w:val="0"/>
              <w:spacing w:line="400" w:lineRule="exac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是否提前确定全部对象</w:t>
            </w:r>
          </w:p>
        </w:tc>
        <w:tc>
          <w:tcPr>
            <w:tcW w:w="6331" w:type="dxa"/>
            <w:gridSpan w:val="3"/>
            <w:shd w:val="clear" w:color="auto" w:fill="auto"/>
          </w:tcPr>
          <w:p>
            <w:pPr>
              <w:adjustRightInd w:val="0"/>
              <w:snapToGrid w:val="0"/>
              <w:spacing w:line="400" w:lineRule="exact"/>
              <w:rPr>
                <w:rFonts w:ascii="仿宋_GB2312" w:hAnsi="Times New Roman"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vMerge w:val="continue"/>
          </w:tcPr>
          <w:p>
            <w:pPr>
              <w:adjustRightInd w:val="0"/>
              <w:snapToGrid w:val="0"/>
              <w:spacing w:line="400" w:lineRule="exact"/>
              <w:rPr>
                <w:rFonts w:ascii="仿宋_GB2312" w:hAnsi="Times New Roman" w:eastAsia="仿宋_GB2312" w:cs="宋体"/>
                <w:sz w:val="28"/>
                <w:szCs w:val="28"/>
                <w:highlight w:val="none"/>
              </w:rPr>
            </w:pPr>
          </w:p>
        </w:tc>
        <w:tc>
          <w:tcPr>
            <w:tcW w:w="2901" w:type="dxa"/>
            <w:shd w:val="clear" w:color="auto" w:fill="auto"/>
            <w:vAlign w:val="center"/>
          </w:tcPr>
          <w:p>
            <w:pPr>
              <w:adjustRightInd w:val="0"/>
              <w:snapToGrid w:val="0"/>
              <w:spacing w:line="400" w:lineRule="exac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认购邀请书发送对象数量（按类别列明）</w:t>
            </w:r>
          </w:p>
        </w:tc>
        <w:tc>
          <w:tcPr>
            <w:tcW w:w="6331" w:type="dxa"/>
            <w:gridSpan w:val="3"/>
            <w:shd w:val="clear" w:color="auto" w:fill="auto"/>
          </w:tcPr>
          <w:p>
            <w:pPr>
              <w:adjustRightInd w:val="0"/>
              <w:snapToGrid w:val="0"/>
              <w:spacing w:line="400" w:lineRule="exact"/>
              <w:jc w:val="left"/>
              <w:rPr>
                <w:rFonts w:ascii="仿宋_GB2312" w:hAnsi="Times New Roman"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vMerge w:val="continue"/>
          </w:tcPr>
          <w:p>
            <w:pPr>
              <w:adjustRightInd w:val="0"/>
              <w:snapToGrid w:val="0"/>
              <w:spacing w:line="400" w:lineRule="exact"/>
              <w:rPr>
                <w:rFonts w:ascii="仿宋_GB2312" w:hAnsi="Times New Roman" w:eastAsia="仿宋_GB2312" w:cs="宋体"/>
                <w:sz w:val="28"/>
                <w:szCs w:val="28"/>
                <w:highlight w:val="none"/>
              </w:rPr>
            </w:pPr>
          </w:p>
        </w:tc>
        <w:tc>
          <w:tcPr>
            <w:tcW w:w="2901" w:type="dxa"/>
            <w:shd w:val="clear" w:color="auto" w:fill="auto"/>
            <w:vAlign w:val="center"/>
          </w:tcPr>
          <w:p>
            <w:pPr>
              <w:adjustRightInd w:val="0"/>
              <w:snapToGrid w:val="0"/>
              <w:spacing w:line="400" w:lineRule="exac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lang w:eastAsia="zh-CN"/>
              </w:rPr>
              <w:t>发售</w:t>
            </w:r>
            <w:r>
              <w:rPr>
                <w:rFonts w:hint="eastAsia" w:ascii="仿宋_GB2312" w:hAnsi="Times New Roman" w:eastAsia="仿宋_GB2312" w:cs="宋体"/>
                <w:sz w:val="28"/>
                <w:szCs w:val="28"/>
                <w:highlight w:val="none"/>
              </w:rPr>
              <w:t>底价</w:t>
            </w:r>
          </w:p>
        </w:tc>
        <w:tc>
          <w:tcPr>
            <w:tcW w:w="1602"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p>
        </w:tc>
        <w:tc>
          <w:tcPr>
            <w:tcW w:w="2409"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定价基准日</w:t>
            </w:r>
          </w:p>
        </w:tc>
        <w:tc>
          <w:tcPr>
            <w:tcW w:w="2320" w:type="dxa"/>
            <w:shd w:val="clear" w:color="auto" w:fill="auto"/>
            <w:vAlign w:val="center"/>
          </w:tcPr>
          <w:p>
            <w:pPr>
              <w:adjustRightInd w:val="0"/>
              <w:snapToGrid w:val="0"/>
              <w:spacing w:line="400" w:lineRule="exact"/>
              <w:jc w:val="left"/>
              <w:rPr>
                <w:rFonts w:ascii="仿宋_GB2312" w:hAnsi="Times New Roman" w:eastAsia="仿宋_GB2312" w:cs="宋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vMerge w:val="continue"/>
          </w:tcPr>
          <w:p>
            <w:pPr>
              <w:adjustRightInd w:val="0"/>
              <w:snapToGrid w:val="0"/>
              <w:spacing w:line="400" w:lineRule="exact"/>
              <w:rPr>
                <w:rFonts w:ascii="仿宋_GB2312" w:hAnsi="Times New Roman" w:eastAsia="仿宋_GB2312" w:cs="宋体"/>
                <w:sz w:val="28"/>
                <w:szCs w:val="28"/>
                <w:highlight w:val="none"/>
              </w:rPr>
            </w:pPr>
          </w:p>
        </w:tc>
        <w:tc>
          <w:tcPr>
            <w:tcW w:w="2901" w:type="dxa"/>
            <w:shd w:val="clear" w:color="auto" w:fill="auto"/>
            <w:vAlign w:val="center"/>
          </w:tcPr>
          <w:p>
            <w:pPr>
              <w:adjustRightInd w:val="0"/>
              <w:snapToGrid w:val="0"/>
              <w:spacing w:line="400" w:lineRule="exac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折扣率（</w:t>
            </w:r>
            <w:r>
              <w:rPr>
                <w:rFonts w:hint="eastAsia" w:ascii="仿宋_GB2312" w:hAnsi="Times New Roman" w:eastAsia="仿宋_GB2312" w:cs="宋体"/>
                <w:sz w:val="28"/>
                <w:szCs w:val="28"/>
                <w:highlight w:val="none"/>
                <w:lang w:eastAsia="zh-CN"/>
              </w:rPr>
              <w:t>发售</w:t>
            </w:r>
            <w:r>
              <w:rPr>
                <w:rFonts w:hint="eastAsia" w:ascii="仿宋_GB2312" w:hAnsi="Times New Roman" w:eastAsia="仿宋_GB2312" w:cs="宋体"/>
                <w:sz w:val="28"/>
                <w:szCs w:val="28"/>
                <w:highlight w:val="none"/>
              </w:rPr>
              <w:t>底价/定价</w:t>
            </w:r>
            <w:r>
              <w:rPr>
                <w:rFonts w:ascii="仿宋_GB2312" w:hAnsi="Times New Roman" w:eastAsia="仿宋_GB2312" w:cs="宋体"/>
                <w:sz w:val="28"/>
                <w:szCs w:val="28"/>
                <w:highlight w:val="none"/>
              </w:rPr>
              <w:t>基准日</w:t>
            </w:r>
            <w:r>
              <w:rPr>
                <w:rFonts w:hint="eastAsia" w:ascii="仿宋_GB2312" w:hAnsi="Times New Roman" w:eastAsia="仿宋_GB2312" w:cs="宋体"/>
                <w:sz w:val="28"/>
                <w:szCs w:val="28"/>
                <w:highlight w:val="none"/>
              </w:rPr>
              <w:t>前一个交易日收盘价）</w:t>
            </w:r>
          </w:p>
        </w:tc>
        <w:tc>
          <w:tcPr>
            <w:tcW w:w="1602"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p>
        </w:tc>
        <w:tc>
          <w:tcPr>
            <w:tcW w:w="2409"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折扣率（</w:t>
            </w:r>
            <w:r>
              <w:rPr>
                <w:rFonts w:hint="eastAsia" w:ascii="仿宋_GB2312" w:hAnsi="Times New Roman" w:eastAsia="仿宋_GB2312" w:cs="宋体"/>
                <w:sz w:val="28"/>
                <w:szCs w:val="28"/>
                <w:highlight w:val="none"/>
                <w:lang w:eastAsia="zh-CN"/>
              </w:rPr>
              <w:t>发售</w:t>
            </w:r>
            <w:r>
              <w:rPr>
                <w:rFonts w:hint="eastAsia" w:ascii="仿宋_GB2312" w:hAnsi="Times New Roman" w:eastAsia="仿宋_GB2312" w:cs="宋体"/>
                <w:sz w:val="28"/>
                <w:szCs w:val="28"/>
                <w:highlight w:val="none"/>
              </w:rPr>
              <w:t>底价/定价基准日前20个</w:t>
            </w:r>
            <w:r>
              <w:rPr>
                <w:rFonts w:ascii="仿宋_GB2312" w:hAnsi="Times New Roman" w:eastAsia="仿宋_GB2312" w:cs="宋体"/>
                <w:sz w:val="28"/>
                <w:szCs w:val="28"/>
                <w:highlight w:val="none"/>
              </w:rPr>
              <w:t>交易</w:t>
            </w:r>
            <w:r>
              <w:rPr>
                <w:rFonts w:hint="eastAsia" w:ascii="仿宋_GB2312" w:hAnsi="Times New Roman" w:eastAsia="仿宋_GB2312" w:cs="宋体"/>
                <w:sz w:val="28"/>
                <w:szCs w:val="28"/>
                <w:highlight w:val="none"/>
              </w:rPr>
              <w:t>日均价）</w:t>
            </w:r>
          </w:p>
        </w:tc>
        <w:tc>
          <w:tcPr>
            <w:tcW w:w="2320"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0" w:type="dxa"/>
            <w:vMerge w:val="continue"/>
          </w:tcPr>
          <w:p>
            <w:pPr>
              <w:adjustRightInd w:val="0"/>
              <w:snapToGrid w:val="0"/>
              <w:spacing w:line="400" w:lineRule="exact"/>
              <w:rPr>
                <w:rFonts w:ascii="仿宋_GB2312" w:hAnsi="Times New Roman" w:eastAsia="仿宋_GB2312" w:cs="宋体"/>
                <w:sz w:val="28"/>
                <w:szCs w:val="28"/>
                <w:highlight w:val="none"/>
              </w:rPr>
            </w:pPr>
          </w:p>
        </w:tc>
        <w:tc>
          <w:tcPr>
            <w:tcW w:w="2901" w:type="dxa"/>
            <w:shd w:val="clear" w:color="auto" w:fill="auto"/>
            <w:vAlign w:val="center"/>
          </w:tcPr>
          <w:p>
            <w:pPr>
              <w:adjustRightInd w:val="0"/>
              <w:snapToGrid w:val="0"/>
              <w:spacing w:line="400" w:lineRule="exac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认购邀请书设定的认购金额/数量区间</w:t>
            </w:r>
          </w:p>
        </w:tc>
        <w:tc>
          <w:tcPr>
            <w:tcW w:w="1602"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p>
        </w:tc>
        <w:tc>
          <w:tcPr>
            <w:tcW w:w="2409"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r>
              <w:rPr>
                <w:rFonts w:hint="eastAsia" w:ascii="仿宋_GB2312" w:hAnsi="Times New Roman" w:eastAsia="仿宋_GB2312" w:cs="宋体"/>
                <w:sz w:val="28"/>
                <w:szCs w:val="28"/>
                <w:highlight w:val="none"/>
              </w:rPr>
              <w:t>是否要求预缴保证金（如是，注明预缴比例）</w:t>
            </w:r>
          </w:p>
        </w:tc>
        <w:tc>
          <w:tcPr>
            <w:tcW w:w="2320" w:type="dxa"/>
            <w:shd w:val="clear" w:color="auto" w:fill="auto"/>
            <w:vAlign w:val="center"/>
          </w:tcPr>
          <w:p>
            <w:pPr>
              <w:adjustRightInd w:val="0"/>
              <w:snapToGrid w:val="0"/>
              <w:spacing w:line="400" w:lineRule="exact"/>
              <w:jc w:val="left"/>
              <w:rPr>
                <w:rFonts w:ascii="仿宋_GB2312" w:hAnsi="Times New Roman" w:eastAsia="仿宋_GB2312" w:cs="宋体"/>
                <w:sz w:val="28"/>
                <w:szCs w:val="28"/>
                <w:highlight w:val="none"/>
              </w:rPr>
            </w:pPr>
          </w:p>
        </w:tc>
      </w:tr>
    </w:tbl>
    <w:p>
      <w:pPr>
        <w:widowControl/>
        <w:jc w:val="left"/>
        <w:rPr>
          <w:rFonts w:ascii="黑体" w:hAnsi="黑体" w:eastAsia="黑体" w:cs="Times New Roman"/>
          <w:sz w:val="32"/>
          <w:szCs w:val="32"/>
          <w:highlight w:val="none"/>
        </w:rPr>
      </w:pPr>
    </w:p>
    <w:p>
      <w:pPr>
        <w:widowControl/>
        <w:jc w:val="left"/>
        <w:rPr>
          <w:rFonts w:ascii="黑体" w:hAnsi="黑体" w:eastAsia="黑体" w:cs="Times New Roman"/>
          <w:sz w:val="32"/>
          <w:szCs w:val="32"/>
          <w:highlight w:val="none"/>
        </w:rPr>
      </w:pPr>
      <w:r>
        <w:rPr>
          <w:rFonts w:ascii="黑体" w:hAnsi="黑体" w:eastAsia="黑体"/>
          <w:b/>
          <w:bCs/>
          <w:highlight w:val="none"/>
        </w:rPr>
        <w:br w:type="page"/>
      </w:r>
    </w:p>
    <w:p>
      <w:pPr>
        <w:pStyle w:val="3"/>
        <w:keepNext w:val="0"/>
        <w:keepLines w:val="0"/>
        <w:adjustRightInd w:val="0"/>
        <w:snapToGrid w:val="0"/>
        <w:spacing w:before="0" w:after="0" w:line="240" w:lineRule="auto"/>
        <w:outlineLvl w:val="1"/>
        <w:rPr>
          <w:rFonts w:hint="eastAsia" w:ascii="黑体" w:hAnsi="黑体" w:eastAsia="黑体"/>
          <w:b w:val="0"/>
          <w:bCs w:val="0"/>
          <w:highlight w:val="none"/>
          <w:lang w:eastAsia="zh-CN"/>
        </w:rPr>
      </w:pPr>
      <w:bookmarkStart w:id="281" w:name="_Toc11662"/>
      <w:bookmarkStart w:id="282" w:name="_Toc14455"/>
      <w:bookmarkStart w:id="283" w:name="_Toc20098"/>
      <w:bookmarkStart w:id="284" w:name="_Toc6669"/>
      <w:bookmarkStart w:id="285" w:name="_Toc31063"/>
      <w:bookmarkStart w:id="286" w:name="_Toc146725938"/>
      <w:bookmarkStart w:id="287" w:name="_Toc8375"/>
      <w:r>
        <w:rPr>
          <w:rFonts w:hint="eastAsia" w:ascii="黑体" w:hAnsi="黑体" w:eastAsia="黑体"/>
          <w:b w:val="0"/>
          <w:bCs w:val="0"/>
          <w:highlight w:val="none"/>
        </w:rPr>
        <w:t>附件</w:t>
      </w:r>
      <w:r>
        <w:rPr>
          <w:rFonts w:hint="eastAsia" w:ascii="黑体" w:hAnsi="黑体" w:eastAsia="黑体"/>
          <w:b w:val="0"/>
          <w:bCs w:val="0"/>
          <w:highlight w:val="none"/>
          <w:lang w:val="en-US" w:eastAsia="zh-CN"/>
        </w:rPr>
        <w:t>5</w:t>
      </w:r>
      <w:bookmarkEnd w:id="281"/>
    </w:p>
    <w:p>
      <w:pPr>
        <w:outlineLvl w:val="9"/>
        <w:rPr>
          <w:rFonts w:hint="eastAsia" w:ascii="黑体" w:hAnsi="黑体" w:eastAsia="黑体"/>
          <w:b w:val="0"/>
          <w:bCs w:val="0"/>
          <w:highlight w:val="none"/>
        </w:rPr>
      </w:pPr>
    </w:p>
    <w:p>
      <w:pPr>
        <w:keepNext w:val="0"/>
        <w:keepLines w:val="0"/>
        <w:adjustRightInd w:val="0"/>
        <w:snapToGrid w:val="0"/>
        <w:spacing w:before="0" w:after="0" w:line="240" w:lineRule="auto"/>
        <w:jc w:val="center"/>
        <w:outlineLvl w:val="9"/>
        <w:rPr>
          <w:rFonts w:hint="eastAsia" w:ascii="Times New Roman" w:hAnsi="Times New Roman" w:eastAsia="方正小标宋简体"/>
          <w:b w:val="0"/>
          <w:bCs/>
          <w:sz w:val="44"/>
          <w:szCs w:val="44"/>
          <w:highlight w:val="none"/>
        </w:rPr>
      </w:pPr>
      <w:r>
        <w:rPr>
          <w:rFonts w:hint="eastAsia" w:ascii="Times New Roman" w:hAnsi="Times New Roman" w:eastAsia="方正小标宋简体"/>
          <w:b w:val="0"/>
          <w:bCs/>
          <w:sz w:val="44"/>
          <w:szCs w:val="44"/>
          <w:highlight w:val="none"/>
        </w:rPr>
        <w:t>基金合同更新公告必备要素</w:t>
      </w:r>
      <w:bookmarkEnd w:id="282"/>
      <w:bookmarkEnd w:id="283"/>
      <w:bookmarkEnd w:id="284"/>
    </w:p>
    <w:p>
      <w:pPr>
        <w:spacing w:line="360" w:lineRule="auto"/>
        <w:ind w:firstLine="643" w:firstLineChars="200"/>
        <w:rPr>
          <w:rFonts w:cs="Times New Roman" w:asciiTheme="minorEastAsia" w:hAnsiTheme="minorEastAsia"/>
          <w:b/>
          <w:bCs/>
          <w:sz w:val="32"/>
          <w:szCs w:val="32"/>
          <w:highlight w:val="none"/>
        </w:rPr>
      </w:pPr>
    </w:p>
    <w:p>
      <w:pPr>
        <w:spacing w:line="360" w:lineRule="auto"/>
        <w:ind w:firstLine="562" w:firstLineChars="200"/>
        <w:rPr>
          <w:rFonts w:hint="eastAsia" w:ascii="黑体" w:hAnsi="黑体" w:eastAsia="黑体" w:cs="黑体"/>
          <w:b/>
          <w:sz w:val="28"/>
          <w:szCs w:val="28"/>
          <w:highlight w:val="none"/>
        </w:rPr>
      </w:pPr>
      <w:r>
        <w:rPr>
          <w:rFonts w:hint="eastAsia" w:ascii="黑体" w:hAnsi="黑体" w:eastAsia="黑体" w:cs="黑体"/>
          <w:b/>
          <w:sz w:val="28"/>
          <w:szCs w:val="28"/>
          <w:highlight w:val="none"/>
        </w:rPr>
        <w:t>一、公告基本信息</w:t>
      </w:r>
    </w:p>
    <w:p>
      <w:pPr>
        <w:spacing w:line="560" w:lineRule="exact"/>
        <w:ind w:firstLine="560" w:firstLineChars="200"/>
        <w:rPr>
          <w:rFonts w:ascii="仿宋" w:hAnsi="仿宋" w:eastAsia="仿宋"/>
          <w:bCs/>
          <w:sz w:val="28"/>
          <w:szCs w:val="28"/>
          <w:highlight w:val="none"/>
        </w:rPr>
      </w:pPr>
      <w:r>
        <w:rPr>
          <w:rFonts w:hint="eastAsia" w:ascii="仿宋" w:hAnsi="仿宋" w:eastAsia="仿宋"/>
          <w:sz w:val="28"/>
          <w:szCs w:val="28"/>
          <w:highlight w:val="none"/>
        </w:rPr>
        <w:t>基金名称、基金简称、基金运作方式、首次募集基金合同生效日、基金合同更新生效日等。</w:t>
      </w:r>
    </w:p>
    <w:p>
      <w:pPr>
        <w:spacing w:line="360" w:lineRule="auto"/>
        <w:ind w:firstLine="562" w:firstLineChars="200"/>
        <w:rPr>
          <w:rFonts w:hint="eastAsia" w:ascii="黑体" w:hAnsi="黑体" w:eastAsia="黑体" w:cs="黑体"/>
          <w:b/>
          <w:sz w:val="28"/>
          <w:szCs w:val="28"/>
          <w:highlight w:val="none"/>
        </w:rPr>
      </w:pPr>
      <w:r>
        <w:rPr>
          <w:rFonts w:hint="eastAsia" w:ascii="黑体" w:hAnsi="黑体" w:eastAsia="黑体" w:cs="黑体"/>
          <w:b/>
          <w:sz w:val="28"/>
          <w:szCs w:val="28"/>
          <w:highlight w:val="none"/>
        </w:rPr>
        <w:t>二、基金募集情况</w:t>
      </w:r>
    </w:p>
    <w:p>
      <w:pPr>
        <w:spacing w:line="560" w:lineRule="exact"/>
        <w:ind w:firstLine="560" w:firstLineChars="200"/>
        <w:rPr>
          <w:rFonts w:ascii="仿宋" w:hAnsi="仿宋" w:eastAsia="仿宋"/>
          <w:bCs/>
          <w:sz w:val="28"/>
          <w:szCs w:val="28"/>
          <w:highlight w:val="none"/>
        </w:rPr>
      </w:pPr>
      <w:r>
        <w:rPr>
          <w:rFonts w:hint="eastAsia" w:ascii="仿宋" w:hAnsi="仿宋" w:eastAsia="仿宋"/>
          <w:sz w:val="28"/>
          <w:szCs w:val="28"/>
          <w:highlight w:val="none"/>
        </w:rPr>
        <w:t>（一）有效认购份额、募集期间净认购金额以及认购资金在募集期间产生的利息。</w:t>
      </w:r>
    </w:p>
    <w:p>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（二）投资者名称、最终向投资者发售的基金份额数量及其比例，并明确说明配售的结果是否符合事先确定的配售原则；基金份额数量以及限售期安排等。</w:t>
      </w:r>
    </w:p>
    <w:p>
      <w:pPr>
        <w:spacing w:line="560" w:lineRule="exact"/>
        <w:ind w:firstLine="560" w:firstLineChars="200"/>
        <w:rPr>
          <w:rFonts w:ascii="仿宋" w:hAnsi="仿宋" w:eastAsia="仿宋"/>
          <w:color w:val="000000"/>
          <w:sz w:val="28"/>
          <w:szCs w:val="28"/>
          <w:highlight w:val="none"/>
        </w:rPr>
      </w:pPr>
      <w:r>
        <w:rPr>
          <w:rFonts w:hint="eastAsia" w:ascii="仿宋" w:hAnsi="仿宋" w:eastAsia="仿宋"/>
          <w:sz w:val="28"/>
          <w:szCs w:val="28"/>
          <w:highlight w:val="none"/>
        </w:rPr>
        <w:t>（三）非提前确定认购对象的，对于竞价过程中提供有效报价但未参与认购，或实际认购数量明显少于报价时拟认购数量的投资者应列表公示并着重说明。</w:t>
      </w:r>
    </w:p>
    <w:p>
      <w:pPr>
        <w:spacing w:line="360" w:lineRule="auto"/>
        <w:ind w:firstLine="562" w:firstLineChars="200"/>
        <w:rPr>
          <w:rFonts w:hint="eastAsia" w:ascii="黑体" w:hAnsi="黑体" w:eastAsia="黑体" w:cs="黑体"/>
          <w:b/>
          <w:color w:val="000000"/>
          <w:sz w:val="28"/>
          <w:szCs w:val="28"/>
          <w:highlight w:val="none"/>
        </w:rPr>
        <w:sectPr>
          <w:pgSz w:w="11906" w:h="16838"/>
          <w:pgMar w:top="1440" w:right="1800" w:bottom="1440" w:left="1800" w:header="851" w:footer="992" w:gutter="0"/>
          <w:pgNumType w:fmt="decimal"/>
          <w:cols w:space="720" w:num="1"/>
          <w:docGrid w:type="lines" w:linePitch="312" w:charSpace="0"/>
        </w:sectPr>
      </w:pPr>
      <w:r>
        <w:rPr>
          <w:rFonts w:hint="eastAsia" w:ascii="黑体" w:hAnsi="黑体" w:eastAsia="黑体" w:cs="黑体"/>
          <w:b/>
          <w:bCs w:val="0"/>
          <w:color w:val="auto"/>
          <w:sz w:val="28"/>
          <w:szCs w:val="28"/>
          <w:highlight w:val="none"/>
        </w:rPr>
        <w:t>三、</w:t>
      </w:r>
      <w:r>
        <w:rPr>
          <w:rFonts w:hint="eastAsia" w:ascii="黑体" w:hAnsi="黑体" w:eastAsia="黑体" w:cs="黑体"/>
          <w:b/>
          <w:color w:val="auto"/>
          <w:sz w:val="28"/>
          <w:szCs w:val="28"/>
          <w:highlight w:val="none"/>
        </w:rPr>
        <w:t>其他需要提示的事项</w:t>
      </w:r>
    </w:p>
    <w:p>
      <w:pPr>
        <w:pStyle w:val="3"/>
        <w:keepNext w:val="0"/>
        <w:keepLines w:val="0"/>
        <w:adjustRightInd w:val="0"/>
        <w:snapToGrid w:val="0"/>
        <w:spacing w:before="0" w:after="0" w:line="240" w:lineRule="auto"/>
        <w:outlineLvl w:val="1"/>
        <w:rPr>
          <w:rFonts w:hint="eastAsia" w:ascii="黑体" w:hAnsi="黑体" w:eastAsia="黑体"/>
          <w:b w:val="0"/>
          <w:bCs w:val="0"/>
          <w:highlight w:val="none"/>
          <w:lang w:eastAsia="zh-CN"/>
        </w:rPr>
      </w:pPr>
      <w:bookmarkStart w:id="288" w:name="_Toc20704"/>
      <w:bookmarkStart w:id="289" w:name="_Toc28488"/>
      <w:bookmarkStart w:id="290" w:name="_Toc17647"/>
      <w:bookmarkStart w:id="291" w:name="_Toc31942"/>
      <w:r>
        <w:rPr>
          <w:rFonts w:hint="eastAsia" w:ascii="黑体" w:hAnsi="黑体" w:eastAsia="黑体"/>
          <w:b w:val="0"/>
          <w:bCs w:val="0"/>
          <w:highlight w:val="none"/>
        </w:rPr>
        <w:t>附件</w:t>
      </w:r>
      <w:r>
        <w:rPr>
          <w:rFonts w:hint="eastAsia" w:ascii="黑体" w:hAnsi="黑体" w:eastAsia="黑体"/>
          <w:b w:val="0"/>
          <w:bCs w:val="0"/>
          <w:highlight w:val="none"/>
          <w:lang w:val="en-US" w:eastAsia="zh-CN"/>
        </w:rPr>
        <w:t>6</w:t>
      </w:r>
      <w:bookmarkEnd w:id="288"/>
    </w:p>
    <w:p>
      <w:pPr>
        <w:outlineLvl w:val="9"/>
        <w:rPr>
          <w:rFonts w:hint="eastAsia" w:ascii="黑体" w:hAnsi="黑体" w:eastAsia="黑体"/>
          <w:b w:val="0"/>
          <w:bCs w:val="0"/>
          <w:highlight w:val="none"/>
        </w:rPr>
      </w:pPr>
    </w:p>
    <w:p>
      <w:pPr>
        <w:keepNext w:val="0"/>
        <w:keepLines w:val="0"/>
        <w:adjustRightInd w:val="0"/>
        <w:snapToGrid w:val="0"/>
        <w:spacing w:before="0" w:after="0" w:line="240" w:lineRule="auto"/>
        <w:jc w:val="center"/>
        <w:outlineLvl w:val="9"/>
        <w:rPr>
          <w:rFonts w:hint="eastAsia" w:ascii="Times New Roman" w:hAnsi="Times New Roman" w:eastAsia="方正小标宋简体"/>
          <w:b w:val="0"/>
          <w:bCs/>
          <w:sz w:val="44"/>
          <w:szCs w:val="44"/>
          <w:highlight w:val="none"/>
        </w:rPr>
      </w:pPr>
      <w:r>
        <w:rPr>
          <w:rFonts w:hint="eastAsia" w:ascii="Times New Roman" w:hAnsi="Times New Roman" w:eastAsia="方正小标宋简体"/>
          <w:b w:val="0"/>
          <w:bCs/>
          <w:sz w:val="44"/>
          <w:szCs w:val="44"/>
          <w:highlight w:val="none"/>
          <w:lang w:eastAsia="zh-CN"/>
        </w:rPr>
        <w:t>不动产基金</w:t>
      </w:r>
      <w:r>
        <w:rPr>
          <w:rFonts w:hint="eastAsia" w:ascii="Times New Roman" w:hAnsi="Times New Roman" w:eastAsia="方正小标宋简体"/>
          <w:b w:val="0"/>
          <w:bCs/>
          <w:sz w:val="44"/>
          <w:szCs w:val="44"/>
          <w:highlight w:val="none"/>
        </w:rPr>
        <w:t>限售份额</w:t>
      </w:r>
    </w:p>
    <w:p>
      <w:pPr>
        <w:keepNext w:val="0"/>
        <w:keepLines w:val="0"/>
        <w:adjustRightInd w:val="0"/>
        <w:snapToGrid w:val="0"/>
        <w:spacing w:before="0" w:after="0" w:line="240" w:lineRule="auto"/>
        <w:jc w:val="center"/>
        <w:outlineLvl w:val="9"/>
        <w:rPr>
          <w:rFonts w:hint="eastAsia" w:ascii="Times New Roman" w:hAnsi="Times New Roman" w:eastAsia="方正小标宋简体"/>
          <w:b w:val="0"/>
          <w:bCs/>
          <w:sz w:val="44"/>
          <w:szCs w:val="44"/>
          <w:highlight w:val="none"/>
        </w:rPr>
      </w:pPr>
      <w:r>
        <w:rPr>
          <w:rFonts w:hint="eastAsia" w:ascii="Times New Roman" w:hAnsi="Times New Roman" w:eastAsia="方正小标宋简体"/>
          <w:b w:val="0"/>
          <w:bCs/>
          <w:sz w:val="44"/>
          <w:szCs w:val="44"/>
          <w:highlight w:val="none"/>
        </w:rPr>
        <w:t>《证券登记申报明细清单》</w:t>
      </w:r>
      <w:bookmarkEnd w:id="285"/>
      <w:bookmarkEnd w:id="286"/>
      <w:bookmarkEnd w:id="287"/>
      <w:bookmarkEnd w:id="289"/>
      <w:bookmarkEnd w:id="290"/>
      <w:bookmarkEnd w:id="291"/>
    </w:p>
    <w:p>
      <w:pPr>
        <w:widowControl/>
        <w:jc w:val="left"/>
        <w:rPr>
          <w:rFonts w:ascii="仿宋" w:hAnsi="仿宋" w:eastAsia="仿宋" w:cs="Times New Roman"/>
          <w:color w:val="000000" w:themeColor="text1"/>
          <w:szCs w:val="24"/>
          <w:highlight w:val="none"/>
          <w14:textFill>
            <w14:solidFill>
              <w14:schemeClr w14:val="tx1"/>
            </w14:solidFill>
          </w14:textFill>
        </w:rPr>
      </w:pPr>
    </w:p>
    <w:p>
      <w:pPr>
        <w:widowControl/>
        <w:jc w:val="left"/>
        <w:rPr>
          <w:rFonts w:ascii="仿宋" w:hAnsi="仿宋" w:eastAsia="仿宋" w:cs="Times New Roman"/>
          <w:color w:val="000000" w:themeColor="text1"/>
          <w:sz w:val="28"/>
          <w:szCs w:val="28"/>
          <w:highlight w:val="none"/>
          <w14:textFill>
            <w14:solidFill>
              <w14:schemeClr w14:val="tx1"/>
            </w14:solidFill>
          </w14:textFill>
        </w:rPr>
      </w:pPr>
    </w:p>
    <w:p>
      <w:pPr>
        <w:widowControl/>
        <w:jc w:val="left"/>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证券代码：</w:t>
      </w:r>
      <w:r>
        <w:rPr>
          <w:rFonts w:hint="eastAsia" w:ascii="仿宋" w:hAnsi="仿宋" w:eastAsia="仿宋" w:cs="Times New Roman"/>
          <w:color w:val="000000" w:themeColor="text1"/>
          <w:sz w:val="28"/>
          <w:szCs w:val="28"/>
          <w:highlight w:val="none"/>
          <w14:textFill>
            <w14:solidFill>
              <w14:schemeClr w14:val="tx1"/>
            </w14:solidFill>
          </w14:textFill>
        </w:rPr>
        <w:t xml:space="preserve">  </w:t>
      </w:r>
      <w:r>
        <w:rPr>
          <w:rFonts w:ascii="仿宋" w:hAnsi="仿宋" w:eastAsia="仿宋" w:cs="Times New Roman"/>
          <w:color w:val="000000" w:themeColor="text1"/>
          <w:sz w:val="28"/>
          <w:szCs w:val="28"/>
          <w:highlight w:val="none"/>
          <w14:textFill>
            <w14:solidFill>
              <w14:schemeClr w14:val="tx1"/>
            </w14:solidFill>
          </w14:textFill>
        </w:rPr>
        <w:t>证券简称：</w:t>
      </w:r>
    </w:p>
    <w:tbl>
      <w:tblPr>
        <w:tblStyle w:val="17"/>
        <w:tblW w:w="9195" w:type="dxa"/>
        <w:tblInd w:w="-3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0"/>
        <w:gridCol w:w="1052"/>
        <w:gridCol w:w="775"/>
        <w:gridCol w:w="775"/>
        <w:gridCol w:w="775"/>
        <w:gridCol w:w="774"/>
        <w:gridCol w:w="774"/>
        <w:gridCol w:w="774"/>
        <w:gridCol w:w="775"/>
        <w:gridCol w:w="775"/>
        <w:gridCol w:w="10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trPr>
        <w:tc>
          <w:tcPr>
            <w:tcW w:w="870" w:type="dxa"/>
          </w:tcPr>
          <w:p>
            <w:pPr>
              <w:widowControl/>
              <w:jc w:val="center"/>
              <w:rPr>
                <w:rFonts w:ascii="仿宋" w:hAnsi="仿宋" w:eastAsia="仿宋" w:cs="Times New Roman"/>
                <w:b w:val="0"/>
                <w:bCs w:val="0"/>
                <w:color w:val="000000" w:themeColor="text1"/>
                <w:sz w:val="24"/>
                <w:szCs w:val="24"/>
                <w:highlight w:val="none"/>
                <w14:textFill>
                  <w14:solidFill>
                    <w14:schemeClr w14:val="tx1"/>
                  </w14:solidFill>
                </w14:textFill>
              </w:rPr>
            </w:pPr>
            <w:r>
              <w:rPr>
                <w:rFonts w:ascii="仿宋" w:hAnsi="仿宋" w:eastAsia="仿宋" w:cs="Times New Roman"/>
                <w:b w:val="0"/>
                <w:bCs w:val="0"/>
                <w:color w:val="000000" w:themeColor="text1"/>
                <w:sz w:val="24"/>
                <w:szCs w:val="24"/>
                <w:highlight w:val="none"/>
                <w14:textFill>
                  <w14:solidFill>
                    <w14:schemeClr w14:val="tx1"/>
                  </w14:solidFill>
                </w14:textFill>
              </w:rPr>
              <w:t>序号</w:t>
            </w:r>
          </w:p>
        </w:tc>
        <w:tc>
          <w:tcPr>
            <w:tcW w:w="1052" w:type="dxa"/>
          </w:tcPr>
          <w:p>
            <w:pPr>
              <w:widowControl/>
              <w:jc w:val="center"/>
              <w:rPr>
                <w:rFonts w:ascii="仿宋" w:hAnsi="仿宋" w:eastAsia="仿宋" w:cs="Times New Roman"/>
                <w:b w:val="0"/>
                <w:bCs w:val="0"/>
                <w:color w:val="000000" w:themeColor="text1"/>
                <w:sz w:val="24"/>
                <w:szCs w:val="24"/>
                <w:highlight w:val="none"/>
                <w14:textFill>
                  <w14:solidFill>
                    <w14:schemeClr w14:val="tx1"/>
                  </w14:solidFill>
                </w14:textFill>
              </w:rPr>
            </w:pPr>
            <w:r>
              <w:rPr>
                <w:rFonts w:ascii="仿宋" w:hAnsi="仿宋" w:eastAsia="仿宋" w:cs="Times New Roman"/>
                <w:b w:val="0"/>
                <w:bCs w:val="0"/>
                <w:color w:val="000000" w:themeColor="text1"/>
                <w:sz w:val="24"/>
                <w:szCs w:val="24"/>
                <w:highlight w:val="none"/>
                <w14:textFill>
                  <w14:solidFill>
                    <w14:schemeClr w14:val="tx1"/>
                  </w14:solidFill>
                </w14:textFill>
              </w:rPr>
              <w:t>证券账户号码</w:t>
            </w:r>
          </w:p>
        </w:tc>
        <w:tc>
          <w:tcPr>
            <w:tcW w:w="775" w:type="dxa"/>
          </w:tcPr>
          <w:p>
            <w:pPr>
              <w:widowControl/>
              <w:jc w:val="center"/>
              <w:rPr>
                <w:rFonts w:ascii="仿宋" w:hAnsi="仿宋" w:eastAsia="仿宋" w:cs="Times New Roman"/>
                <w:b w:val="0"/>
                <w:bCs w:val="0"/>
                <w:color w:val="000000" w:themeColor="text1"/>
                <w:sz w:val="24"/>
                <w:szCs w:val="24"/>
                <w:highlight w:val="none"/>
                <w14:textFill>
                  <w14:solidFill>
                    <w14:schemeClr w14:val="tx1"/>
                  </w14:solidFill>
                </w14:textFill>
              </w:rPr>
            </w:pPr>
            <w:r>
              <w:rPr>
                <w:rFonts w:ascii="仿宋" w:hAnsi="仿宋" w:eastAsia="仿宋" w:cs="Times New Roman"/>
                <w:b w:val="0"/>
                <w:bCs w:val="0"/>
                <w:color w:val="000000" w:themeColor="text1"/>
                <w:sz w:val="24"/>
                <w:szCs w:val="24"/>
                <w:highlight w:val="none"/>
                <w14:textFill>
                  <w14:solidFill>
                    <w14:schemeClr w14:val="tx1"/>
                  </w14:solidFill>
                </w14:textFill>
              </w:rPr>
              <w:t>股东名称</w:t>
            </w:r>
          </w:p>
        </w:tc>
        <w:tc>
          <w:tcPr>
            <w:tcW w:w="775" w:type="dxa"/>
          </w:tcPr>
          <w:p>
            <w:pPr>
              <w:widowControl/>
              <w:jc w:val="center"/>
              <w:rPr>
                <w:rFonts w:ascii="仿宋" w:hAnsi="仿宋" w:eastAsia="仿宋" w:cs="Times New Roman"/>
                <w:b w:val="0"/>
                <w:bCs w:val="0"/>
                <w:color w:val="000000" w:themeColor="text1"/>
                <w:sz w:val="24"/>
                <w:szCs w:val="24"/>
                <w:highlight w:val="none"/>
                <w14:textFill>
                  <w14:solidFill>
                    <w14:schemeClr w14:val="tx1"/>
                  </w14:solidFill>
                </w14:textFill>
              </w:rPr>
            </w:pPr>
            <w:r>
              <w:rPr>
                <w:rFonts w:ascii="仿宋" w:hAnsi="仿宋" w:eastAsia="仿宋" w:cs="Times New Roman"/>
                <w:b w:val="0"/>
                <w:bCs w:val="0"/>
                <w:color w:val="000000" w:themeColor="text1"/>
                <w:sz w:val="24"/>
                <w:szCs w:val="24"/>
                <w:highlight w:val="none"/>
                <w14:textFill>
                  <w14:solidFill>
                    <w14:schemeClr w14:val="tx1"/>
                  </w14:solidFill>
                </w14:textFill>
              </w:rPr>
              <w:t>股东类别</w:t>
            </w:r>
          </w:p>
        </w:tc>
        <w:tc>
          <w:tcPr>
            <w:tcW w:w="775" w:type="dxa"/>
          </w:tcPr>
          <w:p>
            <w:pPr>
              <w:widowControl/>
              <w:jc w:val="center"/>
              <w:rPr>
                <w:rFonts w:ascii="仿宋" w:hAnsi="仿宋" w:eastAsia="仿宋" w:cs="Times New Roman"/>
                <w:b w:val="0"/>
                <w:bCs w:val="0"/>
                <w:color w:val="000000" w:themeColor="text1"/>
                <w:sz w:val="24"/>
                <w:szCs w:val="24"/>
                <w:highlight w:val="none"/>
                <w14:textFill>
                  <w14:solidFill>
                    <w14:schemeClr w14:val="tx1"/>
                  </w14:solidFill>
                </w14:textFill>
              </w:rPr>
            </w:pPr>
            <w:r>
              <w:rPr>
                <w:rFonts w:ascii="仿宋" w:hAnsi="仿宋" w:eastAsia="仿宋" w:cs="Times New Roman"/>
                <w:b w:val="0"/>
                <w:bCs w:val="0"/>
                <w:color w:val="000000" w:themeColor="text1"/>
                <w:sz w:val="24"/>
                <w:szCs w:val="24"/>
                <w:highlight w:val="none"/>
                <w14:textFill>
                  <w14:solidFill>
                    <w14:schemeClr w14:val="tx1"/>
                  </w14:solidFill>
                </w14:textFill>
              </w:rPr>
              <w:t>证件号码</w:t>
            </w:r>
          </w:p>
        </w:tc>
        <w:tc>
          <w:tcPr>
            <w:tcW w:w="774" w:type="dxa"/>
          </w:tcPr>
          <w:p>
            <w:pPr>
              <w:widowControl/>
              <w:jc w:val="center"/>
              <w:rPr>
                <w:rFonts w:ascii="仿宋" w:hAnsi="仿宋" w:eastAsia="仿宋" w:cs="Times New Roman"/>
                <w:b w:val="0"/>
                <w:bCs w:val="0"/>
                <w:color w:val="000000" w:themeColor="text1"/>
                <w:sz w:val="24"/>
                <w:szCs w:val="24"/>
                <w:highlight w:val="none"/>
                <w14:textFill>
                  <w14:solidFill>
                    <w14:schemeClr w14:val="tx1"/>
                  </w14:solidFill>
                </w14:textFill>
              </w:rPr>
            </w:pPr>
            <w:r>
              <w:rPr>
                <w:rFonts w:ascii="仿宋" w:hAnsi="仿宋" w:eastAsia="仿宋" w:cs="Times New Roman"/>
                <w:b w:val="0"/>
                <w:bCs w:val="0"/>
                <w:color w:val="000000" w:themeColor="text1"/>
                <w:sz w:val="24"/>
                <w:szCs w:val="24"/>
                <w:highlight w:val="none"/>
                <w14:textFill>
                  <w14:solidFill>
                    <w14:schemeClr w14:val="tx1"/>
                  </w14:solidFill>
                </w14:textFill>
              </w:rPr>
              <w:t>持股数量</w:t>
            </w:r>
          </w:p>
        </w:tc>
        <w:tc>
          <w:tcPr>
            <w:tcW w:w="774" w:type="dxa"/>
          </w:tcPr>
          <w:p>
            <w:pPr>
              <w:widowControl/>
              <w:jc w:val="center"/>
              <w:rPr>
                <w:rFonts w:ascii="仿宋" w:hAnsi="仿宋" w:eastAsia="仿宋" w:cs="Times New Roman"/>
                <w:b w:val="0"/>
                <w:bCs w:val="0"/>
                <w:color w:val="000000" w:themeColor="text1"/>
                <w:sz w:val="24"/>
                <w:szCs w:val="24"/>
                <w:highlight w:val="none"/>
                <w14:textFill>
                  <w14:solidFill>
                    <w14:schemeClr w14:val="tx1"/>
                  </w14:solidFill>
                </w14:textFill>
              </w:rPr>
            </w:pPr>
            <w:r>
              <w:rPr>
                <w:rFonts w:ascii="仿宋" w:hAnsi="仿宋" w:eastAsia="仿宋" w:cs="Times New Roman"/>
                <w:b w:val="0"/>
                <w:bCs w:val="0"/>
                <w:color w:val="000000" w:themeColor="text1"/>
                <w:sz w:val="24"/>
                <w:szCs w:val="24"/>
                <w:highlight w:val="none"/>
                <w14:textFill>
                  <w14:solidFill>
                    <w14:schemeClr w14:val="tx1"/>
                  </w14:solidFill>
                </w14:textFill>
              </w:rPr>
              <w:t>股份性质</w:t>
            </w:r>
          </w:p>
        </w:tc>
        <w:tc>
          <w:tcPr>
            <w:tcW w:w="774" w:type="dxa"/>
          </w:tcPr>
          <w:p>
            <w:pPr>
              <w:widowControl/>
              <w:jc w:val="center"/>
              <w:rPr>
                <w:rFonts w:ascii="仿宋" w:hAnsi="仿宋" w:eastAsia="仿宋" w:cs="Times New Roman"/>
                <w:b w:val="0"/>
                <w:bCs w:val="0"/>
                <w:color w:val="000000" w:themeColor="text1"/>
                <w:sz w:val="24"/>
                <w:szCs w:val="24"/>
                <w:highlight w:val="none"/>
                <w14:textFill>
                  <w14:solidFill>
                    <w14:schemeClr w14:val="tx1"/>
                  </w14:solidFill>
                </w14:textFill>
              </w:rPr>
            </w:pPr>
            <w:r>
              <w:rPr>
                <w:rFonts w:ascii="仿宋" w:hAnsi="仿宋" w:eastAsia="仿宋" w:cs="Times New Roman"/>
                <w:b w:val="0"/>
                <w:bCs w:val="0"/>
                <w:color w:val="000000" w:themeColor="text1"/>
                <w:sz w:val="24"/>
                <w:szCs w:val="24"/>
                <w:highlight w:val="none"/>
                <w14:textFill>
                  <w14:solidFill>
                    <w14:schemeClr w14:val="tx1"/>
                  </w14:solidFill>
                </w14:textFill>
              </w:rPr>
              <w:t>流通类型</w:t>
            </w:r>
          </w:p>
        </w:tc>
        <w:tc>
          <w:tcPr>
            <w:tcW w:w="775" w:type="dxa"/>
          </w:tcPr>
          <w:p>
            <w:pPr>
              <w:widowControl/>
              <w:jc w:val="center"/>
              <w:rPr>
                <w:rFonts w:ascii="仿宋" w:hAnsi="仿宋" w:eastAsia="仿宋" w:cs="Times New Roman"/>
                <w:b w:val="0"/>
                <w:bCs w:val="0"/>
                <w:color w:val="000000" w:themeColor="text1"/>
                <w:sz w:val="24"/>
                <w:szCs w:val="24"/>
                <w:highlight w:val="none"/>
                <w14:textFill>
                  <w14:solidFill>
                    <w14:schemeClr w14:val="tx1"/>
                  </w14:solidFill>
                </w14:textFill>
              </w:rPr>
            </w:pPr>
            <w:r>
              <w:rPr>
                <w:rFonts w:ascii="仿宋" w:hAnsi="仿宋" w:eastAsia="仿宋" w:cs="Times New Roman"/>
                <w:b w:val="0"/>
                <w:bCs w:val="0"/>
                <w:color w:val="000000" w:themeColor="text1"/>
                <w:sz w:val="24"/>
                <w:szCs w:val="24"/>
                <w:highlight w:val="none"/>
                <w14:textFill>
                  <w14:solidFill>
                    <w14:schemeClr w14:val="tx1"/>
                  </w14:solidFill>
                </w14:textFill>
              </w:rPr>
              <w:t>托管单元编码</w:t>
            </w:r>
          </w:p>
        </w:tc>
        <w:tc>
          <w:tcPr>
            <w:tcW w:w="775" w:type="dxa"/>
          </w:tcPr>
          <w:p>
            <w:pPr>
              <w:widowControl/>
              <w:jc w:val="center"/>
              <w:rPr>
                <w:rFonts w:ascii="仿宋" w:hAnsi="仿宋" w:eastAsia="仿宋" w:cs="Times New Roman"/>
                <w:b w:val="0"/>
                <w:bCs w:val="0"/>
                <w:color w:val="000000" w:themeColor="text1"/>
                <w:sz w:val="24"/>
                <w:szCs w:val="24"/>
                <w:highlight w:val="none"/>
                <w14:textFill>
                  <w14:solidFill>
                    <w14:schemeClr w14:val="tx1"/>
                  </w14:solidFill>
                </w14:textFill>
              </w:rPr>
            </w:pPr>
            <w:r>
              <w:rPr>
                <w:rFonts w:ascii="仿宋" w:hAnsi="仿宋" w:eastAsia="仿宋" w:cs="Times New Roman"/>
                <w:b w:val="0"/>
                <w:bCs w:val="0"/>
                <w:color w:val="000000" w:themeColor="text1"/>
                <w:sz w:val="24"/>
                <w:szCs w:val="24"/>
                <w:highlight w:val="none"/>
                <w14:textFill>
                  <w14:solidFill>
                    <w14:schemeClr w14:val="tx1"/>
                  </w14:solidFill>
                </w14:textFill>
              </w:rPr>
              <w:t>采集标志</w:t>
            </w:r>
          </w:p>
        </w:tc>
        <w:tc>
          <w:tcPr>
            <w:tcW w:w="1076" w:type="dxa"/>
          </w:tcPr>
          <w:p>
            <w:pPr>
              <w:widowControl/>
              <w:jc w:val="center"/>
              <w:rPr>
                <w:rFonts w:ascii="仿宋" w:hAnsi="仿宋" w:eastAsia="仿宋" w:cs="Times New Roman"/>
                <w:b w:val="0"/>
                <w:bCs w:val="0"/>
                <w:color w:val="000000" w:themeColor="text1"/>
                <w:sz w:val="24"/>
                <w:szCs w:val="24"/>
                <w:highlight w:val="none"/>
                <w14:textFill>
                  <w14:solidFill>
                    <w14:schemeClr w14:val="tx1"/>
                  </w14:solidFill>
                </w14:textFill>
              </w:rPr>
            </w:pPr>
            <w:r>
              <w:rPr>
                <w:rFonts w:ascii="仿宋" w:hAnsi="仿宋" w:eastAsia="仿宋" w:cs="Times New Roman"/>
                <w:b w:val="0"/>
                <w:bCs w:val="0"/>
                <w:color w:val="000000" w:themeColor="text1"/>
                <w:sz w:val="24"/>
                <w:szCs w:val="24"/>
                <w:highlight w:val="none"/>
                <w14:textFill>
                  <w14:solidFill>
                    <w14:schemeClr w14:val="tx1"/>
                  </w14:solidFill>
                </w14:textFill>
              </w:rPr>
              <w:t>平均原值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1</w:t>
            </w:r>
          </w:p>
        </w:tc>
        <w:tc>
          <w:tcPr>
            <w:tcW w:w="1052"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775"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775"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775"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774"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774"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774"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775"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775"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1076"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2</w:t>
            </w:r>
          </w:p>
        </w:tc>
        <w:tc>
          <w:tcPr>
            <w:tcW w:w="1052"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775"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775"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775"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774"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774"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774"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775"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775"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c>
          <w:tcPr>
            <w:tcW w:w="1076" w:type="dxa"/>
          </w:tcPr>
          <w:p>
            <w:pPr>
              <w:widowControl/>
              <w:jc w:val="center"/>
              <w:rPr>
                <w:rFonts w:ascii="仿宋" w:hAnsi="仿宋" w:eastAsia="仿宋" w:cs="Times New Roman"/>
                <w:color w:val="000000" w:themeColor="text1"/>
                <w:sz w:val="28"/>
                <w:szCs w:val="28"/>
                <w:highlight w:val="none"/>
                <w14:textFill>
                  <w14:solidFill>
                    <w14:schemeClr w14:val="tx1"/>
                  </w14:solidFill>
                </w14:textFill>
              </w:rPr>
            </w:pPr>
          </w:p>
        </w:tc>
      </w:tr>
    </w:tbl>
    <w:p>
      <w:pPr>
        <w:widowControl/>
        <w:jc w:val="left"/>
        <w:rPr>
          <w:rFonts w:ascii="仿宋" w:hAnsi="仿宋" w:eastAsia="仿宋" w:cs="Times New Roman"/>
          <w:color w:val="000000" w:themeColor="text1"/>
          <w:sz w:val="28"/>
          <w:szCs w:val="28"/>
          <w:highlight w:val="none"/>
          <w:u w:val="single"/>
          <w14:textFill>
            <w14:solidFill>
              <w14:schemeClr w14:val="tx1"/>
            </w14:solidFill>
          </w14:textFill>
        </w:rPr>
      </w:pPr>
      <w:r>
        <w:rPr>
          <w:rFonts w:ascii="仿宋" w:hAnsi="仿宋" w:eastAsia="仿宋" w:cs="Times New Roman"/>
          <w:color w:val="000000" w:themeColor="text1"/>
          <w:sz w:val="28"/>
          <w:szCs w:val="28"/>
          <w:highlight w:val="none"/>
          <w:u w:val="single"/>
          <w14:textFill>
            <w14:solidFill>
              <w14:schemeClr w14:val="tx1"/>
            </w14:solidFill>
          </w14:textFill>
        </w:rPr>
        <w:t>总计记录数：股份数量：</w:t>
      </w:r>
    </w:p>
    <w:p>
      <w:pPr>
        <w:widowControl/>
        <w:jc w:val="left"/>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说明：</w:t>
      </w:r>
    </w:p>
    <w:p>
      <w:pPr>
        <w:widowControl/>
        <w:jc w:val="left"/>
        <w:rPr>
          <w:rFonts w:ascii="仿宋" w:hAnsi="仿宋" w:eastAsia="仿宋" w:cs="Times New Roman"/>
          <w:color w:val="000000" w:themeColor="text1"/>
          <w:sz w:val="28"/>
          <w:szCs w:val="28"/>
          <w:highlight w:val="none"/>
          <w:u w:val="single"/>
          <w14:textFill>
            <w14:solidFill>
              <w14:schemeClr w14:val="tx1"/>
            </w14:solidFill>
          </w14:textFill>
        </w:rPr>
      </w:pPr>
      <w:r>
        <w:rPr>
          <w:rFonts w:ascii="仿宋" w:hAnsi="仿宋" w:eastAsia="仿宋" w:cs="Times New Roman"/>
          <w:color w:val="000000" w:themeColor="text1"/>
          <w:sz w:val="28"/>
          <w:szCs w:val="28"/>
          <w:highlight w:val="none"/>
          <w:u w:val="single"/>
          <w14:textFill>
            <w14:solidFill>
              <w14:schemeClr w14:val="tx1"/>
            </w14:solidFill>
          </w14:textFill>
        </w:rPr>
        <w:t>1</w:t>
      </w:r>
      <w:r>
        <w:rPr>
          <w:rFonts w:hint="eastAsia" w:ascii="仿宋" w:hAnsi="仿宋" w:eastAsia="仿宋" w:cs="Times New Roman"/>
          <w:color w:val="000000" w:themeColor="text1"/>
          <w:sz w:val="28"/>
          <w:szCs w:val="28"/>
          <w:highlight w:val="none"/>
          <w:u w:val="single"/>
          <w:lang w:eastAsia="zh-CN"/>
          <w14:textFill>
            <w14:solidFill>
              <w14:schemeClr w14:val="tx1"/>
            </w14:solidFill>
          </w14:textFill>
        </w:rPr>
        <w:t>．</w:t>
      </w:r>
      <w:r>
        <w:rPr>
          <w:rFonts w:ascii="仿宋" w:hAnsi="仿宋" w:eastAsia="仿宋" w:cs="Times New Roman"/>
          <w:color w:val="000000" w:themeColor="text1"/>
          <w:sz w:val="28"/>
          <w:szCs w:val="28"/>
          <w:highlight w:val="none"/>
          <w:u w:val="single"/>
          <w14:textFill>
            <w14:solidFill>
              <w14:schemeClr w14:val="tx1"/>
            </w14:solidFill>
          </w14:textFill>
        </w:rPr>
        <w:t>持有数量单位：股票为“股”，基金和权证为“份”，债券为“张”。</w:t>
      </w:r>
    </w:p>
    <w:p>
      <w:pPr>
        <w:widowControl/>
        <w:jc w:val="left"/>
        <w:rPr>
          <w:rFonts w:ascii="仿宋" w:hAnsi="仿宋" w:eastAsia="仿宋" w:cs="Times New Roman"/>
          <w:color w:val="000000" w:themeColor="text1"/>
          <w:sz w:val="28"/>
          <w:szCs w:val="28"/>
          <w:highlight w:val="none"/>
          <w:u w:val="single"/>
          <w14:textFill>
            <w14:solidFill>
              <w14:schemeClr w14:val="tx1"/>
            </w14:solidFill>
          </w14:textFill>
        </w:rPr>
      </w:pPr>
      <w:r>
        <w:rPr>
          <w:rFonts w:hint="eastAsia" w:ascii="仿宋" w:hAnsi="仿宋" w:eastAsia="仿宋" w:cs="Times New Roman"/>
          <w:color w:val="000000" w:themeColor="text1"/>
          <w:sz w:val="28"/>
          <w:szCs w:val="28"/>
          <w:highlight w:val="none"/>
          <w:u w:val="single"/>
          <w14:textFill>
            <w14:solidFill>
              <w14:schemeClr w14:val="tx1"/>
            </w14:solidFill>
          </w14:textFill>
        </w:rPr>
        <w:t>2</w:t>
      </w:r>
      <w:r>
        <w:rPr>
          <w:rFonts w:hint="eastAsia" w:ascii="仿宋" w:hAnsi="仿宋" w:eastAsia="仿宋" w:cs="Times New Roman"/>
          <w:color w:val="000000" w:themeColor="text1"/>
          <w:sz w:val="28"/>
          <w:szCs w:val="28"/>
          <w:highlight w:val="none"/>
          <w:u w:val="single"/>
          <w:lang w:eastAsia="zh-CN"/>
          <w14:textFill>
            <w14:solidFill>
              <w14:schemeClr w14:val="tx1"/>
            </w14:solidFill>
          </w14:textFill>
        </w:rPr>
        <w:t>．</w:t>
      </w:r>
      <w:r>
        <w:rPr>
          <w:rFonts w:hint="eastAsia" w:ascii="仿宋" w:hAnsi="仿宋" w:eastAsia="仿宋" w:cs="Times New Roman"/>
          <w:color w:val="000000" w:themeColor="text1"/>
          <w:sz w:val="28"/>
          <w:szCs w:val="28"/>
          <w:highlight w:val="none"/>
          <w:u w:val="single"/>
          <w14:textFill>
            <w14:solidFill>
              <w14:schemeClr w14:val="tx1"/>
            </w14:solidFill>
          </w14:textFill>
        </w:rPr>
        <w:t>股份性质：00表示无限售份额；05表示原始权益人或其同一控制下的关联方持有的限售份额；01表示其他限售份额。</w:t>
      </w:r>
    </w:p>
    <w:p>
      <w:pPr>
        <w:widowControl/>
        <w:jc w:val="left"/>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发行人核查结果反馈：</w:t>
      </w:r>
    </w:p>
    <w:p>
      <w:pPr>
        <w:autoSpaceDE w:val="0"/>
        <w:autoSpaceDN w:val="0"/>
        <w:adjustRightInd w:val="0"/>
        <w:jc w:val="left"/>
        <w:rPr>
          <w:rFonts w:ascii="仿宋" w:hAnsi="仿宋" w:eastAsia="仿宋" w:cs="Times New Roman"/>
          <w:color w:val="000000" w:themeColor="text1"/>
          <w:kern w:val="0"/>
          <w:sz w:val="28"/>
          <w:szCs w:val="28"/>
          <w:highlight w:val="none"/>
          <w14:textFill>
            <w14:solidFill>
              <w14:schemeClr w14:val="tx1"/>
            </w14:solidFill>
          </w14:textFill>
        </w:rPr>
      </w:pPr>
      <w:r>
        <w:rPr>
          <w:rFonts w:ascii="仿宋" w:hAnsi="仿宋" w:eastAsia="仿宋" w:cs="Times New Roman"/>
          <w:color w:val="000000" w:themeColor="text1"/>
          <w:kern w:val="0"/>
          <w:sz w:val="28"/>
          <w:szCs w:val="28"/>
          <w:highlight w:val="none"/>
          <w14:textFill>
            <w14:solidFill>
              <w14:schemeClr w14:val="tx1"/>
            </w14:solidFill>
          </w14:textFill>
        </w:rPr>
        <w:t>□经核查，数据准确无误。</w:t>
      </w:r>
    </w:p>
    <w:p>
      <w:pPr>
        <w:autoSpaceDE w:val="0"/>
        <w:autoSpaceDN w:val="0"/>
        <w:adjustRightInd w:val="0"/>
        <w:jc w:val="right"/>
        <w:rPr>
          <w:rFonts w:ascii="仿宋" w:hAnsi="仿宋" w:eastAsia="仿宋" w:cs="Times New Roman"/>
          <w:color w:val="000000" w:themeColor="text1"/>
          <w:kern w:val="0"/>
          <w:sz w:val="28"/>
          <w:szCs w:val="28"/>
          <w:highlight w:val="none"/>
          <w14:textFill>
            <w14:solidFill>
              <w14:schemeClr w14:val="tx1"/>
            </w14:solidFill>
          </w14:textFill>
        </w:rPr>
      </w:pPr>
    </w:p>
    <w:p>
      <w:pPr>
        <w:autoSpaceDE w:val="0"/>
        <w:autoSpaceDN w:val="0"/>
        <w:adjustRightInd w:val="0"/>
        <w:jc w:val="right"/>
        <w:rPr>
          <w:rFonts w:ascii="仿宋" w:hAnsi="仿宋" w:eastAsia="仿宋" w:cs="Times New Roman"/>
          <w:color w:val="000000" w:themeColor="text1"/>
          <w:kern w:val="0"/>
          <w:sz w:val="28"/>
          <w:szCs w:val="28"/>
          <w:highlight w:val="none"/>
          <w14:textFill>
            <w14:solidFill>
              <w14:schemeClr w14:val="tx1"/>
            </w14:solidFill>
          </w14:textFill>
        </w:rPr>
      </w:pPr>
      <w:r>
        <w:rPr>
          <w:rFonts w:ascii="仿宋" w:hAnsi="仿宋" w:eastAsia="仿宋" w:cs="Times New Roman"/>
          <w:color w:val="000000" w:themeColor="text1"/>
          <w:kern w:val="0"/>
          <w:sz w:val="28"/>
          <w:szCs w:val="28"/>
          <w:highlight w:val="none"/>
          <w14:textFill>
            <w14:solidFill>
              <w14:schemeClr w14:val="tx1"/>
            </w14:solidFill>
          </w14:textFill>
        </w:rPr>
        <w:t>发行人公章</w:t>
      </w:r>
    </w:p>
    <w:p>
      <w:pPr>
        <w:autoSpaceDE w:val="0"/>
        <w:autoSpaceDN w:val="0"/>
        <w:adjustRightInd w:val="0"/>
        <w:jc w:val="right"/>
        <w:rPr>
          <w:rFonts w:ascii="仿宋" w:hAnsi="仿宋" w:eastAsia="仿宋" w:cs="Times New Roman"/>
          <w:color w:val="000000" w:themeColor="text1"/>
          <w:kern w:val="0"/>
          <w:sz w:val="28"/>
          <w:szCs w:val="28"/>
          <w:highlight w:val="none"/>
          <w14:textFill>
            <w14:solidFill>
              <w14:schemeClr w14:val="tx1"/>
            </w14:solidFill>
          </w14:textFill>
        </w:rPr>
      </w:pPr>
      <w:r>
        <w:rPr>
          <w:rFonts w:ascii="仿宋" w:hAnsi="仿宋" w:eastAsia="仿宋" w:cs="Times New Roman"/>
          <w:color w:val="000000" w:themeColor="text1"/>
          <w:kern w:val="0"/>
          <w:sz w:val="28"/>
          <w:szCs w:val="28"/>
          <w:highlight w:val="none"/>
          <w14:textFill>
            <w14:solidFill>
              <w14:schemeClr w14:val="tx1"/>
            </w14:solidFill>
          </w14:textFill>
        </w:rPr>
        <w:t>经办人姓名：   年  月  日</w:t>
      </w:r>
    </w:p>
    <w:p>
      <w:pPr>
        <w:autoSpaceDE w:val="0"/>
        <w:autoSpaceDN w:val="0"/>
        <w:adjustRightInd w:val="0"/>
        <w:jc w:val="right"/>
        <w:rPr>
          <w:rFonts w:ascii="仿宋" w:hAnsi="仿宋" w:eastAsia="仿宋" w:cs="Times New Roman"/>
          <w:color w:val="000000" w:themeColor="text1"/>
          <w:kern w:val="0"/>
          <w:sz w:val="28"/>
          <w:szCs w:val="28"/>
          <w:highlight w:val="none"/>
          <w14:textFill>
            <w14:solidFill>
              <w14:schemeClr w14:val="tx1"/>
            </w14:solidFill>
          </w14:textFill>
        </w:rPr>
      </w:pPr>
    </w:p>
    <w:p>
      <w:pPr>
        <w:widowControl/>
        <w:jc w:val="left"/>
        <w:rPr>
          <w:rFonts w:ascii="仿宋" w:hAnsi="仿宋" w:eastAsia="仿宋" w:cs="Times New Roman"/>
          <w:b/>
          <w:color w:val="000000" w:themeColor="text1"/>
          <w:sz w:val="28"/>
          <w:szCs w:val="28"/>
          <w:highlight w:val="none"/>
          <w14:textFill>
            <w14:solidFill>
              <w14:schemeClr w14:val="tx1"/>
            </w14:solidFill>
          </w14:textFill>
        </w:rPr>
      </w:pPr>
      <w:r>
        <w:rPr>
          <w:rFonts w:ascii="仿宋" w:hAnsi="仿宋" w:eastAsia="仿宋" w:cs="Times New Roman"/>
          <w:b/>
          <w:color w:val="000000" w:themeColor="text1"/>
          <w:sz w:val="28"/>
          <w:szCs w:val="28"/>
          <w:highlight w:val="none"/>
          <w14:textFill>
            <w14:solidFill>
              <w14:schemeClr w14:val="tx1"/>
            </w14:solidFill>
          </w14:textFill>
        </w:rPr>
        <w:br w:type="page"/>
      </w:r>
    </w:p>
    <w:p>
      <w:pPr>
        <w:pStyle w:val="3"/>
        <w:keepNext w:val="0"/>
        <w:keepLines w:val="0"/>
        <w:adjustRightInd w:val="0"/>
        <w:snapToGrid w:val="0"/>
        <w:spacing w:before="0" w:after="0" w:line="240" w:lineRule="auto"/>
        <w:outlineLvl w:val="1"/>
        <w:rPr>
          <w:rFonts w:hint="eastAsia" w:ascii="黑体" w:hAnsi="黑体" w:eastAsia="黑体"/>
          <w:b w:val="0"/>
          <w:bCs w:val="0"/>
          <w:highlight w:val="none"/>
          <w:lang w:eastAsia="zh-CN"/>
        </w:rPr>
      </w:pPr>
      <w:bookmarkStart w:id="292" w:name="_Toc28299"/>
      <w:bookmarkStart w:id="293" w:name="_Toc15470"/>
      <w:bookmarkStart w:id="294" w:name="_Toc5421"/>
      <w:bookmarkStart w:id="295" w:name="_Toc29744"/>
      <w:bookmarkStart w:id="296" w:name="_Toc146725939"/>
      <w:bookmarkStart w:id="297" w:name="_Toc18740"/>
      <w:bookmarkStart w:id="298" w:name="_Toc2551"/>
      <w:bookmarkStart w:id="299" w:name="_Toc70590214"/>
      <w:r>
        <w:rPr>
          <w:rFonts w:hint="eastAsia" w:ascii="黑体" w:hAnsi="黑体" w:eastAsia="黑体"/>
          <w:b w:val="0"/>
          <w:bCs w:val="0"/>
          <w:highlight w:val="none"/>
        </w:rPr>
        <w:t>附件</w:t>
      </w:r>
      <w:r>
        <w:rPr>
          <w:rFonts w:hint="eastAsia" w:ascii="黑体" w:hAnsi="黑体" w:eastAsia="黑体"/>
          <w:b w:val="0"/>
          <w:bCs w:val="0"/>
          <w:highlight w:val="none"/>
          <w:lang w:val="en-US" w:eastAsia="zh-CN"/>
        </w:rPr>
        <w:t>7</w:t>
      </w:r>
      <w:bookmarkEnd w:id="292"/>
    </w:p>
    <w:p>
      <w:pPr>
        <w:outlineLvl w:val="9"/>
        <w:rPr>
          <w:rFonts w:hint="eastAsia" w:ascii="黑体" w:hAnsi="黑体" w:eastAsia="黑体"/>
          <w:b w:val="0"/>
          <w:bCs w:val="0"/>
          <w:highlight w:val="none"/>
        </w:rPr>
      </w:pPr>
    </w:p>
    <w:p>
      <w:pPr>
        <w:keepNext w:val="0"/>
        <w:keepLines w:val="0"/>
        <w:adjustRightInd w:val="0"/>
        <w:snapToGrid w:val="0"/>
        <w:spacing w:before="0" w:after="0" w:line="240" w:lineRule="auto"/>
        <w:ind w:left="1440" w:hangingChars="450"/>
        <w:jc w:val="center"/>
        <w:outlineLvl w:val="9"/>
        <w:rPr>
          <w:rFonts w:hint="eastAsia" w:ascii="Times New Roman" w:hAnsi="Times New Roman" w:eastAsia="方正小标宋简体"/>
          <w:b w:val="0"/>
          <w:bCs/>
          <w:sz w:val="44"/>
          <w:szCs w:val="44"/>
          <w:highlight w:val="none"/>
        </w:rPr>
      </w:pPr>
      <w:r>
        <w:rPr>
          <w:rFonts w:hint="eastAsia" w:ascii="Times New Roman" w:hAnsi="Times New Roman" w:eastAsia="方正小标宋简体"/>
          <w:b w:val="0"/>
          <w:bCs/>
          <w:sz w:val="44"/>
          <w:szCs w:val="44"/>
          <w:highlight w:val="none"/>
        </w:rPr>
        <w:t>限售公告必备要素</w:t>
      </w:r>
      <w:bookmarkEnd w:id="293"/>
      <w:bookmarkEnd w:id="294"/>
      <w:bookmarkEnd w:id="295"/>
      <w:bookmarkEnd w:id="296"/>
      <w:bookmarkEnd w:id="297"/>
      <w:bookmarkEnd w:id="298"/>
    </w:p>
    <w:bookmarkEnd w:id="299"/>
    <w:p>
      <w:pPr>
        <w:spacing w:line="360" w:lineRule="auto"/>
        <w:ind w:firstLine="562" w:firstLineChars="200"/>
        <w:rPr>
          <w:rStyle w:val="26"/>
          <w:sz w:val="28"/>
          <w:szCs w:val="28"/>
          <w:highlight w:val="none"/>
        </w:rPr>
      </w:pPr>
    </w:p>
    <w:p>
      <w:pPr>
        <w:spacing w:line="360" w:lineRule="auto"/>
        <w:ind w:firstLine="562" w:firstLineChars="200"/>
        <w:rPr>
          <w:rFonts w:hint="eastAsia" w:ascii="黑体" w:hAnsi="黑体" w:eastAsia="黑体" w:cs="黑体"/>
          <w:sz w:val="28"/>
          <w:szCs w:val="28"/>
          <w:highlight w:val="none"/>
        </w:rPr>
      </w:pPr>
      <w:r>
        <w:rPr>
          <w:rFonts w:hint="eastAsia" w:ascii="黑体" w:hAnsi="黑体" w:eastAsia="黑体" w:cs="黑体"/>
          <w:b/>
          <w:sz w:val="28"/>
          <w:szCs w:val="28"/>
          <w:highlight w:val="none"/>
        </w:rPr>
        <w:t>一、公告基本信息</w:t>
      </w:r>
    </w:p>
    <w:p>
      <w:pPr>
        <w:spacing w:line="360" w:lineRule="auto"/>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基金代码、基金简称、业务类型等。</w:t>
      </w:r>
    </w:p>
    <w:p>
      <w:pPr>
        <w:spacing w:line="360" w:lineRule="auto"/>
        <w:ind w:firstLine="562" w:firstLineChars="200"/>
        <w:rPr>
          <w:rFonts w:hint="eastAsia" w:ascii="黑体" w:hAnsi="黑体" w:eastAsia="黑体" w:cs="黑体"/>
          <w:b/>
          <w:sz w:val="28"/>
          <w:szCs w:val="28"/>
          <w:highlight w:val="none"/>
        </w:rPr>
      </w:pPr>
      <w:r>
        <w:rPr>
          <w:rFonts w:hint="eastAsia" w:ascii="黑体" w:hAnsi="黑体" w:eastAsia="黑体" w:cs="黑体"/>
          <w:b/>
          <w:sz w:val="28"/>
          <w:szCs w:val="28"/>
          <w:highlight w:val="none"/>
        </w:rPr>
        <w:t>二、限售投资者具体信息</w:t>
      </w:r>
    </w:p>
    <w:p>
      <w:pPr>
        <w:spacing w:line="360" w:lineRule="auto"/>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rPr>
        <w:t>下列投资者作为定向扩募投资者，持有的配售份额已根据《</w:t>
      </w:r>
      <w:r>
        <w:rPr>
          <w:rFonts w:hint="eastAsia" w:ascii="仿宋_GB2312" w:hAnsi="仿宋" w:eastAsia="仿宋_GB2312"/>
          <w:sz w:val="28"/>
          <w:szCs w:val="28"/>
          <w:highlight w:val="none"/>
          <w:lang w:eastAsia="zh-CN"/>
        </w:rPr>
        <w:t>深圳证券交易所公开募集不动产投资信托基金业务指引第3号——扩募及新购入不动产（试行）</w:t>
      </w:r>
      <w:r>
        <w:rPr>
          <w:rFonts w:hint="eastAsia" w:ascii="仿宋_GB2312" w:hAnsi="仿宋" w:eastAsia="仿宋_GB2312"/>
          <w:sz w:val="28"/>
          <w:szCs w:val="28"/>
          <w:highlight w:val="none"/>
        </w:rPr>
        <w:t>》的要求办理完成限售业务，具体如下：</w:t>
      </w:r>
    </w:p>
    <w:p>
      <w:pPr>
        <w:tabs>
          <w:tab w:val="left" w:pos="992"/>
        </w:tabs>
        <w:spacing w:before="156" w:beforeLines="50" w:after="156" w:afterLines="50"/>
        <w:ind w:firstLine="560" w:firstLineChars="200"/>
        <w:rPr>
          <w:rFonts w:ascii="仿宋" w:hAnsi="仿宋" w:eastAsia="仿宋"/>
          <w:sz w:val="28"/>
          <w:szCs w:val="28"/>
          <w:highlight w:val="none"/>
        </w:rPr>
      </w:pPr>
      <w:r>
        <w:rPr>
          <w:rFonts w:hint="eastAsia" w:ascii="仿宋" w:hAnsi="仿宋" w:eastAsia="仿宋"/>
          <w:sz w:val="28"/>
          <w:szCs w:val="28"/>
          <w:highlight w:val="none"/>
        </w:rPr>
        <w:t>（1）场内份额限售</w:t>
      </w:r>
    </w:p>
    <w:tbl>
      <w:tblPr>
        <w:tblStyle w:val="17"/>
        <w:tblW w:w="4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845"/>
        <w:gridCol w:w="1702"/>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tcPr>
          <w:p>
            <w:pPr>
              <w:jc w:val="center"/>
              <w:rPr>
                <w:rFonts w:ascii="仿宋" w:hAnsi="仿宋" w:eastAsia="仿宋"/>
                <w:sz w:val="28"/>
                <w:szCs w:val="28"/>
                <w:highlight w:val="none"/>
              </w:rPr>
            </w:pPr>
            <w:r>
              <w:rPr>
                <w:rFonts w:hint="eastAsia" w:ascii="仿宋" w:hAnsi="仿宋" w:eastAsia="仿宋"/>
                <w:sz w:val="28"/>
                <w:szCs w:val="28"/>
                <w:highlight w:val="none"/>
              </w:rPr>
              <w:t>序号</w:t>
            </w:r>
          </w:p>
        </w:tc>
        <w:tc>
          <w:tcPr>
            <w:tcW w:w="1188" w:type="pct"/>
          </w:tcPr>
          <w:p>
            <w:pPr>
              <w:jc w:val="center"/>
              <w:rPr>
                <w:rFonts w:ascii="仿宋" w:hAnsi="仿宋" w:eastAsia="仿宋"/>
                <w:sz w:val="28"/>
                <w:szCs w:val="28"/>
                <w:highlight w:val="none"/>
              </w:rPr>
            </w:pPr>
            <w:r>
              <w:rPr>
                <w:rFonts w:hint="eastAsia" w:ascii="仿宋" w:hAnsi="仿宋" w:eastAsia="仿宋"/>
                <w:sz w:val="28"/>
                <w:szCs w:val="28"/>
                <w:highlight w:val="none"/>
              </w:rPr>
              <w:t>证券账户名称</w:t>
            </w:r>
          </w:p>
        </w:tc>
        <w:tc>
          <w:tcPr>
            <w:tcW w:w="1096" w:type="pct"/>
          </w:tcPr>
          <w:p>
            <w:pPr>
              <w:jc w:val="center"/>
              <w:rPr>
                <w:rFonts w:ascii="仿宋" w:hAnsi="仿宋" w:eastAsia="仿宋"/>
                <w:sz w:val="28"/>
                <w:szCs w:val="28"/>
                <w:highlight w:val="none"/>
              </w:rPr>
            </w:pPr>
            <w:r>
              <w:rPr>
                <w:rFonts w:hint="eastAsia" w:ascii="仿宋" w:hAnsi="仿宋" w:eastAsia="仿宋"/>
                <w:sz w:val="28"/>
                <w:szCs w:val="28"/>
                <w:highlight w:val="none"/>
              </w:rPr>
              <w:t>限售份额总量</w:t>
            </w:r>
          </w:p>
        </w:tc>
        <w:tc>
          <w:tcPr>
            <w:tcW w:w="2283" w:type="pct"/>
          </w:tcPr>
          <w:p>
            <w:pPr>
              <w:jc w:val="center"/>
              <w:rPr>
                <w:rFonts w:ascii="仿宋" w:hAnsi="仿宋" w:eastAsia="仿宋"/>
                <w:sz w:val="28"/>
                <w:szCs w:val="28"/>
                <w:highlight w:val="none"/>
              </w:rPr>
            </w:pPr>
            <w:r>
              <w:rPr>
                <w:rFonts w:hint="eastAsia" w:ascii="仿宋" w:hAnsi="仿宋" w:eastAsia="仿宋"/>
                <w:sz w:val="28"/>
                <w:szCs w:val="28"/>
                <w:highlight w:val="none"/>
              </w:rPr>
              <w:t>限售期（月）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tcPr>
          <w:p>
            <w:pPr>
              <w:jc w:val="center"/>
              <w:rPr>
                <w:rFonts w:ascii="仿宋" w:hAnsi="仿宋" w:eastAsia="仿宋"/>
                <w:sz w:val="28"/>
                <w:szCs w:val="28"/>
                <w:highlight w:val="none"/>
              </w:rPr>
            </w:pPr>
            <w:r>
              <w:rPr>
                <w:rFonts w:hint="eastAsia" w:ascii="仿宋" w:hAnsi="仿宋" w:eastAsia="仿宋"/>
                <w:sz w:val="28"/>
                <w:szCs w:val="28"/>
                <w:highlight w:val="none"/>
              </w:rPr>
              <w:t>1</w:t>
            </w:r>
          </w:p>
        </w:tc>
        <w:tc>
          <w:tcPr>
            <w:tcW w:w="1188" w:type="pct"/>
          </w:tcPr>
          <w:p>
            <w:pPr>
              <w:jc w:val="center"/>
              <w:rPr>
                <w:rFonts w:ascii="仿宋" w:hAnsi="仿宋" w:eastAsia="仿宋"/>
                <w:sz w:val="28"/>
                <w:szCs w:val="28"/>
                <w:highlight w:val="none"/>
              </w:rPr>
            </w:pPr>
          </w:p>
        </w:tc>
        <w:tc>
          <w:tcPr>
            <w:tcW w:w="1096" w:type="pct"/>
          </w:tcPr>
          <w:p>
            <w:pPr>
              <w:jc w:val="center"/>
              <w:rPr>
                <w:rFonts w:ascii="仿宋" w:hAnsi="仿宋" w:eastAsia="仿宋"/>
                <w:sz w:val="28"/>
                <w:szCs w:val="28"/>
                <w:highlight w:val="none"/>
              </w:rPr>
            </w:pPr>
          </w:p>
        </w:tc>
        <w:tc>
          <w:tcPr>
            <w:tcW w:w="2283" w:type="pct"/>
          </w:tcPr>
          <w:p>
            <w:pPr>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tcPr>
          <w:p>
            <w:pPr>
              <w:jc w:val="center"/>
              <w:rPr>
                <w:rFonts w:ascii="仿宋" w:hAnsi="仿宋" w:eastAsia="仿宋"/>
                <w:sz w:val="28"/>
                <w:szCs w:val="28"/>
                <w:highlight w:val="none"/>
              </w:rPr>
            </w:pPr>
            <w:r>
              <w:rPr>
                <w:rFonts w:hint="eastAsia" w:ascii="仿宋" w:hAnsi="仿宋" w:eastAsia="仿宋"/>
                <w:sz w:val="28"/>
                <w:szCs w:val="28"/>
                <w:highlight w:val="none"/>
              </w:rPr>
              <w:t>2</w:t>
            </w:r>
          </w:p>
        </w:tc>
        <w:tc>
          <w:tcPr>
            <w:tcW w:w="1188" w:type="pct"/>
          </w:tcPr>
          <w:p>
            <w:pPr>
              <w:jc w:val="center"/>
              <w:rPr>
                <w:rFonts w:ascii="仿宋" w:hAnsi="仿宋" w:eastAsia="仿宋"/>
                <w:sz w:val="28"/>
                <w:szCs w:val="28"/>
                <w:highlight w:val="none"/>
              </w:rPr>
            </w:pPr>
          </w:p>
        </w:tc>
        <w:tc>
          <w:tcPr>
            <w:tcW w:w="1096" w:type="pct"/>
          </w:tcPr>
          <w:p>
            <w:pPr>
              <w:jc w:val="center"/>
              <w:rPr>
                <w:rFonts w:ascii="仿宋" w:hAnsi="仿宋" w:eastAsia="仿宋"/>
                <w:sz w:val="28"/>
                <w:szCs w:val="28"/>
                <w:highlight w:val="none"/>
              </w:rPr>
            </w:pPr>
          </w:p>
        </w:tc>
        <w:tc>
          <w:tcPr>
            <w:tcW w:w="2283" w:type="pct"/>
          </w:tcPr>
          <w:p>
            <w:pPr>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tcPr>
          <w:p>
            <w:pPr>
              <w:jc w:val="center"/>
              <w:rPr>
                <w:rFonts w:ascii="仿宋" w:hAnsi="仿宋" w:eastAsia="仿宋"/>
                <w:sz w:val="28"/>
                <w:szCs w:val="28"/>
                <w:highlight w:val="none"/>
              </w:rPr>
            </w:pPr>
            <w:r>
              <w:rPr>
                <w:rFonts w:hint="eastAsia" w:ascii="仿宋" w:hAnsi="仿宋" w:eastAsia="仿宋"/>
                <w:sz w:val="28"/>
                <w:szCs w:val="28"/>
                <w:highlight w:val="none"/>
              </w:rPr>
              <w:t>3</w:t>
            </w:r>
          </w:p>
        </w:tc>
        <w:tc>
          <w:tcPr>
            <w:tcW w:w="1188" w:type="pct"/>
          </w:tcPr>
          <w:p>
            <w:pPr>
              <w:jc w:val="center"/>
              <w:rPr>
                <w:rFonts w:ascii="仿宋" w:hAnsi="仿宋" w:eastAsia="仿宋"/>
                <w:sz w:val="28"/>
                <w:szCs w:val="28"/>
                <w:highlight w:val="none"/>
              </w:rPr>
            </w:pPr>
          </w:p>
        </w:tc>
        <w:tc>
          <w:tcPr>
            <w:tcW w:w="1096" w:type="pct"/>
          </w:tcPr>
          <w:p>
            <w:pPr>
              <w:jc w:val="center"/>
              <w:rPr>
                <w:rFonts w:ascii="仿宋" w:hAnsi="仿宋" w:eastAsia="仿宋"/>
                <w:sz w:val="28"/>
                <w:szCs w:val="28"/>
                <w:highlight w:val="none"/>
              </w:rPr>
            </w:pPr>
          </w:p>
        </w:tc>
        <w:tc>
          <w:tcPr>
            <w:tcW w:w="2283" w:type="pct"/>
          </w:tcPr>
          <w:p>
            <w:pPr>
              <w:jc w:val="center"/>
              <w:rPr>
                <w:rFonts w:ascii="仿宋" w:hAnsi="仿宋" w:eastAsia="仿宋"/>
                <w:sz w:val="28"/>
                <w:szCs w:val="28"/>
                <w:highlight w:val="none"/>
              </w:rPr>
            </w:pPr>
          </w:p>
        </w:tc>
      </w:tr>
    </w:tbl>
    <w:p>
      <w:pPr>
        <w:tabs>
          <w:tab w:val="left" w:pos="992"/>
        </w:tabs>
        <w:spacing w:before="156" w:beforeLines="50" w:after="156" w:afterLines="50"/>
        <w:ind w:firstLine="560" w:firstLineChars="200"/>
        <w:rPr>
          <w:rFonts w:ascii="仿宋" w:hAnsi="仿宋" w:eastAsia="仿宋"/>
          <w:sz w:val="28"/>
          <w:szCs w:val="28"/>
          <w:highlight w:val="none"/>
        </w:rPr>
      </w:pPr>
      <w:r>
        <w:rPr>
          <w:rFonts w:hint="eastAsia" w:ascii="仿宋" w:hAnsi="仿宋" w:eastAsia="仿宋"/>
          <w:sz w:val="28"/>
          <w:szCs w:val="28"/>
          <w:highlight w:val="none"/>
        </w:rPr>
        <w:t>（2）场外份额锁定</w:t>
      </w:r>
    </w:p>
    <w:tbl>
      <w:tblPr>
        <w:tblStyle w:val="17"/>
        <w:tblW w:w="4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845"/>
        <w:gridCol w:w="1702"/>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tcPr>
          <w:p>
            <w:pPr>
              <w:jc w:val="center"/>
              <w:rPr>
                <w:rFonts w:ascii="仿宋" w:hAnsi="仿宋" w:eastAsia="仿宋"/>
                <w:sz w:val="28"/>
                <w:szCs w:val="28"/>
                <w:highlight w:val="none"/>
              </w:rPr>
            </w:pPr>
            <w:r>
              <w:rPr>
                <w:rFonts w:hint="eastAsia" w:ascii="仿宋" w:hAnsi="仿宋" w:eastAsia="仿宋"/>
                <w:sz w:val="28"/>
                <w:szCs w:val="28"/>
                <w:highlight w:val="none"/>
              </w:rPr>
              <w:t>序号</w:t>
            </w:r>
          </w:p>
        </w:tc>
        <w:tc>
          <w:tcPr>
            <w:tcW w:w="1188" w:type="pct"/>
          </w:tcPr>
          <w:p>
            <w:pPr>
              <w:jc w:val="center"/>
              <w:rPr>
                <w:rFonts w:ascii="仿宋" w:hAnsi="仿宋" w:eastAsia="仿宋"/>
                <w:sz w:val="28"/>
                <w:szCs w:val="28"/>
                <w:highlight w:val="none"/>
              </w:rPr>
            </w:pPr>
            <w:r>
              <w:rPr>
                <w:rFonts w:hint="eastAsia" w:ascii="仿宋" w:hAnsi="仿宋" w:eastAsia="仿宋"/>
                <w:sz w:val="28"/>
                <w:szCs w:val="28"/>
                <w:highlight w:val="none"/>
              </w:rPr>
              <w:t>账户名称</w:t>
            </w:r>
          </w:p>
        </w:tc>
        <w:tc>
          <w:tcPr>
            <w:tcW w:w="1096" w:type="pct"/>
          </w:tcPr>
          <w:p>
            <w:pPr>
              <w:jc w:val="center"/>
              <w:rPr>
                <w:rFonts w:ascii="仿宋" w:hAnsi="仿宋" w:eastAsia="仿宋"/>
                <w:sz w:val="28"/>
                <w:szCs w:val="28"/>
                <w:highlight w:val="none"/>
              </w:rPr>
            </w:pPr>
            <w:r>
              <w:rPr>
                <w:rFonts w:hint="eastAsia" w:ascii="仿宋" w:hAnsi="仿宋" w:eastAsia="仿宋"/>
                <w:sz w:val="28"/>
                <w:szCs w:val="28"/>
                <w:highlight w:val="none"/>
              </w:rPr>
              <w:t>锁定份额数量</w:t>
            </w:r>
          </w:p>
        </w:tc>
        <w:tc>
          <w:tcPr>
            <w:tcW w:w="2283" w:type="pct"/>
          </w:tcPr>
          <w:p>
            <w:pPr>
              <w:jc w:val="center"/>
              <w:rPr>
                <w:rFonts w:ascii="仿宋" w:hAnsi="仿宋" w:eastAsia="仿宋"/>
                <w:sz w:val="28"/>
                <w:szCs w:val="28"/>
                <w:highlight w:val="none"/>
              </w:rPr>
            </w:pPr>
            <w:r>
              <w:rPr>
                <w:rFonts w:hint="eastAsia" w:ascii="仿宋" w:hAnsi="仿宋" w:eastAsia="仿宋"/>
                <w:sz w:val="28"/>
                <w:szCs w:val="28"/>
                <w:highlight w:val="none"/>
              </w:rPr>
              <w:t>锁定期（月）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tcPr>
          <w:p>
            <w:pPr>
              <w:jc w:val="center"/>
              <w:rPr>
                <w:rFonts w:ascii="仿宋" w:hAnsi="仿宋" w:eastAsia="仿宋"/>
                <w:sz w:val="28"/>
                <w:szCs w:val="28"/>
                <w:highlight w:val="none"/>
              </w:rPr>
            </w:pPr>
            <w:r>
              <w:rPr>
                <w:rFonts w:hint="eastAsia" w:ascii="仿宋" w:hAnsi="仿宋" w:eastAsia="仿宋"/>
                <w:sz w:val="28"/>
                <w:szCs w:val="28"/>
                <w:highlight w:val="none"/>
              </w:rPr>
              <w:t>1</w:t>
            </w:r>
          </w:p>
        </w:tc>
        <w:tc>
          <w:tcPr>
            <w:tcW w:w="1188" w:type="pct"/>
          </w:tcPr>
          <w:p>
            <w:pPr>
              <w:jc w:val="center"/>
              <w:rPr>
                <w:rFonts w:ascii="仿宋" w:hAnsi="仿宋" w:eastAsia="仿宋"/>
                <w:sz w:val="28"/>
                <w:szCs w:val="28"/>
                <w:highlight w:val="none"/>
              </w:rPr>
            </w:pPr>
          </w:p>
        </w:tc>
        <w:tc>
          <w:tcPr>
            <w:tcW w:w="1096" w:type="pct"/>
          </w:tcPr>
          <w:p>
            <w:pPr>
              <w:jc w:val="center"/>
              <w:rPr>
                <w:rFonts w:ascii="仿宋" w:hAnsi="仿宋" w:eastAsia="仿宋"/>
                <w:sz w:val="28"/>
                <w:szCs w:val="28"/>
                <w:highlight w:val="none"/>
              </w:rPr>
            </w:pPr>
          </w:p>
        </w:tc>
        <w:tc>
          <w:tcPr>
            <w:tcW w:w="2283" w:type="pct"/>
          </w:tcPr>
          <w:p>
            <w:pPr>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tcPr>
          <w:p>
            <w:pPr>
              <w:jc w:val="center"/>
              <w:rPr>
                <w:rFonts w:ascii="仿宋" w:hAnsi="仿宋" w:eastAsia="仿宋"/>
                <w:sz w:val="28"/>
                <w:szCs w:val="28"/>
                <w:highlight w:val="none"/>
              </w:rPr>
            </w:pPr>
            <w:r>
              <w:rPr>
                <w:rFonts w:hint="eastAsia" w:ascii="仿宋" w:hAnsi="仿宋" w:eastAsia="仿宋"/>
                <w:sz w:val="28"/>
                <w:szCs w:val="28"/>
                <w:highlight w:val="none"/>
              </w:rPr>
              <w:t>2</w:t>
            </w:r>
          </w:p>
        </w:tc>
        <w:tc>
          <w:tcPr>
            <w:tcW w:w="1188" w:type="pct"/>
          </w:tcPr>
          <w:p>
            <w:pPr>
              <w:jc w:val="center"/>
              <w:rPr>
                <w:rFonts w:ascii="仿宋" w:hAnsi="仿宋" w:eastAsia="仿宋"/>
                <w:sz w:val="28"/>
                <w:szCs w:val="28"/>
                <w:highlight w:val="none"/>
              </w:rPr>
            </w:pPr>
          </w:p>
        </w:tc>
        <w:tc>
          <w:tcPr>
            <w:tcW w:w="1096" w:type="pct"/>
          </w:tcPr>
          <w:p>
            <w:pPr>
              <w:jc w:val="center"/>
              <w:rPr>
                <w:rFonts w:ascii="仿宋" w:hAnsi="仿宋" w:eastAsia="仿宋"/>
                <w:sz w:val="28"/>
                <w:szCs w:val="28"/>
                <w:highlight w:val="none"/>
              </w:rPr>
            </w:pPr>
          </w:p>
        </w:tc>
        <w:tc>
          <w:tcPr>
            <w:tcW w:w="2283" w:type="pct"/>
          </w:tcPr>
          <w:p>
            <w:pPr>
              <w:jc w:val="center"/>
              <w:rPr>
                <w:rFonts w:ascii="仿宋" w:hAnsi="仿宋" w:eastAsia="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4" w:type="pct"/>
          </w:tcPr>
          <w:p>
            <w:pPr>
              <w:jc w:val="center"/>
              <w:rPr>
                <w:rFonts w:ascii="仿宋" w:hAnsi="仿宋" w:eastAsia="仿宋"/>
                <w:sz w:val="28"/>
                <w:szCs w:val="28"/>
                <w:highlight w:val="none"/>
              </w:rPr>
            </w:pPr>
            <w:r>
              <w:rPr>
                <w:rFonts w:hint="eastAsia" w:ascii="仿宋" w:hAnsi="仿宋" w:eastAsia="仿宋"/>
                <w:sz w:val="28"/>
                <w:szCs w:val="28"/>
                <w:highlight w:val="none"/>
              </w:rPr>
              <w:t>3</w:t>
            </w:r>
          </w:p>
        </w:tc>
        <w:tc>
          <w:tcPr>
            <w:tcW w:w="1188" w:type="pct"/>
          </w:tcPr>
          <w:p>
            <w:pPr>
              <w:jc w:val="center"/>
              <w:rPr>
                <w:rFonts w:ascii="仿宋" w:hAnsi="仿宋" w:eastAsia="仿宋"/>
                <w:sz w:val="28"/>
                <w:szCs w:val="28"/>
                <w:highlight w:val="none"/>
              </w:rPr>
            </w:pPr>
          </w:p>
        </w:tc>
        <w:tc>
          <w:tcPr>
            <w:tcW w:w="1096" w:type="pct"/>
          </w:tcPr>
          <w:p>
            <w:pPr>
              <w:jc w:val="center"/>
              <w:rPr>
                <w:rFonts w:ascii="仿宋" w:hAnsi="仿宋" w:eastAsia="仿宋"/>
                <w:sz w:val="28"/>
                <w:szCs w:val="28"/>
                <w:highlight w:val="none"/>
              </w:rPr>
            </w:pPr>
          </w:p>
        </w:tc>
        <w:tc>
          <w:tcPr>
            <w:tcW w:w="2283" w:type="pct"/>
          </w:tcPr>
          <w:p>
            <w:pPr>
              <w:jc w:val="center"/>
              <w:rPr>
                <w:rFonts w:ascii="仿宋" w:hAnsi="仿宋" w:eastAsia="仿宋"/>
                <w:sz w:val="28"/>
                <w:szCs w:val="28"/>
                <w:highlight w:val="none"/>
              </w:rPr>
            </w:pPr>
          </w:p>
        </w:tc>
      </w:tr>
    </w:tbl>
    <w:p>
      <w:pPr>
        <w:widowControl/>
        <w:jc w:val="left"/>
        <w:rPr>
          <w:rStyle w:val="26"/>
          <w:b w:val="0"/>
          <w:bCs w:val="0"/>
          <w:sz w:val="28"/>
          <w:szCs w:val="28"/>
          <w:highlight w:val="none"/>
        </w:rPr>
      </w:pPr>
    </w:p>
    <w:p>
      <w:pPr>
        <w:widowControl/>
        <w:jc w:val="left"/>
        <w:rPr>
          <w:rFonts w:ascii="黑体" w:hAnsi="黑体" w:eastAsia="黑体" w:cs="Times New Roman"/>
          <w:sz w:val="28"/>
          <w:szCs w:val="28"/>
          <w:highlight w:val="none"/>
        </w:rPr>
      </w:pPr>
      <w:r>
        <w:rPr>
          <w:rFonts w:ascii="黑体" w:hAnsi="黑体" w:eastAsia="黑体"/>
          <w:b/>
          <w:bCs/>
          <w:sz w:val="28"/>
          <w:szCs w:val="28"/>
          <w:highlight w:val="none"/>
        </w:rPr>
        <w:br w:type="page"/>
      </w:r>
    </w:p>
    <w:p>
      <w:pPr>
        <w:pStyle w:val="3"/>
        <w:keepNext w:val="0"/>
        <w:keepLines w:val="0"/>
        <w:adjustRightInd w:val="0"/>
        <w:snapToGrid w:val="0"/>
        <w:spacing w:before="0" w:after="0" w:line="240" w:lineRule="auto"/>
        <w:outlineLvl w:val="1"/>
        <w:rPr>
          <w:rFonts w:hint="eastAsia" w:ascii="黑体" w:hAnsi="黑体" w:eastAsia="黑体"/>
          <w:b w:val="0"/>
          <w:bCs w:val="0"/>
          <w:highlight w:val="none"/>
          <w:lang w:eastAsia="zh-CN"/>
        </w:rPr>
      </w:pPr>
      <w:bookmarkStart w:id="300" w:name="_Toc11733"/>
      <w:bookmarkStart w:id="301" w:name="_Toc25325"/>
      <w:bookmarkStart w:id="302" w:name="_Toc23969"/>
      <w:bookmarkStart w:id="303" w:name="_Toc20664"/>
      <w:bookmarkStart w:id="304" w:name="_Toc22243"/>
      <w:bookmarkStart w:id="305" w:name="_Toc19789"/>
      <w:bookmarkStart w:id="306" w:name="_Toc146725940"/>
      <w:r>
        <w:rPr>
          <w:rFonts w:hint="eastAsia" w:ascii="黑体" w:hAnsi="黑体" w:eastAsia="黑体"/>
          <w:b w:val="0"/>
          <w:bCs w:val="0"/>
          <w:highlight w:val="none"/>
        </w:rPr>
        <w:t>附件</w:t>
      </w:r>
      <w:r>
        <w:rPr>
          <w:rFonts w:hint="eastAsia" w:ascii="黑体" w:hAnsi="黑体" w:eastAsia="黑体"/>
          <w:b w:val="0"/>
          <w:bCs w:val="0"/>
          <w:highlight w:val="none"/>
          <w:lang w:val="en-US" w:eastAsia="zh-CN"/>
        </w:rPr>
        <w:t>8</w:t>
      </w:r>
      <w:bookmarkEnd w:id="300"/>
    </w:p>
    <w:p>
      <w:pPr>
        <w:outlineLvl w:val="9"/>
        <w:rPr>
          <w:rFonts w:hint="eastAsia" w:ascii="黑体" w:hAnsi="黑体" w:eastAsia="黑体"/>
          <w:b w:val="0"/>
          <w:bCs w:val="0"/>
          <w:highlight w:val="none"/>
        </w:rPr>
      </w:pPr>
    </w:p>
    <w:p>
      <w:pPr>
        <w:keepNext w:val="0"/>
        <w:keepLines w:val="0"/>
        <w:adjustRightInd w:val="0"/>
        <w:snapToGrid w:val="0"/>
        <w:spacing w:before="0" w:after="0" w:line="240" w:lineRule="auto"/>
        <w:jc w:val="center"/>
        <w:outlineLvl w:val="9"/>
        <w:rPr>
          <w:rFonts w:hint="eastAsia" w:ascii="Times New Roman" w:hAnsi="Times New Roman" w:eastAsia="方正小标宋简体"/>
          <w:b w:val="0"/>
          <w:bCs/>
          <w:sz w:val="44"/>
          <w:szCs w:val="44"/>
          <w:highlight w:val="none"/>
        </w:rPr>
      </w:pPr>
      <w:r>
        <w:rPr>
          <w:rFonts w:hint="eastAsia" w:ascii="Times New Roman" w:hAnsi="Times New Roman" w:eastAsia="方正小标宋简体"/>
          <w:b w:val="0"/>
          <w:bCs/>
          <w:sz w:val="44"/>
          <w:szCs w:val="44"/>
          <w:highlight w:val="none"/>
          <w:lang w:eastAsia="zh-CN"/>
        </w:rPr>
        <w:t>不动产基金</w:t>
      </w:r>
      <w:r>
        <w:rPr>
          <w:rFonts w:hint="eastAsia" w:ascii="Times New Roman" w:hAnsi="Times New Roman" w:eastAsia="方正小标宋简体"/>
          <w:b w:val="0"/>
          <w:bCs/>
          <w:sz w:val="44"/>
          <w:szCs w:val="44"/>
          <w:highlight w:val="none"/>
        </w:rPr>
        <w:t>新增场内份额限售申请</w:t>
      </w:r>
      <w:bookmarkEnd w:id="301"/>
      <w:bookmarkEnd w:id="302"/>
      <w:bookmarkEnd w:id="303"/>
      <w:bookmarkEnd w:id="304"/>
      <w:bookmarkEnd w:id="305"/>
      <w:bookmarkEnd w:id="306"/>
    </w:p>
    <w:p>
      <w:pPr>
        <w:rPr>
          <w:rFonts w:ascii="仿宋" w:hAnsi="仿宋" w:eastAsia="仿宋" w:cs="Times New Roman"/>
          <w:color w:val="000000" w:themeColor="text1"/>
          <w:szCs w:val="24"/>
          <w:highlight w:val="none"/>
          <w14:textFill>
            <w14:solidFill>
              <w14:schemeClr w14:val="tx1"/>
            </w14:solidFill>
          </w14:textFill>
        </w:rPr>
      </w:pPr>
    </w:p>
    <w:p>
      <w:pPr>
        <w:spacing w:line="360" w:lineRule="auto"/>
        <w:rPr>
          <w:rFonts w:ascii="仿宋" w:hAnsi="仿宋" w:eastAsia="仿宋" w:cs="Times New Roman"/>
          <w:b/>
          <w:color w:val="000000" w:themeColor="text1"/>
          <w:sz w:val="28"/>
          <w:szCs w:val="28"/>
          <w:highlight w:val="none"/>
          <w14:textFill>
            <w14:solidFill>
              <w14:schemeClr w14:val="tx1"/>
            </w14:solidFill>
          </w14:textFill>
        </w:rPr>
      </w:pPr>
      <w:r>
        <w:rPr>
          <w:rFonts w:hint="eastAsia" w:ascii="仿宋" w:hAnsi="仿宋" w:eastAsia="仿宋" w:cs="Times New Roman"/>
          <w:b/>
          <w:color w:val="000000" w:themeColor="text1"/>
          <w:sz w:val="28"/>
          <w:szCs w:val="28"/>
          <w:highlight w:val="none"/>
          <w14:textFill>
            <w14:solidFill>
              <w14:schemeClr w14:val="tx1"/>
            </w14:solidFill>
          </w14:textFill>
        </w:rPr>
        <w:t>深圳证券交易所：</w:t>
      </w:r>
    </w:p>
    <w:p>
      <w:pPr>
        <w:spacing w:line="360" w:lineRule="atLeast"/>
        <w:ind w:firstLine="560" w:firstLineChars="200"/>
        <w:rPr>
          <w:rFonts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根据《公开募集基础设施证券投资基金指引（试行）》</w:t>
      </w:r>
      <w:r>
        <w:rPr>
          <w:rFonts w:hint="eastAsia" w:ascii="仿宋" w:hAnsi="仿宋" w:eastAsia="仿宋" w:cs="Times New Roman"/>
          <w:color w:val="000000" w:themeColor="text1"/>
          <w:sz w:val="28"/>
          <w:szCs w:val="28"/>
          <w:highlight w:val="none"/>
          <w:lang w:eastAsia="zh-CN"/>
          <w14:textFill>
            <w14:solidFill>
              <w14:schemeClr w14:val="tx1"/>
            </w14:solidFill>
          </w14:textFill>
        </w:rPr>
        <w:t>《中国证监会关于推出商业不动产投资信托基金试点的公告》</w:t>
      </w:r>
      <w:r>
        <w:rPr>
          <w:rFonts w:hint="eastAsia" w:ascii="仿宋" w:hAnsi="仿宋" w:eastAsia="仿宋" w:cs="Times New Roman"/>
          <w:color w:val="000000" w:themeColor="text1"/>
          <w:sz w:val="28"/>
          <w:szCs w:val="28"/>
          <w:highlight w:val="none"/>
          <w14:textFill>
            <w14:solidFill>
              <w14:schemeClr w14:val="tx1"/>
            </w14:solidFill>
          </w14:textFill>
        </w:rPr>
        <w:t>《深圳证券交易所公开募集不动产投资信托基金业务指引第3号——扩募及新购入不动产（试行）》要求，</w:t>
      </w:r>
      <w:r>
        <w:rPr>
          <w:rFonts w:hint="eastAsia" w:ascii="仿宋" w:hAnsi="仿宋" w:eastAsia="仿宋" w:cs="Times New Roman"/>
          <w:color w:val="000000" w:themeColor="text1"/>
          <w:sz w:val="28"/>
          <w:szCs w:val="28"/>
          <w:highlight w:val="none"/>
          <w:lang w:eastAsia="zh-CN"/>
          <w14:textFill>
            <w14:solidFill>
              <w14:schemeClr w14:val="tx1"/>
            </w14:solidFill>
          </w14:textFill>
        </w:rPr>
        <w:t>不动产基金</w:t>
      </w:r>
      <w:r>
        <w:rPr>
          <w:rFonts w:hint="eastAsia" w:ascii="仿宋" w:hAnsi="仿宋" w:eastAsia="仿宋" w:cs="Times New Roman"/>
          <w:color w:val="000000" w:themeColor="text1"/>
          <w:sz w:val="28"/>
          <w:szCs w:val="28"/>
          <w:highlight w:val="none"/>
          <w14:textFill>
            <w14:solidFill>
              <w14:schemeClr w14:val="tx1"/>
            </w14:solidFill>
          </w14:textFill>
        </w:rPr>
        <w:t>定向扩募新增份额存在限售期。现申请对XX基金（证券代码：     证券简称：    ）部分场内份额进行限售，限售信息详见附件《证券登记申报明细清单》。</w:t>
      </w:r>
    </w:p>
    <w:p>
      <w:pPr>
        <w:spacing w:line="360" w:lineRule="atLeast"/>
        <w:ind w:firstLine="560" w:firstLineChars="200"/>
        <w:jc w:val="left"/>
        <w:rPr>
          <w:rFonts w:ascii="仿宋" w:hAnsi="仿宋" w:eastAsia="仿宋" w:cs="Times New Roman"/>
          <w:color w:val="000000" w:themeColor="text1"/>
          <w:sz w:val="28"/>
          <w:szCs w:val="28"/>
          <w:highlight w:val="none"/>
          <w14:textFill>
            <w14:solidFill>
              <w14:schemeClr w14:val="tx1"/>
            </w14:solidFill>
          </w14:textFill>
        </w:rPr>
      </w:pPr>
    </w:p>
    <w:p>
      <w:pPr>
        <w:wordWrap w:val="0"/>
        <w:spacing w:line="360" w:lineRule="atLeast"/>
        <w:ind w:firstLine="560" w:firstLineChars="200"/>
        <w:jc w:val="right"/>
        <w:rPr>
          <w:rFonts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 xml:space="preserve">XX基金公司 </w:t>
      </w:r>
    </w:p>
    <w:p>
      <w:pPr>
        <w:wordWrap w:val="0"/>
        <w:spacing w:line="360" w:lineRule="atLeast"/>
        <w:ind w:firstLine="560" w:firstLineChars="200"/>
        <w:jc w:val="right"/>
        <w:rPr>
          <w:rFonts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 xml:space="preserve">   年  月  日</w:t>
      </w:r>
    </w:p>
    <w:p>
      <w:pPr>
        <w:widowControl/>
        <w:jc w:val="left"/>
        <w:rPr>
          <w:rFonts w:ascii="仿宋" w:hAnsi="仿宋" w:eastAsia="仿宋" w:cs="Times New Roman"/>
          <w:color w:val="000000" w:themeColor="text1"/>
          <w:sz w:val="26"/>
          <w:szCs w:val="26"/>
          <w:highlight w:val="none"/>
          <w14:textFill>
            <w14:solidFill>
              <w14:schemeClr w14:val="tx1"/>
            </w14:solidFill>
          </w14:textFill>
        </w:rPr>
      </w:pPr>
      <w:r>
        <w:rPr>
          <w:rFonts w:ascii="仿宋" w:hAnsi="仿宋" w:eastAsia="仿宋" w:cs="Times New Roman"/>
          <w:color w:val="000000" w:themeColor="text1"/>
          <w:sz w:val="26"/>
          <w:szCs w:val="26"/>
          <w:highlight w:val="none"/>
          <w14:textFill>
            <w14:solidFill>
              <w14:schemeClr w14:val="tx1"/>
            </w14:solidFill>
          </w14:textFill>
        </w:rPr>
        <w:br w:type="page"/>
      </w:r>
    </w:p>
    <w:p>
      <w:pPr>
        <w:pStyle w:val="3"/>
        <w:keepNext w:val="0"/>
        <w:keepLines w:val="0"/>
        <w:adjustRightInd w:val="0"/>
        <w:snapToGrid w:val="0"/>
        <w:spacing w:before="0" w:after="0" w:line="240" w:lineRule="auto"/>
        <w:outlineLvl w:val="1"/>
        <w:rPr>
          <w:rFonts w:hint="eastAsia" w:ascii="黑体" w:hAnsi="黑体" w:eastAsia="黑体"/>
          <w:b w:val="0"/>
          <w:bCs w:val="0"/>
          <w:highlight w:val="none"/>
          <w:lang w:eastAsia="zh-CN"/>
        </w:rPr>
      </w:pPr>
      <w:bookmarkStart w:id="307" w:name="_Toc22920"/>
      <w:bookmarkStart w:id="308" w:name="_Toc19110"/>
      <w:bookmarkStart w:id="309" w:name="_Toc21018"/>
      <w:bookmarkStart w:id="310" w:name="_Toc9912"/>
      <w:bookmarkStart w:id="311" w:name="_Toc146725941"/>
      <w:bookmarkStart w:id="312" w:name="_Toc18612"/>
      <w:bookmarkStart w:id="313" w:name="_Toc17979"/>
      <w:r>
        <w:rPr>
          <w:rFonts w:hint="eastAsia" w:ascii="黑体" w:hAnsi="黑体" w:eastAsia="黑体"/>
          <w:b w:val="0"/>
          <w:bCs w:val="0"/>
          <w:highlight w:val="none"/>
        </w:rPr>
        <w:t>附件</w:t>
      </w:r>
      <w:r>
        <w:rPr>
          <w:rFonts w:hint="eastAsia" w:ascii="黑体" w:hAnsi="黑体" w:eastAsia="黑体"/>
          <w:b w:val="0"/>
          <w:bCs w:val="0"/>
          <w:highlight w:val="none"/>
          <w:lang w:val="en-US" w:eastAsia="zh-CN"/>
        </w:rPr>
        <w:t>9</w:t>
      </w:r>
      <w:bookmarkEnd w:id="307"/>
    </w:p>
    <w:p>
      <w:pPr>
        <w:outlineLvl w:val="9"/>
        <w:rPr>
          <w:rFonts w:hint="eastAsia" w:ascii="黑体" w:hAnsi="黑体" w:eastAsia="黑体"/>
          <w:b w:val="0"/>
          <w:bCs w:val="0"/>
          <w:highlight w:val="none"/>
        </w:rPr>
      </w:pPr>
    </w:p>
    <w:p>
      <w:pPr>
        <w:keepNext w:val="0"/>
        <w:keepLines w:val="0"/>
        <w:adjustRightInd w:val="0"/>
        <w:snapToGrid w:val="0"/>
        <w:spacing w:before="0" w:after="0" w:line="240" w:lineRule="auto"/>
        <w:jc w:val="center"/>
        <w:outlineLvl w:val="9"/>
        <w:rPr>
          <w:rFonts w:hint="eastAsia" w:ascii="Times New Roman" w:hAnsi="Times New Roman" w:eastAsia="方正小标宋简体"/>
          <w:b w:val="0"/>
          <w:bCs/>
          <w:sz w:val="44"/>
          <w:szCs w:val="44"/>
          <w:highlight w:val="none"/>
        </w:rPr>
      </w:pPr>
      <w:r>
        <w:rPr>
          <w:rFonts w:hint="eastAsia" w:ascii="Times New Roman" w:hAnsi="Times New Roman" w:eastAsia="方正小标宋简体"/>
          <w:b w:val="0"/>
          <w:bCs/>
          <w:sz w:val="44"/>
          <w:szCs w:val="44"/>
          <w:highlight w:val="none"/>
          <w:lang w:eastAsia="zh-CN"/>
        </w:rPr>
        <w:t>不动产基金</w:t>
      </w:r>
      <w:r>
        <w:rPr>
          <w:rFonts w:hint="eastAsia" w:ascii="Times New Roman" w:hAnsi="Times New Roman" w:eastAsia="方正小标宋简体"/>
          <w:b w:val="0"/>
          <w:bCs/>
          <w:sz w:val="44"/>
          <w:szCs w:val="44"/>
          <w:highlight w:val="none"/>
        </w:rPr>
        <w:t>新增场外份额锁定申请表</w:t>
      </w:r>
      <w:bookmarkEnd w:id="308"/>
      <w:bookmarkEnd w:id="309"/>
      <w:bookmarkEnd w:id="310"/>
      <w:bookmarkEnd w:id="311"/>
      <w:bookmarkEnd w:id="312"/>
      <w:bookmarkEnd w:id="313"/>
    </w:p>
    <w:p>
      <w:pPr>
        <w:widowControl/>
        <w:adjustRightInd w:val="0"/>
        <w:snapToGrid w:val="0"/>
        <w:spacing w:after="200"/>
        <w:rPr>
          <w:rFonts w:ascii="仿宋" w:hAnsi="仿宋" w:eastAsia="仿宋" w:cs="Times New Roman"/>
          <w:b/>
          <w:color w:val="000000"/>
          <w:sz w:val="28"/>
          <w:szCs w:val="28"/>
          <w:highlight w:val="none"/>
        </w:rPr>
      </w:pPr>
    </w:p>
    <w:tbl>
      <w:tblPr>
        <w:tblStyle w:val="17"/>
        <w:tblW w:w="11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37"/>
        <w:gridCol w:w="709"/>
        <w:gridCol w:w="876"/>
        <w:gridCol w:w="558"/>
        <w:gridCol w:w="1038"/>
        <w:gridCol w:w="1063"/>
        <w:gridCol w:w="943"/>
        <w:gridCol w:w="563"/>
        <w:gridCol w:w="1053"/>
        <w:gridCol w:w="702"/>
        <w:gridCol w:w="782"/>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637" w:type="dxa"/>
            <w:tcBorders>
              <w:top w:val="double" w:color="auto" w:sz="4" w:space="0"/>
              <w:left w:val="single" w:color="auto" w:sz="4" w:space="0"/>
              <w:bottom w:val="single" w:color="auto" w:sz="4" w:space="0"/>
              <w:right w:val="single" w:color="auto" w:sz="4" w:space="0"/>
            </w:tcBorders>
            <w:shd w:val="solid" w:color="C0C0C0" w:fill="auto"/>
            <w:vAlign w:val="center"/>
          </w:tcPr>
          <w:p>
            <w:pPr>
              <w:widowControl/>
              <w:autoSpaceDE w:val="0"/>
              <w:autoSpaceDN w:val="0"/>
              <w:adjustRightInd w:val="0"/>
              <w:snapToGrid w:val="0"/>
              <w:spacing w:after="200"/>
              <w:jc w:val="center"/>
              <w:rPr>
                <w:rFonts w:ascii="仿宋_GB2312" w:hAnsi="Tahoma" w:eastAsia="仿宋_GB2312" w:cs="Times New Roman"/>
                <w:b/>
                <w:kern w:val="0"/>
                <w:sz w:val="28"/>
                <w:szCs w:val="28"/>
                <w:highlight w:val="none"/>
              </w:rPr>
            </w:pPr>
            <w:r>
              <w:rPr>
                <w:rFonts w:hint="eastAsia" w:ascii="仿宋_GB2312" w:hAnsi="Tahoma" w:eastAsia="仿宋_GB2312" w:cs="Times New Roman"/>
                <w:b/>
                <w:kern w:val="0"/>
                <w:sz w:val="28"/>
                <w:szCs w:val="28"/>
                <w:highlight w:val="none"/>
              </w:rPr>
              <w:t>序号</w:t>
            </w:r>
          </w:p>
        </w:tc>
        <w:tc>
          <w:tcPr>
            <w:tcW w:w="709" w:type="dxa"/>
            <w:tcBorders>
              <w:top w:val="double" w:color="auto" w:sz="4" w:space="0"/>
              <w:left w:val="single" w:color="auto" w:sz="4" w:space="0"/>
              <w:bottom w:val="single" w:color="auto" w:sz="4" w:space="0"/>
              <w:right w:val="single" w:color="auto" w:sz="4" w:space="0"/>
            </w:tcBorders>
            <w:shd w:val="solid" w:color="C0C0C0" w:fill="auto"/>
            <w:vAlign w:val="center"/>
          </w:tcPr>
          <w:p>
            <w:pPr>
              <w:widowControl/>
              <w:autoSpaceDE w:val="0"/>
              <w:autoSpaceDN w:val="0"/>
              <w:adjustRightInd w:val="0"/>
              <w:snapToGrid w:val="0"/>
              <w:spacing w:after="200"/>
              <w:jc w:val="center"/>
              <w:rPr>
                <w:rFonts w:ascii="仿宋_GB2312" w:hAnsi="Tahoma" w:eastAsia="仿宋_GB2312" w:cs="Times New Roman"/>
                <w:b/>
                <w:kern w:val="0"/>
                <w:sz w:val="28"/>
                <w:szCs w:val="28"/>
                <w:highlight w:val="none"/>
              </w:rPr>
            </w:pPr>
            <w:r>
              <w:rPr>
                <w:rFonts w:hint="eastAsia" w:ascii="仿宋_GB2312" w:hAnsi="Tahoma" w:eastAsia="仿宋_GB2312" w:cs="Times New Roman"/>
                <w:b/>
                <w:kern w:val="0"/>
                <w:sz w:val="28"/>
                <w:szCs w:val="28"/>
                <w:highlight w:val="none"/>
              </w:rPr>
              <w:t>基金代码</w:t>
            </w:r>
          </w:p>
        </w:tc>
        <w:tc>
          <w:tcPr>
            <w:tcW w:w="876" w:type="dxa"/>
            <w:tcBorders>
              <w:top w:val="double" w:color="auto" w:sz="4" w:space="0"/>
              <w:left w:val="single" w:color="auto" w:sz="4" w:space="0"/>
              <w:bottom w:val="single" w:color="auto" w:sz="4" w:space="0"/>
              <w:right w:val="single" w:color="auto" w:sz="4" w:space="0"/>
            </w:tcBorders>
            <w:shd w:val="solid" w:color="C0C0C0" w:fill="auto"/>
            <w:vAlign w:val="center"/>
          </w:tcPr>
          <w:p>
            <w:pPr>
              <w:widowControl/>
              <w:autoSpaceDE w:val="0"/>
              <w:autoSpaceDN w:val="0"/>
              <w:adjustRightInd w:val="0"/>
              <w:snapToGrid w:val="0"/>
              <w:spacing w:after="200"/>
              <w:jc w:val="center"/>
              <w:rPr>
                <w:rFonts w:ascii="仿宋_GB2312" w:hAnsi="Tahoma" w:eastAsia="仿宋_GB2312" w:cs="Times New Roman"/>
                <w:b/>
                <w:kern w:val="0"/>
                <w:sz w:val="28"/>
                <w:szCs w:val="28"/>
                <w:highlight w:val="none"/>
              </w:rPr>
            </w:pPr>
            <w:r>
              <w:rPr>
                <w:rFonts w:hint="eastAsia" w:ascii="仿宋_GB2312" w:hAnsi="Tahoma" w:eastAsia="仿宋_GB2312" w:cs="Times New Roman"/>
                <w:b/>
                <w:kern w:val="0"/>
                <w:sz w:val="28"/>
                <w:szCs w:val="28"/>
                <w:highlight w:val="none"/>
              </w:rPr>
              <w:t>代理人代码</w:t>
            </w:r>
          </w:p>
        </w:tc>
        <w:tc>
          <w:tcPr>
            <w:tcW w:w="558" w:type="dxa"/>
            <w:tcBorders>
              <w:top w:val="double" w:color="auto" w:sz="4" w:space="0"/>
              <w:left w:val="single" w:color="auto" w:sz="4" w:space="0"/>
              <w:bottom w:val="single" w:color="auto" w:sz="4" w:space="0"/>
              <w:right w:val="single" w:color="auto" w:sz="4" w:space="0"/>
            </w:tcBorders>
            <w:shd w:val="solid" w:color="C0C0C0" w:fill="auto"/>
            <w:vAlign w:val="center"/>
          </w:tcPr>
          <w:p>
            <w:pPr>
              <w:widowControl/>
              <w:autoSpaceDE w:val="0"/>
              <w:autoSpaceDN w:val="0"/>
              <w:adjustRightInd w:val="0"/>
              <w:snapToGrid w:val="0"/>
              <w:spacing w:after="200"/>
              <w:jc w:val="center"/>
              <w:rPr>
                <w:rFonts w:ascii="仿宋_GB2312" w:hAnsi="Tahoma" w:eastAsia="仿宋_GB2312" w:cs="Times New Roman"/>
                <w:b/>
                <w:kern w:val="0"/>
                <w:sz w:val="28"/>
                <w:szCs w:val="28"/>
                <w:highlight w:val="none"/>
              </w:rPr>
            </w:pPr>
            <w:r>
              <w:rPr>
                <w:rFonts w:hint="eastAsia" w:ascii="仿宋_GB2312" w:hAnsi="Tahoma" w:eastAsia="仿宋_GB2312" w:cs="Times New Roman"/>
                <w:b/>
                <w:kern w:val="0"/>
                <w:sz w:val="28"/>
                <w:szCs w:val="28"/>
                <w:highlight w:val="none"/>
              </w:rPr>
              <w:t>份额类别</w:t>
            </w:r>
          </w:p>
        </w:tc>
        <w:tc>
          <w:tcPr>
            <w:tcW w:w="1038" w:type="dxa"/>
            <w:tcBorders>
              <w:top w:val="double" w:color="auto" w:sz="4" w:space="0"/>
              <w:left w:val="single" w:color="auto" w:sz="4" w:space="0"/>
              <w:bottom w:val="single" w:color="auto" w:sz="4" w:space="0"/>
              <w:right w:val="single" w:color="auto" w:sz="4" w:space="0"/>
            </w:tcBorders>
            <w:shd w:val="solid" w:color="C0C0C0" w:fill="auto"/>
            <w:vAlign w:val="center"/>
          </w:tcPr>
          <w:p>
            <w:pPr>
              <w:widowControl/>
              <w:autoSpaceDE w:val="0"/>
              <w:autoSpaceDN w:val="0"/>
              <w:adjustRightInd w:val="0"/>
              <w:snapToGrid w:val="0"/>
              <w:spacing w:after="200"/>
              <w:jc w:val="center"/>
              <w:rPr>
                <w:rFonts w:ascii="仿宋_GB2312" w:hAnsi="Tahoma" w:eastAsia="仿宋_GB2312" w:cs="Times New Roman"/>
                <w:b/>
                <w:kern w:val="0"/>
                <w:sz w:val="28"/>
                <w:szCs w:val="28"/>
                <w:highlight w:val="none"/>
              </w:rPr>
            </w:pPr>
            <w:r>
              <w:rPr>
                <w:rFonts w:hint="eastAsia" w:ascii="仿宋_GB2312" w:hAnsi="Tahoma" w:eastAsia="仿宋_GB2312" w:cs="Times New Roman"/>
                <w:b/>
                <w:kern w:val="0"/>
                <w:sz w:val="28"/>
                <w:szCs w:val="28"/>
                <w:highlight w:val="none"/>
              </w:rPr>
              <w:t>基金账户</w:t>
            </w:r>
          </w:p>
        </w:tc>
        <w:tc>
          <w:tcPr>
            <w:tcW w:w="1063" w:type="dxa"/>
            <w:tcBorders>
              <w:top w:val="double" w:color="auto" w:sz="4" w:space="0"/>
              <w:left w:val="single" w:color="auto" w:sz="4" w:space="0"/>
              <w:bottom w:val="single" w:color="auto" w:sz="4" w:space="0"/>
              <w:right w:val="single" w:color="auto" w:sz="4" w:space="0"/>
            </w:tcBorders>
            <w:shd w:val="solid" w:color="C0C0C0" w:fill="auto"/>
            <w:vAlign w:val="center"/>
          </w:tcPr>
          <w:p>
            <w:pPr>
              <w:widowControl/>
              <w:autoSpaceDE w:val="0"/>
              <w:autoSpaceDN w:val="0"/>
              <w:adjustRightInd w:val="0"/>
              <w:snapToGrid w:val="0"/>
              <w:spacing w:after="200"/>
              <w:jc w:val="center"/>
              <w:rPr>
                <w:rFonts w:ascii="仿宋_GB2312" w:hAnsi="Tahoma" w:eastAsia="仿宋_GB2312" w:cs="Times New Roman"/>
                <w:b/>
                <w:kern w:val="0"/>
                <w:sz w:val="28"/>
                <w:szCs w:val="28"/>
                <w:highlight w:val="none"/>
              </w:rPr>
            </w:pPr>
            <w:r>
              <w:rPr>
                <w:rFonts w:hint="eastAsia" w:ascii="仿宋_GB2312" w:hAnsi="Tahoma" w:eastAsia="仿宋_GB2312" w:cs="Times New Roman"/>
                <w:b/>
                <w:kern w:val="0"/>
                <w:sz w:val="28"/>
                <w:szCs w:val="28"/>
                <w:highlight w:val="none"/>
              </w:rPr>
              <w:t>交易账户</w:t>
            </w:r>
          </w:p>
        </w:tc>
        <w:tc>
          <w:tcPr>
            <w:tcW w:w="943" w:type="dxa"/>
            <w:tcBorders>
              <w:top w:val="double" w:color="auto" w:sz="4" w:space="0"/>
              <w:left w:val="single" w:color="auto" w:sz="4" w:space="0"/>
              <w:bottom w:val="single" w:color="auto" w:sz="4" w:space="0"/>
              <w:right w:val="single" w:color="auto" w:sz="4" w:space="0"/>
            </w:tcBorders>
            <w:shd w:val="solid" w:color="C0C0C0" w:fill="auto"/>
            <w:vAlign w:val="center"/>
          </w:tcPr>
          <w:p>
            <w:pPr>
              <w:widowControl/>
              <w:autoSpaceDE w:val="0"/>
              <w:autoSpaceDN w:val="0"/>
              <w:adjustRightInd w:val="0"/>
              <w:snapToGrid w:val="0"/>
              <w:spacing w:after="200"/>
              <w:jc w:val="center"/>
              <w:rPr>
                <w:rFonts w:ascii="仿宋_GB2312" w:hAnsi="Tahoma" w:eastAsia="仿宋_GB2312" w:cs="Times New Roman"/>
                <w:b/>
                <w:kern w:val="0"/>
                <w:sz w:val="28"/>
                <w:szCs w:val="28"/>
                <w:highlight w:val="none"/>
              </w:rPr>
            </w:pPr>
            <w:r>
              <w:rPr>
                <w:rFonts w:hint="eastAsia" w:ascii="仿宋_GB2312" w:hAnsi="Tahoma" w:eastAsia="仿宋_GB2312" w:cs="Times New Roman"/>
                <w:b/>
                <w:kern w:val="0"/>
                <w:sz w:val="28"/>
                <w:szCs w:val="28"/>
                <w:highlight w:val="none"/>
              </w:rPr>
              <w:t>投资人名称</w:t>
            </w:r>
          </w:p>
        </w:tc>
        <w:tc>
          <w:tcPr>
            <w:tcW w:w="563" w:type="dxa"/>
            <w:tcBorders>
              <w:top w:val="double" w:color="auto" w:sz="4" w:space="0"/>
              <w:left w:val="single" w:color="auto" w:sz="4" w:space="0"/>
              <w:bottom w:val="single" w:color="auto" w:sz="4" w:space="0"/>
              <w:right w:val="single" w:color="auto" w:sz="4" w:space="0"/>
            </w:tcBorders>
            <w:shd w:val="solid" w:color="C0C0C0" w:fill="auto"/>
            <w:vAlign w:val="center"/>
          </w:tcPr>
          <w:p>
            <w:pPr>
              <w:widowControl/>
              <w:autoSpaceDE w:val="0"/>
              <w:autoSpaceDN w:val="0"/>
              <w:adjustRightInd w:val="0"/>
              <w:snapToGrid w:val="0"/>
              <w:spacing w:after="200"/>
              <w:jc w:val="center"/>
              <w:rPr>
                <w:rFonts w:ascii="仿宋_GB2312" w:hAnsi="Tahoma" w:eastAsia="仿宋_GB2312" w:cs="Times New Roman"/>
                <w:b/>
                <w:kern w:val="0"/>
                <w:sz w:val="28"/>
                <w:szCs w:val="28"/>
                <w:highlight w:val="none"/>
              </w:rPr>
            </w:pPr>
            <w:r>
              <w:rPr>
                <w:rFonts w:hint="eastAsia" w:ascii="仿宋_GB2312" w:hAnsi="Tahoma" w:eastAsia="仿宋_GB2312" w:cs="Times New Roman"/>
                <w:b/>
                <w:kern w:val="0"/>
                <w:sz w:val="28"/>
                <w:szCs w:val="28"/>
                <w:highlight w:val="none"/>
              </w:rPr>
              <w:t>证件类型</w:t>
            </w:r>
          </w:p>
        </w:tc>
        <w:tc>
          <w:tcPr>
            <w:tcW w:w="1053" w:type="dxa"/>
            <w:tcBorders>
              <w:top w:val="double" w:color="auto" w:sz="4" w:space="0"/>
              <w:left w:val="single" w:color="auto" w:sz="4" w:space="0"/>
              <w:bottom w:val="single" w:color="auto" w:sz="4" w:space="0"/>
              <w:right w:val="single" w:color="auto" w:sz="4" w:space="0"/>
            </w:tcBorders>
            <w:shd w:val="solid" w:color="C0C0C0" w:fill="auto"/>
            <w:vAlign w:val="center"/>
          </w:tcPr>
          <w:p>
            <w:pPr>
              <w:widowControl/>
              <w:autoSpaceDE w:val="0"/>
              <w:autoSpaceDN w:val="0"/>
              <w:adjustRightInd w:val="0"/>
              <w:snapToGrid w:val="0"/>
              <w:spacing w:after="200"/>
              <w:jc w:val="center"/>
              <w:rPr>
                <w:rFonts w:ascii="仿宋_GB2312" w:hAnsi="Tahoma" w:eastAsia="仿宋_GB2312" w:cs="Times New Roman"/>
                <w:b/>
                <w:kern w:val="0"/>
                <w:sz w:val="28"/>
                <w:szCs w:val="28"/>
                <w:highlight w:val="none"/>
              </w:rPr>
            </w:pPr>
            <w:r>
              <w:rPr>
                <w:rFonts w:hint="eastAsia" w:ascii="仿宋_GB2312" w:hAnsi="Tahoma" w:eastAsia="仿宋_GB2312" w:cs="Times New Roman"/>
                <w:b/>
                <w:kern w:val="0"/>
                <w:sz w:val="28"/>
                <w:szCs w:val="28"/>
                <w:highlight w:val="none"/>
              </w:rPr>
              <w:t>证件号码</w:t>
            </w:r>
          </w:p>
        </w:tc>
        <w:tc>
          <w:tcPr>
            <w:tcW w:w="702" w:type="dxa"/>
            <w:tcBorders>
              <w:top w:val="double" w:color="auto" w:sz="4" w:space="0"/>
              <w:left w:val="single" w:color="auto" w:sz="4" w:space="0"/>
              <w:bottom w:val="single" w:color="auto" w:sz="4" w:space="0"/>
              <w:right w:val="single" w:color="auto" w:sz="4" w:space="0"/>
            </w:tcBorders>
            <w:shd w:val="solid" w:color="C0C0C0" w:fill="auto"/>
            <w:vAlign w:val="center"/>
          </w:tcPr>
          <w:p>
            <w:pPr>
              <w:widowControl/>
              <w:autoSpaceDE w:val="0"/>
              <w:autoSpaceDN w:val="0"/>
              <w:adjustRightInd w:val="0"/>
              <w:snapToGrid w:val="0"/>
              <w:spacing w:after="200"/>
              <w:jc w:val="center"/>
              <w:rPr>
                <w:rFonts w:ascii="仿宋_GB2312" w:hAnsi="Tahoma" w:eastAsia="仿宋_GB2312" w:cs="Times New Roman"/>
                <w:b/>
                <w:kern w:val="0"/>
                <w:sz w:val="28"/>
                <w:szCs w:val="28"/>
                <w:highlight w:val="none"/>
              </w:rPr>
            </w:pPr>
            <w:r>
              <w:rPr>
                <w:rFonts w:hint="eastAsia" w:ascii="仿宋_GB2312" w:hAnsi="Tahoma" w:eastAsia="仿宋_GB2312" w:cs="Times New Roman"/>
                <w:b/>
                <w:kern w:val="0"/>
                <w:sz w:val="28"/>
                <w:szCs w:val="28"/>
                <w:highlight w:val="none"/>
              </w:rPr>
              <w:t>申请锁定份额</w:t>
            </w:r>
          </w:p>
        </w:tc>
        <w:tc>
          <w:tcPr>
            <w:tcW w:w="782" w:type="dxa"/>
            <w:tcBorders>
              <w:top w:val="double" w:color="auto" w:sz="4" w:space="0"/>
              <w:left w:val="single" w:color="auto" w:sz="4" w:space="0"/>
              <w:bottom w:val="single" w:color="auto" w:sz="4" w:space="0"/>
              <w:right w:val="single" w:color="auto" w:sz="4" w:space="0"/>
            </w:tcBorders>
            <w:shd w:val="solid" w:color="C0C0C0" w:fill="auto"/>
            <w:vAlign w:val="center"/>
          </w:tcPr>
          <w:p>
            <w:pPr>
              <w:widowControl/>
              <w:autoSpaceDE w:val="0"/>
              <w:autoSpaceDN w:val="0"/>
              <w:adjustRightInd w:val="0"/>
              <w:snapToGrid w:val="0"/>
              <w:spacing w:after="200"/>
              <w:jc w:val="center"/>
              <w:rPr>
                <w:rFonts w:ascii="仿宋_GB2312" w:hAnsi="Tahoma" w:eastAsia="仿宋_GB2312" w:cs="Times New Roman"/>
                <w:b/>
                <w:kern w:val="0"/>
                <w:sz w:val="28"/>
                <w:szCs w:val="28"/>
                <w:highlight w:val="none"/>
              </w:rPr>
            </w:pPr>
            <w:r>
              <w:rPr>
                <w:rFonts w:hint="eastAsia" w:ascii="仿宋_GB2312" w:hAnsi="Tahoma" w:eastAsia="仿宋_GB2312" w:cs="Times New Roman"/>
                <w:b/>
                <w:kern w:val="0"/>
                <w:sz w:val="28"/>
                <w:szCs w:val="28"/>
                <w:highlight w:val="none"/>
              </w:rPr>
              <w:t>份额注册日期</w:t>
            </w:r>
          </w:p>
        </w:tc>
        <w:tc>
          <w:tcPr>
            <w:tcW w:w="709" w:type="dxa"/>
            <w:tcBorders>
              <w:top w:val="double" w:color="auto" w:sz="4" w:space="0"/>
              <w:left w:val="single" w:color="auto" w:sz="4" w:space="0"/>
              <w:bottom w:val="single" w:color="auto" w:sz="4" w:space="0"/>
              <w:right w:val="single" w:color="auto" w:sz="4" w:space="0"/>
            </w:tcBorders>
            <w:shd w:val="solid" w:color="C0C0C0" w:fill="auto"/>
            <w:vAlign w:val="center"/>
          </w:tcPr>
          <w:p>
            <w:pPr>
              <w:widowControl/>
              <w:autoSpaceDE w:val="0"/>
              <w:autoSpaceDN w:val="0"/>
              <w:adjustRightInd w:val="0"/>
              <w:snapToGrid w:val="0"/>
              <w:spacing w:after="200"/>
              <w:jc w:val="center"/>
              <w:rPr>
                <w:rFonts w:ascii="仿宋_GB2312" w:hAnsi="Tahoma" w:eastAsia="仿宋_GB2312" w:cs="Times New Roman"/>
                <w:b/>
                <w:kern w:val="0"/>
                <w:sz w:val="28"/>
                <w:szCs w:val="28"/>
                <w:highlight w:val="none"/>
              </w:rPr>
            </w:pPr>
            <w:r>
              <w:rPr>
                <w:rFonts w:hint="eastAsia" w:ascii="仿宋_GB2312" w:hAnsi="Tahoma" w:eastAsia="仿宋_GB2312" w:cs="Times New Roman"/>
                <w:b/>
                <w:kern w:val="0"/>
                <w:sz w:val="28"/>
                <w:szCs w:val="28"/>
                <w:highlight w:val="none"/>
              </w:rPr>
              <w:t>锁定生效日</w:t>
            </w:r>
          </w:p>
        </w:tc>
        <w:tc>
          <w:tcPr>
            <w:tcW w:w="1417" w:type="dxa"/>
            <w:tcBorders>
              <w:top w:val="double" w:color="auto" w:sz="4" w:space="0"/>
              <w:left w:val="single" w:color="auto" w:sz="4" w:space="0"/>
              <w:bottom w:val="single" w:color="auto" w:sz="4" w:space="0"/>
              <w:right w:val="single" w:color="auto" w:sz="4" w:space="0"/>
            </w:tcBorders>
            <w:shd w:val="solid" w:color="C0C0C0" w:fill="auto"/>
            <w:vAlign w:val="center"/>
          </w:tcPr>
          <w:p>
            <w:pPr>
              <w:widowControl/>
              <w:autoSpaceDE w:val="0"/>
              <w:autoSpaceDN w:val="0"/>
              <w:adjustRightInd w:val="0"/>
              <w:snapToGrid w:val="0"/>
              <w:spacing w:after="200"/>
              <w:jc w:val="center"/>
              <w:rPr>
                <w:rFonts w:ascii="仿宋_GB2312" w:hAnsi="Tahoma" w:eastAsia="仿宋_GB2312" w:cs="Times New Roman"/>
                <w:b/>
                <w:kern w:val="0"/>
                <w:sz w:val="28"/>
                <w:szCs w:val="28"/>
                <w:highlight w:val="none"/>
              </w:rPr>
            </w:pPr>
            <w:r>
              <w:rPr>
                <w:rFonts w:hint="eastAsia" w:ascii="仿宋_GB2312" w:hAnsi="Tahoma" w:eastAsia="仿宋_GB2312" w:cs="Times New Roman"/>
                <w:b/>
                <w:kern w:val="0"/>
                <w:sz w:val="28"/>
                <w:szCs w:val="28"/>
                <w:highlight w:val="none"/>
              </w:rPr>
              <w:t>解锁生效日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637"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r>
              <w:rPr>
                <w:rFonts w:ascii="仿宋_GB2312" w:hAnsi="Tahoma" w:eastAsia="仿宋_GB2312" w:cs="Times New Roman"/>
                <w:kern w:val="0"/>
                <w:sz w:val="28"/>
                <w:szCs w:val="28"/>
                <w:highlight w:val="none"/>
              </w:rPr>
              <w:t>1</w:t>
            </w:r>
          </w:p>
        </w:tc>
        <w:tc>
          <w:tcPr>
            <w:tcW w:w="709"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876"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558"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1038"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1063"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943"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563"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1053"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702"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782"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709"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r>
              <w:rPr>
                <w:rFonts w:hint="eastAsia" w:ascii="仿宋_GB2312" w:hAnsi="Tahoma" w:eastAsia="仿宋_GB2312" w:cs="Times New Roman"/>
                <w:kern w:val="0"/>
                <w:sz w:val="28"/>
                <w:szCs w:val="28"/>
                <w:highlight w:val="none"/>
              </w:rPr>
              <w:t>不自动解锁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637"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r>
              <w:rPr>
                <w:rFonts w:ascii="仿宋_GB2312" w:hAnsi="Tahoma" w:eastAsia="仿宋_GB2312" w:cs="Times New Roman"/>
                <w:kern w:val="0"/>
                <w:sz w:val="28"/>
                <w:szCs w:val="28"/>
                <w:highlight w:val="none"/>
              </w:rPr>
              <w:t>2</w:t>
            </w:r>
          </w:p>
        </w:tc>
        <w:tc>
          <w:tcPr>
            <w:tcW w:w="709"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876"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558"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1038"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1063"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943"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563"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1053"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702"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782"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709"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r>
              <w:rPr>
                <w:rFonts w:hint="eastAsia" w:ascii="仿宋_GB2312" w:hAnsi="Tahoma" w:eastAsia="仿宋_GB2312" w:cs="Times New Roman"/>
                <w:kern w:val="0"/>
                <w:sz w:val="28"/>
                <w:szCs w:val="28"/>
                <w:highlight w:val="none"/>
              </w:rPr>
              <w:t>不自动解锁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93" w:hRule="atLeast"/>
          <w:jc w:val="center"/>
        </w:trPr>
        <w:tc>
          <w:tcPr>
            <w:tcW w:w="637"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r>
              <w:rPr>
                <w:rFonts w:ascii="仿宋_GB2312" w:hAnsi="Tahoma" w:eastAsia="仿宋_GB2312" w:cs="Times New Roman"/>
                <w:kern w:val="0"/>
                <w:sz w:val="28"/>
                <w:szCs w:val="28"/>
                <w:highlight w:val="none"/>
              </w:rPr>
              <w:t>3</w:t>
            </w:r>
          </w:p>
        </w:tc>
        <w:tc>
          <w:tcPr>
            <w:tcW w:w="709"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876"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558"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1038"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1063"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943"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563"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1053"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702"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782"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709"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p>
        </w:tc>
        <w:tc>
          <w:tcPr>
            <w:tcW w:w="1417"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after="200"/>
              <w:jc w:val="center"/>
              <w:rPr>
                <w:rFonts w:ascii="仿宋_GB2312" w:hAnsi="Tahoma" w:eastAsia="仿宋_GB2312" w:cs="Times New Roman"/>
                <w:kern w:val="0"/>
                <w:sz w:val="28"/>
                <w:szCs w:val="28"/>
                <w:highlight w:val="none"/>
              </w:rPr>
            </w:pPr>
            <w:r>
              <w:rPr>
                <w:rFonts w:hint="eastAsia" w:ascii="仿宋_GB2312" w:hAnsi="Tahoma" w:eastAsia="仿宋_GB2312" w:cs="Times New Roman"/>
                <w:kern w:val="0"/>
                <w:sz w:val="28"/>
                <w:szCs w:val="28"/>
                <w:highlight w:val="none"/>
              </w:rPr>
              <w:t>不自动解锁</w:t>
            </w:r>
          </w:p>
        </w:tc>
      </w:tr>
    </w:tbl>
    <w:p>
      <w:pPr>
        <w:widowControl/>
        <w:adjustRightInd w:val="0"/>
        <w:snapToGrid w:val="0"/>
        <w:spacing w:after="200" w:line="360" w:lineRule="exact"/>
        <w:jc w:val="left"/>
        <w:rPr>
          <w:rFonts w:hint="eastAsia" w:ascii="仿宋_GB2312" w:hAnsi="Tahoma" w:eastAsia="仿宋_GB2312" w:cs="Times New Roman"/>
          <w:kern w:val="0"/>
          <w:sz w:val="28"/>
          <w:szCs w:val="28"/>
          <w:highlight w:val="none"/>
        </w:rPr>
      </w:pPr>
      <w:r>
        <w:rPr>
          <w:rFonts w:hint="eastAsia" w:ascii="华文细黑" w:hAnsi="华文细黑" w:eastAsia="华文细黑" w:cs="Times New Roman"/>
          <w:b/>
          <w:kern w:val="0"/>
          <w:sz w:val="28"/>
          <w:szCs w:val="28"/>
          <w:highlight w:val="none"/>
        </w:rPr>
        <w:t xml:space="preserve">  </w:t>
      </w:r>
      <w:r>
        <w:rPr>
          <w:rFonts w:hint="eastAsia" w:ascii="仿宋_GB2312" w:hAnsi="Tahoma" w:eastAsia="仿宋_GB2312" w:cs="Times New Roman"/>
          <w:b/>
          <w:kern w:val="0"/>
          <w:sz w:val="28"/>
          <w:szCs w:val="28"/>
          <w:highlight w:val="none"/>
        </w:rPr>
        <w:t>请协助办理。</w:t>
      </w:r>
      <w:r>
        <w:rPr>
          <w:rFonts w:hint="eastAsia" w:ascii="仿宋_GB2312" w:hAnsi="Tahoma" w:eastAsia="仿宋_GB2312" w:cs="Times New Roman"/>
          <w:kern w:val="0"/>
          <w:sz w:val="28"/>
          <w:szCs w:val="28"/>
          <w:highlight w:val="none"/>
        </w:rPr>
        <w:br w:type="textWrapping"/>
      </w:r>
    </w:p>
    <w:p>
      <w:pPr>
        <w:widowControl/>
        <w:adjustRightInd w:val="0"/>
        <w:snapToGrid w:val="0"/>
        <w:spacing w:after="200" w:line="360" w:lineRule="exact"/>
        <w:jc w:val="left"/>
        <w:rPr>
          <w:rFonts w:ascii="华文细黑" w:hAnsi="华文细黑" w:eastAsia="华文细黑" w:cs="Times New Roman"/>
          <w:b/>
          <w:kern w:val="0"/>
          <w:sz w:val="28"/>
          <w:szCs w:val="28"/>
          <w:highlight w:val="none"/>
        </w:rPr>
      </w:pPr>
      <w:r>
        <w:rPr>
          <w:rFonts w:hint="eastAsia" w:ascii="仿宋_GB2312" w:hAnsi="Tahoma" w:eastAsia="仿宋_GB2312" w:cs="Times New Roman"/>
          <w:kern w:val="0"/>
          <w:sz w:val="28"/>
          <w:szCs w:val="28"/>
          <w:highlight w:val="none"/>
        </w:rPr>
        <w:t>注意事项：</w:t>
      </w:r>
    </w:p>
    <w:p>
      <w:pPr>
        <w:widowControl/>
        <w:autoSpaceDE w:val="0"/>
        <w:autoSpaceDN w:val="0"/>
        <w:adjustRightInd w:val="0"/>
        <w:snapToGrid w:val="0"/>
        <w:ind w:firstLine="560" w:firstLineChars="200"/>
        <w:jc w:val="left"/>
        <w:rPr>
          <w:rFonts w:ascii="仿宋_GB2312" w:hAnsi="Tahoma" w:eastAsia="仿宋_GB2312" w:cs="Times New Roman"/>
          <w:color w:val="000000"/>
          <w:kern w:val="0"/>
          <w:sz w:val="28"/>
          <w:szCs w:val="28"/>
          <w:highlight w:val="none"/>
        </w:rPr>
      </w:pPr>
      <w:r>
        <w:rPr>
          <w:rFonts w:hint="eastAsia" w:ascii="仿宋_GB2312" w:hAnsi="Tahoma" w:eastAsia="仿宋_GB2312" w:cs="Times New Roman"/>
          <w:kern w:val="0"/>
          <w:sz w:val="28"/>
          <w:szCs w:val="28"/>
          <w:highlight w:val="none"/>
        </w:rPr>
        <w:t>1</w:t>
      </w:r>
      <w:r>
        <w:rPr>
          <w:rFonts w:hint="eastAsia" w:ascii="仿宋_GB2312" w:hAnsi="Tahoma" w:eastAsia="仿宋_GB2312" w:cs="Times New Roman"/>
          <w:color w:val="000000"/>
          <w:kern w:val="0"/>
          <w:sz w:val="28"/>
          <w:szCs w:val="28"/>
          <w:highlight w:val="none"/>
        </w:rPr>
        <w:t>、对于REITs首次发售，此通知单需于场外份额登记日当日提交至深圳证券交易所，锁定生效日期为场外份额登记日次一交易日。对于REITs定向扩募，此通知单需于规定时点前提交至深圳证券交易所，锁定生效日为定向扩募份额强增确认日次一交易日。</w:t>
      </w:r>
    </w:p>
    <w:p>
      <w:pPr>
        <w:widowControl/>
        <w:autoSpaceDE w:val="0"/>
        <w:autoSpaceDN w:val="0"/>
        <w:adjustRightInd w:val="0"/>
        <w:snapToGrid w:val="0"/>
        <w:ind w:firstLine="560" w:firstLineChars="200"/>
        <w:jc w:val="left"/>
        <w:rPr>
          <w:rFonts w:ascii="仿宋_GB2312" w:hAnsi="Tahoma" w:eastAsia="仿宋_GB2312" w:cs="Times New Roman"/>
          <w:color w:val="000000"/>
          <w:kern w:val="0"/>
          <w:sz w:val="28"/>
          <w:szCs w:val="28"/>
          <w:highlight w:val="none"/>
        </w:rPr>
      </w:pPr>
      <w:r>
        <w:rPr>
          <w:rFonts w:hint="eastAsia" w:ascii="仿宋_GB2312" w:hAnsi="Tahoma" w:eastAsia="仿宋_GB2312" w:cs="Times New Roman"/>
          <w:color w:val="000000"/>
          <w:kern w:val="0"/>
          <w:sz w:val="28"/>
          <w:szCs w:val="28"/>
          <w:highlight w:val="none"/>
        </w:rPr>
        <w:t>2、基金账户为场外12位基金账户；代理人代码为场外代理人代码；份额类别为“前收费”或“后收费”。</w:t>
      </w:r>
    </w:p>
    <w:p>
      <w:pPr>
        <w:widowControl/>
        <w:autoSpaceDE w:val="0"/>
        <w:autoSpaceDN w:val="0"/>
        <w:adjustRightInd w:val="0"/>
        <w:snapToGrid w:val="0"/>
        <w:ind w:firstLine="560" w:firstLineChars="200"/>
        <w:jc w:val="left"/>
        <w:rPr>
          <w:rFonts w:ascii="仿宋_GB2312" w:hAnsi="Tahoma" w:eastAsia="仿宋_GB2312" w:cs="Times New Roman"/>
          <w:color w:val="000000"/>
          <w:kern w:val="0"/>
          <w:sz w:val="28"/>
          <w:szCs w:val="28"/>
          <w:highlight w:val="none"/>
        </w:rPr>
      </w:pPr>
      <w:r>
        <w:rPr>
          <w:rFonts w:hint="eastAsia" w:ascii="仿宋_GB2312" w:hAnsi="Tahoma" w:eastAsia="仿宋_GB2312" w:cs="Times New Roman"/>
          <w:color w:val="000000"/>
          <w:kern w:val="0"/>
          <w:sz w:val="28"/>
          <w:szCs w:val="28"/>
          <w:highlight w:val="none"/>
        </w:rPr>
        <w:t>3、交易账户为投资人在场外基金销售人处开立的交易账户。若基金账户下任何交易账户份额均可锁定（不指定交易账户），交易账户填“不指定交易账户”。</w:t>
      </w:r>
    </w:p>
    <w:p>
      <w:pPr>
        <w:widowControl/>
        <w:autoSpaceDE w:val="0"/>
        <w:autoSpaceDN w:val="0"/>
        <w:adjustRightInd w:val="0"/>
        <w:snapToGrid w:val="0"/>
        <w:ind w:firstLine="560" w:firstLineChars="200"/>
        <w:jc w:val="left"/>
        <w:rPr>
          <w:rFonts w:ascii="仿宋_GB2312" w:hAnsi="Tahoma" w:eastAsia="仿宋_GB2312" w:cs="Times New Roman"/>
          <w:color w:val="000000"/>
          <w:kern w:val="0"/>
          <w:sz w:val="28"/>
          <w:szCs w:val="28"/>
          <w:highlight w:val="none"/>
        </w:rPr>
      </w:pPr>
      <w:r>
        <w:rPr>
          <w:rFonts w:hint="eastAsia" w:ascii="仿宋_GB2312" w:hAnsi="Tahoma" w:eastAsia="仿宋_GB2312" w:cs="Times New Roman"/>
          <w:color w:val="000000"/>
          <w:kern w:val="0"/>
          <w:sz w:val="28"/>
          <w:szCs w:val="28"/>
          <w:highlight w:val="none"/>
        </w:rPr>
        <w:t>4、如需锁定指定的份额明细，需填写份额注册日期。若任何份额明细均可锁定，份额注册日期填“不指定”。</w:t>
      </w:r>
    </w:p>
    <w:p>
      <w:pPr>
        <w:widowControl/>
        <w:autoSpaceDE w:val="0"/>
        <w:autoSpaceDN w:val="0"/>
        <w:adjustRightInd w:val="0"/>
        <w:snapToGrid w:val="0"/>
        <w:ind w:firstLine="560" w:firstLineChars="200"/>
        <w:jc w:val="left"/>
        <w:rPr>
          <w:rFonts w:ascii="仿宋_GB2312" w:hAnsi="Tahoma" w:eastAsia="仿宋_GB2312" w:cs="Times New Roman"/>
          <w:color w:val="000000"/>
          <w:kern w:val="0"/>
          <w:sz w:val="28"/>
          <w:szCs w:val="28"/>
          <w:highlight w:val="none"/>
        </w:rPr>
      </w:pPr>
      <w:r>
        <w:rPr>
          <w:rFonts w:hint="eastAsia" w:ascii="仿宋_GB2312" w:hAnsi="Tahoma" w:eastAsia="仿宋_GB2312" w:cs="Times New Roman"/>
          <w:color w:val="000000"/>
          <w:kern w:val="0"/>
          <w:sz w:val="28"/>
          <w:szCs w:val="28"/>
          <w:highlight w:val="none"/>
        </w:rPr>
        <w:t>5、中国结算总部基金业务部核验基金账户投资人名称、证件类型、证件号码，根据基金代码、代理人代码、份额类别、基金账户、交易账户、份额注册日期查询确定可锁定份额。可锁定份额大于等于申请锁定份额时，中国结算总部基金业务部在可锁定份额内锁定申请锁定份额；可锁定份额小于申请锁定份额时，锁定失败（不能锁定任何份额）。</w:t>
      </w:r>
    </w:p>
    <w:p>
      <w:pPr>
        <w:widowControl/>
        <w:autoSpaceDE w:val="0"/>
        <w:autoSpaceDN w:val="0"/>
        <w:adjustRightInd w:val="0"/>
        <w:snapToGrid w:val="0"/>
        <w:ind w:firstLine="560" w:firstLineChars="200"/>
        <w:jc w:val="left"/>
        <w:rPr>
          <w:rFonts w:ascii="仿宋_GB2312" w:hAnsi="Tahoma" w:eastAsia="仿宋_GB2312" w:cs="Times New Roman"/>
          <w:color w:val="000000"/>
          <w:kern w:val="0"/>
          <w:sz w:val="28"/>
          <w:szCs w:val="28"/>
          <w:highlight w:val="none"/>
        </w:rPr>
      </w:pPr>
      <w:r>
        <w:rPr>
          <w:rFonts w:hint="eastAsia" w:ascii="仿宋_GB2312" w:hAnsi="Tahoma" w:eastAsia="仿宋_GB2312" w:cs="Times New Roman"/>
          <w:color w:val="000000"/>
          <w:kern w:val="0"/>
          <w:sz w:val="28"/>
          <w:szCs w:val="28"/>
          <w:highlight w:val="none"/>
        </w:rPr>
        <w:t>6、解锁生效日可填具体日期，填写后将于该日期自动解锁，解锁生效日当日投资者申报的份额减少类业务将被正常处理。解锁生效日不确定或不自动解锁的填写“不自动解锁”。原则上应填写“不自动解锁”。</w:t>
      </w:r>
    </w:p>
    <w:p>
      <w:pPr>
        <w:widowControl/>
        <w:autoSpaceDE w:val="0"/>
        <w:autoSpaceDN w:val="0"/>
        <w:adjustRightInd w:val="0"/>
        <w:snapToGrid w:val="0"/>
        <w:ind w:firstLine="560" w:firstLineChars="200"/>
        <w:jc w:val="left"/>
        <w:rPr>
          <w:rFonts w:ascii="仿宋_GB2312" w:hAnsi="Tahoma" w:eastAsia="仿宋_GB2312" w:cs="Times New Roman"/>
          <w:color w:val="000000"/>
          <w:kern w:val="0"/>
          <w:sz w:val="28"/>
          <w:szCs w:val="28"/>
          <w:highlight w:val="none"/>
        </w:rPr>
      </w:pPr>
      <w:r>
        <w:rPr>
          <w:rFonts w:hint="eastAsia" w:ascii="仿宋_GB2312" w:hAnsi="Tahoma" w:eastAsia="仿宋_GB2312" w:cs="Times New Roman"/>
          <w:color w:val="000000"/>
          <w:kern w:val="0"/>
          <w:sz w:val="28"/>
          <w:szCs w:val="28"/>
          <w:highlight w:val="none"/>
        </w:rPr>
        <w:t>7、对于完成锁定的份额明细，锁定生效日当日投资者申报的份额减少类业务将判失败。</w:t>
      </w:r>
    </w:p>
    <w:p>
      <w:pPr>
        <w:widowControl/>
        <w:autoSpaceDE w:val="0"/>
        <w:autoSpaceDN w:val="0"/>
        <w:adjustRightInd w:val="0"/>
        <w:snapToGrid w:val="0"/>
        <w:spacing w:after="200"/>
        <w:jc w:val="left"/>
        <w:rPr>
          <w:rFonts w:ascii="仿宋_GB2312" w:hAnsi="Tahoma" w:eastAsia="仿宋_GB2312" w:cs="Times New Roman"/>
          <w:color w:val="000000"/>
          <w:kern w:val="0"/>
          <w:sz w:val="28"/>
          <w:szCs w:val="28"/>
          <w:highlight w:val="none"/>
        </w:rPr>
      </w:pPr>
    </w:p>
    <w:p>
      <w:pPr>
        <w:widowControl/>
        <w:autoSpaceDE w:val="0"/>
        <w:autoSpaceDN w:val="0"/>
        <w:adjustRightInd w:val="0"/>
        <w:snapToGrid w:val="0"/>
        <w:spacing w:after="200"/>
        <w:jc w:val="left"/>
        <w:rPr>
          <w:rFonts w:ascii="仿宋_GB2312" w:hAnsi="Tahoma" w:eastAsia="仿宋_GB2312" w:cs="Times New Roman"/>
          <w:color w:val="000000"/>
          <w:kern w:val="0"/>
          <w:sz w:val="28"/>
          <w:szCs w:val="28"/>
          <w:highlight w:val="none"/>
        </w:rPr>
      </w:pPr>
      <w:r>
        <w:rPr>
          <w:rFonts w:hint="eastAsia" w:ascii="仿宋_GB2312" w:hAnsi="Tahoma" w:eastAsia="仿宋_GB2312" w:cs="Times New Roman"/>
          <w:color w:val="000000"/>
          <w:kern w:val="0"/>
          <w:sz w:val="28"/>
          <w:szCs w:val="28"/>
          <w:highlight w:val="none"/>
        </w:rPr>
        <w:t xml:space="preserve">经办人：           联系电话： </w:t>
      </w:r>
    </w:p>
    <w:p>
      <w:pPr>
        <w:widowControl/>
        <w:autoSpaceDE w:val="0"/>
        <w:autoSpaceDN w:val="0"/>
        <w:adjustRightInd w:val="0"/>
        <w:snapToGrid w:val="0"/>
        <w:spacing w:after="200"/>
        <w:jc w:val="right"/>
        <w:rPr>
          <w:rFonts w:ascii="仿宋_GB2312" w:hAnsi="Tahoma" w:eastAsia="仿宋_GB2312" w:cs="Times New Roman"/>
          <w:color w:val="000000"/>
          <w:kern w:val="0"/>
          <w:sz w:val="28"/>
          <w:szCs w:val="28"/>
          <w:highlight w:val="none"/>
        </w:rPr>
      </w:pPr>
      <w:r>
        <w:rPr>
          <w:rFonts w:hint="eastAsia" w:ascii="仿宋_GB2312" w:hAnsi="Tahoma" w:eastAsia="仿宋_GB2312" w:cs="Times New Roman"/>
          <w:color w:val="000000"/>
          <w:kern w:val="0"/>
          <w:sz w:val="28"/>
          <w:szCs w:val="28"/>
          <w:highlight w:val="none"/>
        </w:rPr>
        <w:t>XX基金管理公司（盖章）</w:t>
      </w:r>
    </w:p>
    <w:p>
      <w:pPr>
        <w:ind w:firstLine="560" w:firstLineChars="200"/>
        <w:jc w:val="right"/>
        <w:rPr>
          <w:rFonts w:ascii="Times New Roman" w:hAnsi="Times New Roman" w:eastAsia="仿宋" w:cs="Times New Roman"/>
          <w:sz w:val="28"/>
          <w:szCs w:val="28"/>
          <w:highlight w:val="none"/>
        </w:rPr>
      </w:pPr>
      <w:r>
        <w:rPr>
          <w:rFonts w:ascii="仿宋_GB2312" w:hAnsi="Tahoma" w:eastAsia="仿宋_GB2312" w:cs="Times New Roman"/>
          <w:color w:val="000000"/>
          <w:kern w:val="0"/>
          <w:sz w:val="28"/>
          <w:szCs w:val="28"/>
          <w:highlight w:val="none"/>
          <w:lang w:val="en"/>
        </w:rPr>
        <w:t xml:space="preserve">       </w:t>
      </w:r>
      <w:r>
        <w:rPr>
          <w:rFonts w:hint="eastAsia" w:ascii="仿宋_GB2312" w:hAnsi="Tahoma" w:eastAsia="仿宋_GB2312" w:cs="Times New Roman"/>
          <w:color w:val="000000"/>
          <w:kern w:val="0"/>
          <w:sz w:val="28"/>
          <w:szCs w:val="28"/>
          <w:highlight w:val="none"/>
          <w:lang w:val="en"/>
        </w:rPr>
        <w:t>年</w:t>
      </w:r>
      <w:r>
        <w:rPr>
          <w:rFonts w:hint="eastAsia" w:ascii="仿宋_GB2312" w:hAnsi="Tahoma" w:eastAsia="仿宋_GB2312" w:cs="Times New Roman"/>
          <w:color w:val="000000"/>
          <w:kern w:val="0"/>
          <w:sz w:val="28"/>
          <w:szCs w:val="28"/>
          <w:highlight w:val="none"/>
        </w:rPr>
        <w:t xml:space="preserve">     月    </w:t>
      </w:r>
    </w:p>
    <w:p>
      <w:pPr>
        <w:widowControl/>
        <w:jc w:val="left"/>
        <w:rPr>
          <w:rStyle w:val="26"/>
          <w:highlight w:val="none"/>
        </w:rPr>
      </w:pPr>
      <w:bookmarkStart w:id="314" w:name="_Toc73029291"/>
      <w:r>
        <w:rPr>
          <w:rStyle w:val="26"/>
          <w:highlight w:val="none"/>
        </w:rPr>
        <w:br w:type="page"/>
      </w:r>
    </w:p>
    <w:bookmarkEnd w:id="314"/>
    <w:p>
      <w:pPr>
        <w:pStyle w:val="3"/>
        <w:keepNext w:val="0"/>
        <w:keepLines w:val="0"/>
        <w:adjustRightInd w:val="0"/>
        <w:snapToGrid w:val="0"/>
        <w:spacing w:before="0" w:after="0" w:line="240" w:lineRule="auto"/>
        <w:outlineLvl w:val="1"/>
        <w:rPr>
          <w:rFonts w:hint="default" w:ascii="黑体" w:hAnsi="黑体" w:eastAsia="黑体"/>
          <w:b w:val="0"/>
          <w:bCs w:val="0"/>
          <w:highlight w:val="none"/>
          <w:lang w:val="en-US" w:eastAsia="zh-CN"/>
        </w:rPr>
      </w:pPr>
      <w:bookmarkStart w:id="315" w:name="_Toc17000"/>
      <w:bookmarkStart w:id="316" w:name="_Toc28273"/>
      <w:bookmarkStart w:id="317" w:name="_Toc21381"/>
      <w:bookmarkStart w:id="318" w:name="_Toc146725944"/>
      <w:bookmarkStart w:id="319" w:name="_Toc16608"/>
      <w:bookmarkStart w:id="320" w:name="_Toc30612"/>
      <w:bookmarkStart w:id="321" w:name="_Toc27462"/>
      <w:r>
        <w:rPr>
          <w:rFonts w:hint="eastAsia" w:ascii="黑体" w:hAnsi="黑体" w:eastAsia="黑体"/>
          <w:b w:val="0"/>
          <w:bCs w:val="0"/>
          <w:highlight w:val="none"/>
        </w:rPr>
        <w:t>附件</w:t>
      </w:r>
      <w:r>
        <w:rPr>
          <w:rFonts w:hint="eastAsia" w:ascii="黑体" w:hAnsi="黑体" w:eastAsia="黑体"/>
          <w:b w:val="0"/>
          <w:bCs w:val="0"/>
          <w:highlight w:val="none"/>
          <w:lang w:val="en-US" w:eastAsia="zh-CN"/>
        </w:rPr>
        <w:t>10</w:t>
      </w:r>
      <w:bookmarkEnd w:id="315"/>
    </w:p>
    <w:p>
      <w:pPr>
        <w:outlineLvl w:val="9"/>
        <w:rPr>
          <w:rFonts w:hint="eastAsia" w:ascii="黑体" w:hAnsi="黑体" w:eastAsia="黑体"/>
          <w:b w:val="0"/>
          <w:bCs w:val="0"/>
          <w:highlight w:val="none"/>
        </w:rPr>
      </w:pPr>
    </w:p>
    <w:p>
      <w:pPr>
        <w:keepNext w:val="0"/>
        <w:keepLines w:val="0"/>
        <w:adjustRightInd w:val="0"/>
        <w:snapToGrid w:val="0"/>
        <w:spacing w:before="0" w:after="0" w:line="240" w:lineRule="auto"/>
        <w:jc w:val="center"/>
        <w:outlineLvl w:val="9"/>
        <w:rPr>
          <w:rFonts w:hint="eastAsia" w:ascii="Times New Roman" w:hAnsi="Times New Roman" w:eastAsia="方正小标宋简体"/>
          <w:b w:val="0"/>
          <w:bCs/>
          <w:sz w:val="44"/>
          <w:szCs w:val="44"/>
          <w:highlight w:val="none"/>
        </w:rPr>
      </w:pPr>
      <w:r>
        <w:rPr>
          <w:rFonts w:hint="eastAsia" w:ascii="Times New Roman" w:hAnsi="Times New Roman" w:eastAsia="方正小标宋简体"/>
          <w:b w:val="0"/>
          <w:bCs/>
          <w:sz w:val="44"/>
          <w:szCs w:val="44"/>
          <w:highlight w:val="none"/>
        </w:rPr>
        <w:t>扩募份额上市申请书</w:t>
      </w:r>
    </w:p>
    <w:p>
      <w:pPr>
        <w:pBdr>
          <w:bottom w:val="single" w:color="auto" w:sz="6" w:space="1"/>
        </w:pBdr>
        <w:jc w:val="center"/>
        <w:rPr>
          <w:rFonts w:ascii="仿宋" w:hAnsi="仿宋" w:eastAsia="仿宋" w:cs="Times New Roman"/>
          <w:b/>
          <w:color w:val="000000" w:themeColor="text1"/>
          <w:sz w:val="30"/>
          <w:szCs w:val="30"/>
          <w:highlight w:val="none"/>
          <w14:textFill>
            <w14:solidFill>
              <w14:schemeClr w14:val="tx1"/>
            </w14:solidFill>
          </w14:textFill>
        </w:rPr>
      </w:pPr>
    </w:p>
    <w:p>
      <w:pPr>
        <w:pBdr>
          <w:bottom w:val="single" w:color="auto" w:sz="6" w:space="1"/>
        </w:pBdr>
        <w:jc w:val="center"/>
        <w:rPr>
          <w:rFonts w:ascii="仿宋" w:hAnsi="仿宋" w:eastAsia="仿宋" w:cs="Times New Roman"/>
          <w:b/>
          <w:color w:val="000000" w:themeColor="text1"/>
          <w:sz w:val="28"/>
          <w:szCs w:val="28"/>
          <w:highlight w:val="none"/>
          <w14:textFill>
            <w14:solidFill>
              <w14:schemeClr w14:val="tx1"/>
            </w14:solidFill>
          </w14:textFill>
        </w:rPr>
      </w:pPr>
      <w:r>
        <w:rPr>
          <w:rFonts w:ascii="仿宋" w:hAnsi="仿宋" w:eastAsia="仿宋" w:cs="Times New Roman"/>
          <w:b/>
          <w:color w:val="000000" w:themeColor="text1"/>
          <w:sz w:val="28"/>
          <w:szCs w:val="28"/>
          <w:highlight w:val="none"/>
          <w14:textFill>
            <w14:solidFill>
              <w14:schemeClr w14:val="tx1"/>
            </w14:solidFill>
          </w14:textFill>
        </w:rPr>
        <w:t>XX基金管理公司</w:t>
      </w:r>
    </w:p>
    <w:p>
      <w:pPr>
        <w:jc w:val="center"/>
        <w:rPr>
          <w:rFonts w:ascii="仿宋" w:hAnsi="仿宋" w:eastAsia="仿宋" w:cs="Times New Roman"/>
          <w:b/>
          <w:color w:val="000000" w:themeColor="text1"/>
          <w:sz w:val="28"/>
          <w:szCs w:val="28"/>
          <w:highlight w:val="none"/>
          <w14:textFill>
            <w14:solidFill>
              <w14:schemeClr w14:val="tx1"/>
            </w14:solidFill>
          </w14:textFill>
        </w:rPr>
      </w:pPr>
      <w:r>
        <w:rPr>
          <w:rFonts w:hint="eastAsia" w:ascii="仿宋" w:hAnsi="仿宋" w:eastAsia="仿宋" w:cs="Times New Roman"/>
          <w:b/>
          <w:color w:val="000000" w:themeColor="text1"/>
          <w:sz w:val="28"/>
          <w:szCs w:val="28"/>
          <w:highlight w:val="none"/>
          <w14:textFill>
            <w14:solidFill>
              <w14:schemeClr w14:val="tx1"/>
            </w14:solidFill>
          </w14:textFill>
        </w:rPr>
        <w:t>扩募份额</w:t>
      </w:r>
      <w:r>
        <w:rPr>
          <w:rFonts w:ascii="仿宋" w:hAnsi="仿宋" w:eastAsia="仿宋" w:cs="Times New Roman"/>
          <w:b/>
          <w:color w:val="000000" w:themeColor="text1"/>
          <w:sz w:val="28"/>
          <w:szCs w:val="28"/>
          <w:highlight w:val="none"/>
          <w14:textFill>
            <w14:solidFill>
              <w14:schemeClr w14:val="tx1"/>
            </w14:solidFill>
          </w14:textFill>
        </w:rPr>
        <w:t>上市申请书</w:t>
      </w:r>
    </w:p>
    <w:p>
      <w:pPr>
        <w:rPr>
          <w:rFonts w:ascii="仿宋" w:hAnsi="仿宋" w:eastAsia="仿宋" w:cs="Times New Roman"/>
          <w:color w:val="000000" w:themeColor="text1"/>
          <w:sz w:val="28"/>
          <w:szCs w:val="28"/>
          <w:highlight w:val="none"/>
          <w14:textFill>
            <w14:solidFill>
              <w14:schemeClr w14:val="tx1"/>
            </w14:solidFill>
          </w14:textFill>
        </w:rPr>
      </w:pPr>
    </w:p>
    <w:p>
      <w:pPr>
        <w:spacing w:line="560" w:lineRule="exact"/>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深圳证券交易所：</w:t>
      </w:r>
    </w:p>
    <w:p>
      <w:pPr>
        <w:snapToGrid w:val="0"/>
        <w:spacing w:line="560" w:lineRule="exact"/>
        <w:ind w:firstLine="570"/>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kern w:val="0"/>
          <w:sz w:val="28"/>
          <w:szCs w:val="28"/>
          <w:highlight w:val="none"/>
          <w14:textFill>
            <w14:solidFill>
              <w14:schemeClr w14:val="tx1"/>
            </w14:solidFill>
          </w14:textFill>
        </w:rPr>
        <w:t>XX</w:t>
      </w:r>
      <w:r>
        <w:rPr>
          <w:rFonts w:hint="eastAsia" w:ascii="仿宋" w:hAnsi="仿宋" w:eastAsia="仿宋" w:cs="Times New Roman"/>
          <w:color w:val="000000" w:themeColor="text1"/>
          <w:kern w:val="0"/>
          <w:sz w:val="28"/>
          <w:szCs w:val="28"/>
          <w:highlight w:val="none"/>
          <w14:textFill>
            <w14:solidFill>
              <w14:schemeClr w14:val="tx1"/>
            </w14:solidFill>
          </w14:textFill>
        </w:rPr>
        <w:t>基金</w:t>
      </w:r>
      <w:r>
        <w:rPr>
          <w:rFonts w:hint="eastAsia" w:ascii="仿宋" w:hAnsi="仿宋" w:eastAsia="仿宋" w:cs="Times New Roman"/>
          <w:color w:val="000000" w:themeColor="text1"/>
          <w:sz w:val="28"/>
          <w:szCs w:val="28"/>
          <w:highlight w:val="none"/>
          <w14:textFill>
            <w14:solidFill>
              <w14:schemeClr w14:val="tx1"/>
            </w14:solidFill>
          </w14:textFill>
        </w:rPr>
        <w:t>已完成扩募</w:t>
      </w:r>
      <w:r>
        <w:rPr>
          <w:rFonts w:hint="eastAsia" w:ascii="仿宋" w:hAnsi="仿宋" w:eastAsia="仿宋" w:cs="Times New Roman"/>
          <w:color w:val="000000" w:themeColor="text1"/>
          <w:kern w:val="0"/>
          <w:sz w:val="28"/>
          <w:szCs w:val="28"/>
          <w:highlight w:val="none"/>
          <w14:textFill>
            <w14:solidFill>
              <w14:schemeClr w14:val="tx1"/>
            </w14:solidFill>
          </w14:textFill>
        </w:rPr>
        <w:t>，本次募集</w:t>
      </w:r>
      <w:r>
        <w:rPr>
          <w:rFonts w:ascii="仿宋" w:hAnsi="仿宋" w:eastAsia="仿宋" w:cs="Times New Roman"/>
          <w:color w:val="000000" w:themeColor="text1"/>
          <w:kern w:val="0"/>
          <w:sz w:val="28"/>
          <w:szCs w:val="28"/>
          <w:highlight w:val="none"/>
          <w14:textFill>
            <w14:solidFill>
              <w14:schemeClr w14:val="tx1"/>
            </w14:solidFill>
          </w14:textFill>
        </w:rPr>
        <w:t>XX元，</w:t>
      </w:r>
      <w:r>
        <w:rPr>
          <w:rFonts w:hint="eastAsia" w:ascii="仿宋" w:hAnsi="仿宋" w:eastAsia="仿宋" w:cs="Times New Roman"/>
          <w:color w:val="000000" w:themeColor="text1"/>
          <w:kern w:val="0"/>
          <w:sz w:val="28"/>
          <w:szCs w:val="28"/>
          <w:highlight w:val="none"/>
          <w14:textFill>
            <w14:solidFill>
              <w14:schemeClr w14:val="tx1"/>
            </w14:solidFill>
          </w14:textFill>
        </w:rPr>
        <w:t>涉及XX户投资者，</w:t>
      </w:r>
      <w:r>
        <w:rPr>
          <w:rFonts w:ascii="仿宋" w:hAnsi="仿宋" w:eastAsia="仿宋" w:cs="Times New Roman"/>
          <w:color w:val="000000" w:themeColor="text1"/>
          <w:sz w:val="28"/>
          <w:szCs w:val="28"/>
          <w:highlight w:val="none"/>
          <w14:textFill>
            <w14:solidFill>
              <w14:schemeClr w14:val="tx1"/>
            </w14:solidFill>
          </w14:textFill>
        </w:rPr>
        <w:t>申请XX基金</w:t>
      </w:r>
      <w:r>
        <w:rPr>
          <w:rFonts w:hint="eastAsia" w:ascii="仿宋" w:hAnsi="仿宋" w:eastAsia="仿宋" w:cs="Times New Roman"/>
          <w:color w:val="000000" w:themeColor="text1"/>
          <w:sz w:val="28"/>
          <w:szCs w:val="28"/>
          <w:highlight w:val="none"/>
          <w14:textFill>
            <w14:solidFill>
              <w14:schemeClr w14:val="tx1"/>
            </w14:solidFill>
          </w14:textFill>
        </w:rPr>
        <w:t>扩募份额</w:t>
      </w:r>
      <w:r>
        <w:rPr>
          <w:rFonts w:ascii="仿宋" w:hAnsi="仿宋" w:eastAsia="仿宋" w:cs="Times New Roman"/>
          <w:color w:val="000000" w:themeColor="text1"/>
          <w:sz w:val="28"/>
          <w:szCs w:val="28"/>
          <w:highlight w:val="none"/>
          <w14:textFill>
            <w14:solidFill>
              <w14:schemeClr w14:val="tx1"/>
            </w14:solidFill>
          </w14:textFill>
        </w:rPr>
        <w:t>于</w:t>
      </w:r>
      <w:r>
        <w:rPr>
          <w:rFonts w:ascii="仿宋" w:hAnsi="仿宋" w:eastAsia="仿宋" w:cs="Times New Roman"/>
          <w:color w:val="000000" w:themeColor="text1"/>
          <w:kern w:val="0"/>
          <w:sz w:val="28"/>
          <w:szCs w:val="28"/>
          <w:highlight w:val="none"/>
          <w14:textFill>
            <w14:solidFill>
              <w14:schemeClr w14:val="tx1"/>
            </w14:solidFill>
          </w14:textFill>
        </w:rPr>
        <w:t>XX</w:t>
      </w:r>
      <w:r>
        <w:rPr>
          <w:rFonts w:ascii="仿宋" w:hAnsi="仿宋" w:eastAsia="仿宋" w:cs="Times New Roman"/>
          <w:color w:val="000000" w:themeColor="text1"/>
          <w:sz w:val="28"/>
          <w:szCs w:val="28"/>
          <w:highlight w:val="none"/>
          <w14:textFill>
            <w14:solidFill>
              <w14:schemeClr w14:val="tx1"/>
            </w14:solidFill>
          </w14:textFill>
        </w:rPr>
        <w:t>年</w:t>
      </w:r>
      <w:r>
        <w:rPr>
          <w:rFonts w:ascii="仿宋" w:hAnsi="仿宋" w:eastAsia="仿宋" w:cs="Times New Roman"/>
          <w:color w:val="000000" w:themeColor="text1"/>
          <w:kern w:val="0"/>
          <w:sz w:val="28"/>
          <w:szCs w:val="28"/>
          <w:highlight w:val="none"/>
          <w14:textFill>
            <w14:solidFill>
              <w14:schemeClr w14:val="tx1"/>
            </w14:solidFill>
          </w14:textFill>
        </w:rPr>
        <w:t>XX</w:t>
      </w:r>
      <w:r>
        <w:rPr>
          <w:rFonts w:ascii="仿宋" w:hAnsi="仿宋" w:eastAsia="仿宋" w:cs="Times New Roman"/>
          <w:color w:val="000000" w:themeColor="text1"/>
          <w:sz w:val="28"/>
          <w:szCs w:val="28"/>
          <w:highlight w:val="none"/>
          <w14:textFill>
            <w14:solidFill>
              <w14:schemeClr w14:val="tx1"/>
            </w14:solidFill>
          </w14:textFill>
        </w:rPr>
        <w:t>月</w:t>
      </w:r>
      <w:r>
        <w:rPr>
          <w:rFonts w:ascii="仿宋" w:hAnsi="仿宋" w:eastAsia="仿宋" w:cs="Times New Roman"/>
          <w:color w:val="000000" w:themeColor="text1"/>
          <w:kern w:val="0"/>
          <w:sz w:val="28"/>
          <w:szCs w:val="28"/>
          <w:highlight w:val="none"/>
          <w14:textFill>
            <w14:solidFill>
              <w14:schemeClr w14:val="tx1"/>
            </w14:solidFill>
          </w14:textFill>
        </w:rPr>
        <w:t>XX</w:t>
      </w:r>
      <w:r>
        <w:rPr>
          <w:rFonts w:ascii="仿宋" w:hAnsi="仿宋" w:eastAsia="仿宋" w:cs="Times New Roman"/>
          <w:color w:val="000000" w:themeColor="text1"/>
          <w:sz w:val="28"/>
          <w:szCs w:val="28"/>
          <w:highlight w:val="none"/>
          <w14:textFill>
            <w14:solidFill>
              <w14:schemeClr w14:val="tx1"/>
            </w14:solidFill>
          </w14:textFill>
        </w:rPr>
        <w:t>日开始上市交易。</w:t>
      </w:r>
    </w:p>
    <w:p>
      <w:pPr>
        <w:spacing w:line="560" w:lineRule="exact"/>
        <w:ind w:firstLine="560" w:firstLineChars="200"/>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现将有关情况汇报如下：</w:t>
      </w:r>
    </w:p>
    <w:p>
      <w:pPr>
        <w:spacing w:line="560" w:lineRule="exact"/>
        <w:ind w:firstLine="562" w:firstLineChars="200"/>
        <w:rPr>
          <w:rFonts w:ascii="仿宋" w:hAnsi="仿宋" w:eastAsia="仿宋" w:cs="Times New Roman"/>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一、基金概况</w:t>
      </w:r>
    </w:p>
    <w:tbl>
      <w:tblPr>
        <w:tblStyle w:val="17"/>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913"/>
        <w:gridCol w:w="1532"/>
        <w:gridCol w:w="1168"/>
        <w:gridCol w:w="1487"/>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shd w:val="clear" w:color="auto" w:fill="auto"/>
          </w:tcPr>
          <w:p>
            <w:pPr>
              <w:spacing w:line="560" w:lineRule="exac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Times New Roman"/>
                <w:color w:val="000000" w:themeColor="text1"/>
                <w:sz w:val="24"/>
                <w:szCs w:val="24"/>
                <w:highlight w:val="none"/>
                <w14:textFill>
                  <w14:solidFill>
                    <w14:schemeClr w14:val="tx1"/>
                  </w14:solidFill>
                </w14:textFill>
              </w:rPr>
              <w:t>中文名称</w:t>
            </w:r>
          </w:p>
        </w:tc>
        <w:tc>
          <w:tcPr>
            <w:tcW w:w="3613" w:type="dxa"/>
            <w:gridSpan w:val="3"/>
            <w:shd w:val="clear" w:color="auto" w:fill="auto"/>
          </w:tcPr>
          <w:p>
            <w:pPr>
              <w:spacing w:line="560" w:lineRule="exact"/>
              <w:jc w:val="center"/>
              <w:rPr>
                <w:rFonts w:hint="eastAsia" w:ascii="仿宋" w:hAnsi="仿宋" w:eastAsia="仿宋" w:cs="Times New Roman"/>
                <w:color w:val="000000" w:themeColor="text1"/>
                <w:sz w:val="24"/>
                <w:szCs w:val="24"/>
                <w:highlight w:val="none"/>
                <w:lang w:eastAsia="zh-CN"/>
                <w14:textFill>
                  <w14:solidFill>
                    <w14:schemeClr w14:val="tx1"/>
                  </w14:solidFill>
                </w14:textFill>
              </w:rPr>
            </w:pPr>
            <w:r>
              <w:rPr>
                <w:rFonts w:ascii="仿宋" w:hAnsi="仿宋" w:eastAsia="仿宋" w:cs="Times New Roman"/>
                <w:color w:val="000000" w:themeColor="text1"/>
                <w:sz w:val="24"/>
                <w:szCs w:val="24"/>
                <w:highlight w:val="none"/>
                <w14:textFill>
                  <w14:solidFill>
                    <w14:schemeClr w14:val="tx1"/>
                  </w14:solidFill>
                </w14:textFill>
              </w:rPr>
              <w:t>XX</w:t>
            </w:r>
            <w:r>
              <w:rPr>
                <w:rFonts w:hint="eastAsia" w:ascii="仿宋" w:hAnsi="仿宋" w:eastAsia="仿宋" w:cs="Times New Roman"/>
                <w:color w:val="000000" w:themeColor="text1"/>
                <w:sz w:val="24"/>
                <w:szCs w:val="24"/>
                <w:highlight w:val="none"/>
                <w:lang w:eastAsia="zh-CN"/>
                <w14:textFill>
                  <w14:solidFill>
                    <w14:schemeClr w14:val="tx1"/>
                  </w14:solidFill>
                </w14:textFill>
              </w:rPr>
              <w:t>基金</w:t>
            </w:r>
          </w:p>
        </w:tc>
        <w:tc>
          <w:tcPr>
            <w:tcW w:w="1487" w:type="dxa"/>
            <w:shd w:val="clear" w:color="auto" w:fill="auto"/>
          </w:tcPr>
          <w:p>
            <w:pPr>
              <w:spacing w:line="560" w:lineRule="exac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Times New Roman"/>
                <w:color w:val="000000" w:themeColor="text1"/>
                <w:sz w:val="24"/>
                <w:szCs w:val="24"/>
                <w:highlight w:val="none"/>
                <w14:textFill>
                  <w14:solidFill>
                    <w14:schemeClr w14:val="tx1"/>
                  </w14:solidFill>
                </w14:textFill>
              </w:rPr>
              <w:t>基金类别</w:t>
            </w:r>
          </w:p>
        </w:tc>
        <w:tc>
          <w:tcPr>
            <w:tcW w:w="2270" w:type="dxa"/>
            <w:shd w:val="clear" w:color="auto" w:fill="auto"/>
          </w:tcPr>
          <w:p>
            <w:pPr>
              <w:spacing w:line="560" w:lineRule="exact"/>
              <w:jc w:val="center"/>
              <w:rPr>
                <w:rFonts w:hint="eastAsia" w:ascii="仿宋" w:hAnsi="仿宋" w:eastAsia="仿宋" w:cs="Times New Roman"/>
                <w:color w:val="000000" w:themeColor="text1"/>
                <w:sz w:val="24"/>
                <w:szCs w:val="24"/>
                <w:highlight w:val="none"/>
                <w:lang w:eastAsia="zh-CN"/>
                <w14:textFill>
                  <w14:solidFill>
                    <w14:schemeClr w14:val="tx1"/>
                  </w14:solidFill>
                </w14:textFill>
              </w:rPr>
            </w:pPr>
            <w:r>
              <w:rPr>
                <w:rFonts w:hint="eastAsia" w:ascii="仿宋" w:hAnsi="仿宋" w:eastAsia="仿宋" w:cs="Times New Roman"/>
                <w:color w:val="000000" w:themeColor="text1"/>
                <w:sz w:val="24"/>
                <w:szCs w:val="24"/>
                <w:highlight w:val="none"/>
                <w:lang w:eastAsia="zh-CN"/>
                <w14:textFill>
                  <w14:solidFill>
                    <w14:schemeClr w14:val="tx1"/>
                  </w14:solidFill>
                </w14:textFill>
              </w:rPr>
              <w:t>不动产基金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shd w:val="clear" w:color="auto" w:fill="auto"/>
          </w:tcPr>
          <w:p>
            <w:pPr>
              <w:spacing w:line="560" w:lineRule="exac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Times New Roman"/>
                <w:color w:val="000000" w:themeColor="text1"/>
                <w:sz w:val="24"/>
                <w:szCs w:val="24"/>
                <w:highlight w:val="none"/>
                <w14:textFill>
                  <w14:solidFill>
                    <w14:schemeClr w14:val="tx1"/>
                  </w14:solidFill>
                </w14:textFill>
              </w:rPr>
              <w:t>扩募份额</w:t>
            </w:r>
            <w:r>
              <w:rPr>
                <w:rFonts w:ascii="仿宋" w:hAnsi="仿宋" w:eastAsia="仿宋" w:cs="Times New Roman"/>
                <w:color w:val="000000" w:themeColor="text1"/>
                <w:sz w:val="24"/>
                <w:szCs w:val="24"/>
                <w:highlight w:val="none"/>
                <w14:textFill>
                  <w14:solidFill>
                    <w14:schemeClr w14:val="tx1"/>
                  </w14:solidFill>
                </w14:textFill>
              </w:rPr>
              <w:t>拟上市日期</w:t>
            </w:r>
          </w:p>
        </w:tc>
        <w:tc>
          <w:tcPr>
            <w:tcW w:w="3613" w:type="dxa"/>
            <w:gridSpan w:val="3"/>
            <w:shd w:val="clear" w:color="auto" w:fill="auto"/>
          </w:tcPr>
          <w:p>
            <w:pPr>
              <w:spacing w:line="560" w:lineRule="exact"/>
              <w:rPr>
                <w:rFonts w:ascii="仿宋" w:hAnsi="仿宋" w:eastAsia="仿宋" w:cs="Times New Roman"/>
                <w:color w:val="000000" w:themeColor="text1"/>
                <w:sz w:val="24"/>
                <w:szCs w:val="24"/>
                <w:highlight w:val="none"/>
                <w14:textFill>
                  <w14:solidFill>
                    <w14:schemeClr w14:val="tx1"/>
                  </w14:solidFill>
                </w14:textFill>
              </w:rPr>
            </w:pPr>
          </w:p>
        </w:tc>
        <w:tc>
          <w:tcPr>
            <w:tcW w:w="1487" w:type="dxa"/>
            <w:shd w:val="clear" w:color="auto" w:fill="auto"/>
          </w:tcPr>
          <w:p>
            <w:pPr>
              <w:spacing w:line="560" w:lineRule="exac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Times New Roman"/>
                <w:color w:val="000000" w:themeColor="text1"/>
                <w:sz w:val="24"/>
                <w:szCs w:val="24"/>
                <w:highlight w:val="none"/>
                <w14:textFill>
                  <w14:solidFill>
                    <w14:schemeClr w14:val="tx1"/>
                  </w14:solidFill>
                </w14:textFill>
              </w:rPr>
              <w:t>扩募方式</w:t>
            </w:r>
          </w:p>
        </w:tc>
        <w:tc>
          <w:tcPr>
            <w:tcW w:w="2270" w:type="dxa"/>
            <w:shd w:val="clear" w:color="auto" w:fill="auto"/>
          </w:tcPr>
          <w:p>
            <w:pPr>
              <w:spacing w:line="560" w:lineRule="exact"/>
              <w:rPr>
                <w:rFonts w:ascii="仿宋" w:hAnsi="仿宋" w:eastAsia="仿宋" w:cs="Times New Roman"/>
                <w:b/>
                <w:color w:val="000000" w:themeColor="text1"/>
                <w:sz w:val="24"/>
                <w:szCs w:val="24"/>
                <w:highlight w:val="none"/>
                <w14:textFill>
                  <w14:solidFill>
                    <w14:schemeClr w14:val="tx1"/>
                  </w14:solidFill>
                </w14:textFill>
              </w:rPr>
            </w:pPr>
            <w:r>
              <w:rPr>
                <w:rFonts w:hint="eastAsia" w:ascii="仿宋" w:hAnsi="仿宋" w:eastAsia="仿宋" w:cs="Times New Roman"/>
                <w:color w:val="000000" w:themeColor="text1"/>
                <w:sz w:val="24"/>
                <w:szCs w:val="24"/>
                <w:highlight w:val="none"/>
                <w14:textFill>
                  <w14:solidFill>
                    <w14:schemeClr w14:val="tx1"/>
                  </w14:solidFill>
                </w14:textFill>
              </w:rPr>
              <w:t>定向扩募/向原持有人配售/公开扩募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shd w:val="clear" w:color="auto" w:fill="auto"/>
          </w:tcPr>
          <w:p>
            <w:pPr>
              <w:spacing w:line="560" w:lineRule="exac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Times New Roman"/>
                <w:color w:val="000000" w:themeColor="text1"/>
                <w:sz w:val="24"/>
                <w:szCs w:val="24"/>
                <w:highlight w:val="none"/>
                <w14:textFill>
                  <w14:solidFill>
                    <w14:schemeClr w14:val="tx1"/>
                  </w14:solidFill>
                </w14:textFill>
              </w:rPr>
              <w:t>中文简称</w:t>
            </w:r>
          </w:p>
        </w:tc>
        <w:tc>
          <w:tcPr>
            <w:tcW w:w="913" w:type="dxa"/>
            <w:shd w:val="clear" w:color="auto" w:fill="auto"/>
          </w:tcPr>
          <w:p>
            <w:pPr>
              <w:spacing w:line="560" w:lineRule="exact"/>
              <w:rPr>
                <w:rFonts w:ascii="仿宋" w:hAnsi="仿宋" w:eastAsia="仿宋" w:cs="Times New Roman"/>
                <w:color w:val="000000" w:themeColor="text1"/>
                <w:sz w:val="24"/>
                <w:szCs w:val="24"/>
                <w:highlight w:val="none"/>
                <w14:textFill>
                  <w14:solidFill>
                    <w14:schemeClr w14:val="tx1"/>
                  </w14:solidFill>
                </w14:textFill>
              </w:rPr>
            </w:pPr>
          </w:p>
        </w:tc>
        <w:tc>
          <w:tcPr>
            <w:tcW w:w="1532" w:type="dxa"/>
            <w:shd w:val="clear" w:color="auto" w:fill="auto"/>
          </w:tcPr>
          <w:p>
            <w:pPr>
              <w:spacing w:line="560" w:lineRule="exact"/>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Times New Roman"/>
                <w:color w:val="000000" w:themeColor="text1"/>
                <w:sz w:val="24"/>
                <w:szCs w:val="24"/>
                <w:highlight w:val="none"/>
                <w14:textFill>
                  <w14:solidFill>
                    <w14:schemeClr w14:val="tx1"/>
                  </w14:solidFill>
                </w14:textFill>
              </w:rPr>
              <w:t>英文简称</w:t>
            </w:r>
          </w:p>
        </w:tc>
        <w:tc>
          <w:tcPr>
            <w:tcW w:w="1168" w:type="dxa"/>
            <w:shd w:val="clear" w:color="auto" w:fill="auto"/>
          </w:tcPr>
          <w:p>
            <w:pPr>
              <w:spacing w:line="560" w:lineRule="exact"/>
              <w:rPr>
                <w:rFonts w:ascii="仿宋" w:hAnsi="仿宋" w:eastAsia="仿宋" w:cs="Times New Roman"/>
                <w:color w:val="000000" w:themeColor="text1"/>
                <w:sz w:val="24"/>
                <w:szCs w:val="24"/>
                <w:highlight w:val="none"/>
                <w14:textFill>
                  <w14:solidFill>
                    <w14:schemeClr w14:val="tx1"/>
                  </w14:solidFill>
                </w14:textFill>
              </w:rPr>
            </w:pPr>
          </w:p>
        </w:tc>
        <w:tc>
          <w:tcPr>
            <w:tcW w:w="1487" w:type="dxa"/>
            <w:shd w:val="clear" w:color="auto" w:fill="auto"/>
          </w:tcPr>
          <w:p>
            <w:pPr>
              <w:spacing w:line="560" w:lineRule="exact"/>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Times New Roman"/>
                <w:color w:val="000000" w:themeColor="text1"/>
                <w:sz w:val="24"/>
                <w:szCs w:val="24"/>
                <w:highlight w:val="none"/>
                <w14:textFill>
                  <w14:solidFill>
                    <w14:schemeClr w14:val="tx1"/>
                  </w14:solidFill>
                </w14:textFill>
              </w:rPr>
              <w:t>本次扩募前份额</w:t>
            </w:r>
          </w:p>
        </w:tc>
        <w:tc>
          <w:tcPr>
            <w:tcW w:w="2270" w:type="dxa"/>
            <w:shd w:val="clear" w:color="auto" w:fill="auto"/>
          </w:tcPr>
          <w:p>
            <w:pPr>
              <w:spacing w:line="560" w:lineRule="exact"/>
              <w:rPr>
                <w:rFonts w:ascii="仿宋" w:hAnsi="仿宋" w:eastAsia="仿宋"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shd w:val="clear" w:color="auto" w:fill="auto"/>
          </w:tcPr>
          <w:p>
            <w:pPr>
              <w:spacing w:line="560" w:lineRule="exact"/>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Times New Roman"/>
                <w:color w:val="000000" w:themeColor="text1"/>
                <w:sz w:val="24"/>
                <w:szCs w:val="24"/>
                <w:highlight w:val="none"/>
                <w14:textFill>
                  <w14:solidFill>
                    <w14:schemeClr w14:val="tx1"/>
                  </w14:solidFill>
                </w14:textFill>
              </w:rPr>
              <w:t>基金</w:t>
            </w:r>
            <w:r>
              <w:rPr>
                <w:rFonts w:ascii="仿宋" w:hAnsi="仿宋" w:eastAsia="仿宋" w:cs="Times New Roman"/>
                <w:color w:val="000000" w:themeColor="text1"/>
                <w:sz w:val="24"/>
                <w:szCs w:val="24"/>
                <w:highlight w:val="none"/>
                <w14:textFill>
                  <w14:solidFill>
                    <w14:schemeClr w14:val="tx1"/>
                  </w14:solidFill>
                </w14:textFill>
              </w:rPr>
              <w:t>代码</w:t>
            </w:r>
          </w:p>
        </w:tc>
        <w:tc>
          <w:tcPr>
            <w:tcW w:w="913" w:type="dxa"/>
            <w:shd w:val="clear" w:color="auto" w:fill="auto"/>
          </w:tcPr>
          <w:p>
            <w:pPr>
              <w:spacing w:line="560" w:lineRule="exact"/>
              <w:rPr>
                <w:rFonts w:ascii="仿宋" w:hAnsi="仿宋" w:eastAsia="仿宋" w:cs="Times New Roman"/>
                <w:color w:val="000000" w:themeColor="text1"/>
                <w:sz w:val="24"/>
                <w:szCs w:val="24"/>
                <w:highlight w:val="none"/>
                <w14:textFill>
                  <w14:solidFill>
                    <w14:schemeClr w14:val="tx1"/>
                  </w14:solidFill>
                </w14:textFill>
              </w:rPr>
            </w:pPr>
          </w:p>
        </w:tc>
        <w:tc>
          <w:tcPr>
            <w:tcW w:w="1532" w:type="dxa"/>
            <w:shd w:val="clear" w:color="auto" w:fill="auto"/>
          </w:tcPr>
          <w:p>
            <w:pPr>
              <w:spacing w:line="560" w:lineRule="exact"/>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Times New Roman"/>
                <w:color w:val="000000" w:themeColor="text1"/>
                <w:sz w:val="24"/>
                <w:szCs w:val="24"/>
                <w:highlight w:val="none"/>
                <w14:textFill>
                  <w14:solidFill>
                    <w14:schemeClr w14:val="tx1"/>
                  </w14:solidFill>
                </w14:textFill>
              </w:rPr>
              <w:t>本次扩募份额</w:t>
            </w:r>
          </w:p>
        </w:tc>
        <w:tc>
          <w:tcPr>
            <w:tcW w:w="1168" w:type="dxa"/>
            <w:shd w:val="clear" w:color="auto" w:fill="auto"/>
          </w:tcPr>
          <w:p>
            <w:pPr>
              <w:spacing w:line="560" w:lineRule="exact"/>
              <w:rPr>
                <w:rFonts w:ascii="仿宋" w:hAnsi="仿宋" w:eastAsia="仿宋" w:cs="Times New Roman"/>
                <w:color w:val="000000" w:themeColor="text1"/>
                <w:sz w:val="24"/>
                <w:szCs w:val="24"/>
                <w:highlight w:val="none"/>
                <w14:textFill>
                  <w14:solidFill>
                    <w14:schemeClr w14:val="tx1"/>
                  </w14:solidFill>
                </w14:textFill>
              </w:rPr>
            </w:pPr>
          </w:p>
        </w:tc>
        <w:tc>
          <w:tcPr>
            <w:tcW w:w="1487" w:type="dxa"/>
            <w:shd w:val="clear" w:color="auto" w:fill="auto"/>
          </w:tcPr>
          <w:p>
            <w:pPr>
              <w:spacing w:line="560" w:lineRule="exact"/>
              <w:jc w:val="center"/>
              <w:rPr>
                <w:rFonts w:ascii="仿宋" w:hAnsi="仿宋" w:eastAsia="仿宋" w:cs="Times New Roman"/>
                <w:color w:val="000000" w:themeColor="text1"/>
                <w:sz w:val="24"/>
                <w:szCs w:val="24"/>
                <w:highlight w:val="none"/>
                <w14:textFill>
                  <w14:solidFill>
                    <w14:schemeClr w14:val="tx1"/>
                  </w14:solidFill>
                </w14:textFill>
              </w:rPr>
            </w:pPr>
            <w:r>
              <w:rPr>
                <w:rFonts w:hint="eastAsia" w:ascii="仿宋" w:hAnsi="仿宋" w:eastAsia="仿宋" w:cs="Times New Roman"/>
                <w:color w:val="000000" w:themeColor="text1"/>
                <w:sz w:val="24"/>
                <w:szCs w:val="24"/>
                <w:highlight w:val="none"/>
                <w14:textFill>
                  <w14:solidFill>
                    <w14:schemeClr w14:val="tx1"/>
                  </w14:solidFill>
                </w14:textFill>
              </w:rPr>
              <w:t>本次扩募后份额</w:t>
            </w:r>
          </w:p>
        </w:tc>
        <w:tc>
          <w:tcPr>
            <w:tcW w:w="2270" w:type="dxa"/>
            <w:shd w:val="clear" w:color="auto" w:fill="auto"/>
          </w:tcPr>
          <w:p>
            <w:pPr>
              <w:spacing w:line="560" w:lineRule="exact"/>
              <w:rPr>
                <w:rFonts w:ascii="仿宋" w:hAnsi="仿宋" w:eastAsia="仿宋"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shd w:val="clear" w:color="auto" w:fill="auto"/>
          </w:tcPr>
          <w:p>
            <w:pPr>
              <w:spacing w:line="560" w:lineRule="exac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Times New Roman"/>
                <w:color w:val="000000" w:themeColor="text1"/>
                <w:sz w:val="24"/>
                <w:szCs w:val="24"/>
                <w:highlight w:val="none"/>
                <w14:textFill>
                  <w14:solidFill>
                    <w14:schemeClr w14:val="tx1"/>
                  </w14:solidFill>
                </w14:textFill>
              </w:rPr>
              <w:t>合同</w:t>
            </w:r>
            <w:r>
              <w:rPr>
                <w:rFonts w:hint="eastAsia" w:ascii="仿宋" w:hAnsi="仿宋" w:eastAsia="仿宋" w:cs="Times New Roman"/>
                <w:color w:val="000000" w:themeColor="text1"/>
                <w:sz w:val="24"/>
                <w:szCs w:val="24"/>
                <w:highlight w:val="none"/>
                <w14:textFill>
                  <w14:solidFill>
                    <w14:schemeClr w14:val="tx1"/>
                  </w14:solidFill>
                </w14:textFill>
              </w:rPr>
              <w:t>更新生效</w:t>
            </w:r>
            <w:r>
              <w:rPr>
                <w:rFonts w:ascii="仿宋" w:hAnsi="仿宋" w:eastAsia="仿宋" w:cs="Times New Roman"/>
                <w:color w:val="000000" w:themeColor="text1"/>
                <w:sz w:val="24"/>
                <w:szCs w:val="24"/>
                <w:highlight w:val="none"/>
                <w14:textFill>
                  <w14:solidFill>
                    <w14:schemeClr w14:val="tx1"/>
                  </w14:solidFill>
                </w14:textFill>
              </w:rPr>
              <w:t>日</w:t>
            </w:r>
          </w:p>
        </w:tc>
        <w:tc>
          <w:tcPr>
            <w:tcW w:w="2445" w:type="dxa"/>
            <w:gridSpan w:val="2"/>
            <w:shd w:val="clear" w:color="auto" w:fill="auto"/>
          </w:tcPr>
          <w:p>
            <w:pPr>
              <w:spacing w:line="560" w:lineRule="exact"/>
              <w:jc w:val="center"/>
              <w:rPr>
                <w:rFonts w:ascii="仿宋" w:hAnsi="仿宋" w:eastAsia="仿宋" w:cs="Times New Roman"/>
                <w:color w:val="000000" w:themeColor="text1"/>
                <w:sz w:val="24"/>
                <w:szCs w:val="24"/>
                <w:highlight w:val="none"/>
                <w14:textFill>
                  <w14:solidFill>
                    <w14:schemeClr w14:val="tx1"/>
                  </w14:solidFill>
                </w14:textFill>
              </w:rPr>
            </w:pPr>
          </w:p>
        </w:tc>
        <w:tc>
          <w:tcPr>
            <w:tcW w:w="1168" w:type="dxa"/>
            <w:shd w:val="clear" w:color="auto" w:fill="auto"/>
          </w:tcPr>
          <w:p>
            <w:pPr>
              <w:spacing w:line="560" w:lineRule="exact"/>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Times New Roman"/>
                <w:color w:val="000000" w:themeColor="text1"/>
                <w:sz w:val="24"/>
                <w:szCs w:val="24"/>
                <w:highlight w:val="none"/>
                <w14:textFill>
                  <w14:solidFill>
                    <w14:schemeClr w14:val="tx1"/>
                  </w14:solidFill>
                </w14:textFill>
              </w:rPr>
              <w:t>基金合同期限</w:t>
            </w:r>
          </w:p>
        </w:tc>
        <w:tc>
          <w:tcPr>
            <w:tcW w:w="3757" w:type="dxa"/>
            <w:gridSpan w:val="2"/>
            <w:shd w:val="clear" w:color="auto" w:fill="auto"/>
          </w:tcPr>
          <w:p>
            <w:pPr>
              <w:spacing w:line="560" w:lineRule="exact"/>
              <w:rPr>
                <w:rFonts w:ascii="仿宋" w:hAnsi="仿宋" w:eastAsia="仿宋" w:cs="Times New Roman"/>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shd w:val="clear" w:color="auto" w:fill="auto"/>
          </w:tcPr>
          <w:p>
            <w:pPr>
              <w:spacing w:line="560" w:lineRule="exact"/>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Times New Roman"/>
                <w:color w:val="000000" w:themeColor="text1"/>
                <w:sz w:val="24"/>
                <w:szCs w:val="24"/>
                <w:highlight w:val="none"/>
                <w14:textFill>
                  <w14:solidFill>
                    <w14:schemeClr w14:val="tx1"/>
                  </w14:solidFill>
                </w14:textFill>
              </w:rPr>
              <w:t>管理人</w:t>
            </w:r>
          </w:p>
        </w:tc>
        <w:tc>
          <w:tcPr>
            <w:tcW w:w="3613" w:type="dxa"/>
            <w:gridSpan w:val="3"/>
            <w:shd w:val="clear" w:color="auto" w:fill="auto"/>
          </w:tcPr>
          <w:p>
            <w:pPr>
              <w:spacing w:line="560" w:lineRule="exact"/>
              <w:jc w:val="center"/>
              <w:rPr>
                <w:rFonts w:ascii="仿宋" w:hAnsi="仿宋" w:eastAsia="仿宋" w:cs="Times New Roman"/>
                <w:color w:val="000000" w:themeColor="text1"/>
                <w:sz w:val="24"/>
                <w:szCs w:val="24"/>
                <w:highlight w:val="none"/>
                <w14:textFill>
                  <w14:solidFill>
                    <w14:schemeClr w14:val="tx1"/>
                  </w14:solidFill>
                </w14:textFill>
              </w:rPr>
            </w:pPr>
          </w:p>
        </w:tc>
        <w:tc>
          <w:tcPr>
            <w:tcW w:w="1487" w:type="dxa"/>
            <w:shd w:val="clear" w:color="auto" w:fill="auto"/>
          </w:tcPr>
          <w:p>
            <w:pPr>
              <w:spacing w:line="560" w:lineRule="exact"/>
              <w:jc w:val="center"/>
              <w:rPr>
                <w:rFonts w:ascii="仿宋" w:hAnsi="仿宋" w:eastAsia="仿宋" w:cs="Times New Roman"/>
                <w:color w:val="000000" w:themeColor="text1"/>
                <w:sz w:val="24"/>
                <w:szCs w:val="24"/>
                <w:highlight w:val="none"/>
                <w14:textFill>
                  <w14:solidFill>
                    <w14:schemeClr w14:val="tx1"/>
                  </w14:solidFill>
                </w14:textFill>
              </w:rPr>
            </w:pPr>
            <w:r>
              <w:rPr>
                <w:rFonts w:ascii="仿宋" w:hAnsi="仿宋" w:eastAsia="仿宋" w:cs="Times New Roman"/>
                <w:color w:val="000000" w:themeColor="text1"/>
                <w:sz w:val="24"/>
                <w:szCs w:val="24"/>
                <w:highlight w:val="none"/>
                <w14:textFill>
                  <w14:solidFill>
                    <w14:schemeClr w14:val="tx1"/>
                  </w14:solidFill>
                </w14:textFill>
              </w:rPr>
              <w:t>托管人</w:t>
            </w:r>
          </w:p>
        </w:tc>
        <w:tc>
          <w:tcPr>
            <w:tcW w:w="2270" w:type="dxa"/>
            <w:shd w:val="clear" w:color="auto" w:fill="auto"/>
          </w:tcPr>
          <w:p>
            <w:pPr>
              <w:spacing w:line="560" w:lineRule="exact"/>
              <w:jc w:val="center"/>
              <w:rPr>
                <w:rFonts w:ascii="仿宋" w:hAnsi="仿宋" w:eastAsia="仿宋" w:cs="Times New Roman"/>
                <w:color w:val="000000" w:themeColor="text1"/>
                <w:sz w:val="24"/>
                <w:szCs w:val="24"/>
                <w:highlight w:val="none"/>
                <w14:textFill>
                  <w14:solidFill>
                    <w14:schemeClr w14:val="tx1"/>
                  </w14:solidFill>
                </w14:textFill>
              </w:rPr>
            </w:pPr>
          </w:p>
        </w:tc>
      </w:tr>
    </w:tbl>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p>
      <w:pPr>
        <w:spacing w:line="560" w:lineRule="exact"/>
        <w:ind w:firstLine="562" w:firstLineChars="200"/>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二、募集情况</w:t>
      </w:r>
    </w:p>
    <w:p>
      <w:pPr>
        <w:spacing w:line="560" w:lineRule="exact"/>
        <w:ind w:firstLine="560" w:firstLineChars="200"/>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经中国证监会《关于核准XX</w:t>
      </w:r>
      <w:r>
        <w:rPr>
          <w:rFonts w:hint="eastAsia" w:ascii="仿宋" w:hAnsi="仿宋" w:eastAsia="仿宋" w:cs="Times New Roman"/>
          <w:color w:val="000000" w:themeColor="text1"/>
          <w:sz w:val="28"/>
          <w:szCs w:val="28"/>
          <w:highlight w:val="none"/>
          <w:lang w:eastAsia="zh-CN"/>
          <w14:textFill>
            <w14:solidFill>
              <w14:schemeClr w14:val="tx1"/>
            </w14:solidFill>
          </w14:textFill>
        </w:rPr>
        <w:t>基金</w:t>
      </w:r>
      <w:r>
        <w:rPr>
          <w:rFonts w:hint="eastAsia" w:ascii="仿宋" w:hAnsi="仿宋" w:eastAsia="仿宋" w:cs="Times New Roman"/>
          <w:color w:val="000000" w:themeColor="text1"/>
          <w:sz w:val="28"/>
          <w:szCs w:val="28"/>
          <w:highlight w:val="none"/>
          <w14:textFill>
            <w14:solidFill>
              <w14:schemeClr w14:val="tx1"/>
            </w14:solidFill>
          </w14:textFill>
        </w:rPr>
        <w:t>变更注册</w:t>
      </w:r>
      <w:r>
        <w:rPr>
          <w:rFonts w:ascii="仿宋" w:hAnsi="仿宋" w:eastAsia="仿宋" w:cs="Times New Roman"/>
          <w:color w:val="000000" w:themeColor="text1"/>
          <w:sz w:val="28"/>
          <w:szCs w:val="28"/>
          <w:highlight w:val="none"/>
          <w14:textFill>
            <w14:solidFill>
              <w14:schemeClr w14:val="tx1"/>
            </w14:solidFill>
          </w14:textFill>
        </w:rPr>
        <w:t>的批复》（证监许可[xxxx]xxx号）批准，于XX年XX月XX日开始募集，并于XX年XX月XX日募集结束。经中国证监会《关于XX</w:t>
      </w:r>
      <w:r>
        <w:rPr>
          <w:rFonts w:hint="eastAsia" w:ascii="仿宋" w:hAnsi="仿宋" w:eastAsia="仿宋" w:cs="Times New Roman"/>
          <w:color w:val="000000" w:themeColor="text1"/>
          <w:sz w:val="28"/>
          <w:szCs w:val="28"/>
          <w:highlight w:val="none"/>
          <w:lang w:eastAsia="zh-CN"/>
          <w14:textFill>
            <w14:solidFill>
              <w14:schemeClr w14:val="tx1"/>
            </w14:solidFill>
          </w14:textFill>
        </w:rPr>
        <w:t>基金</w:t>
      </w:r>
      <w:r>
        <w:rPr>
          <w:rFonts w:hint="eastAsia" w:ascii="仿宋" w:hAnsi="仿宋" w:eastAsia="仿宋" w:cs="Times New Roman"/>
          <w:color w:val="000000" w:themeColor="text1"/>
          <w:sz w:val="28"/>
          <w:szCs w:val="28"/>
          <w:highlight w:val="none"/>
          <w14:textFill>
            <w14:solidFill>
              <w14:schemeClr w14:val="tx1"/>
            </w14:solidFill>
          </w14:textFill>
        </w:rPr>
        <w:t>扩募份额</w:t>
      </w:r>
      <w:r>
        <w:rPr>
          <w:rFonts w:ascii="仿宋" w:hAnsi="仿宋" w:eastAsia="仿宋" w:cs="Times New Roman"/>
          <w:color w:val="000000" w:themeColor="text1"/>
          <w:sz w:val="28"/>
          <w:szCs w:val="28"/>
          <w:highlight w:val="none"/>
          <w14:textFill>
            <w14:solidFill>
              <w14:schemeClr w14:val="tx1"/>
            </w14:solidFill>
          </w14:textFill>
        </w:rPr>
        <w:t>备案确认的函》（机构部函[xxxx]xxx号）同意，于XX</w:t>
      </w:r>
      <w:r>
        <w:rPr>
          <w:rFonts w:ascii="仿宋" w:hAnsi="仿宋" w:eastAsia="仿宋" w:cs="Times New Roman"/>
          <w:color w:val="000000" w:themeColor="text1"/>
          <w:kern w:val="0"/>
          <w:sz w:val="28"/>
          <w:szCs w:val="28"/>
          <w:highlight w:val="none"/>
          <w14:textFill>
            <w14:solidFill>
              <w14:schemeClr w14:val="tx1"/>
            </w14:solidFill>
          </w14:textFill>
        </w:rPr>
        <w:t>XX</w:t>
      </w:r>
      <w:r>
        <w:rPr>
          <w:rFonts w:ascii="仿宋" w:hAnsi="仿宋" w:eastAsia="仿宋" w:cs="Times New Roman"/>
          <w:color w:val="000000" w:themeColor="text1"/>
          <w:sz w:val="28"/>
          <w:szCs w:val="28"/>
          <w:highlight w:val="none"/>
          <w14:textFill>
            <w14:solidFill>
              <w14:schemeClr w14:val="tx1"/>
            </w14:solidFill>
          </w14:textFill>
        </w:rPr>
        <w:t>年XX月XX日基金合同</w:t>
      </w:r>
      <w:r>
        <w:rPr>
          <w:rFonts w:hint="eastAsia" w:ascii="仿宋" w:hAnsi="仿宋" w:eastAsia="仿宋" w:cs="Times New Roman"/>
          <w:color w:val="000000" w:themeColor="text1"/>
          <w:sz w:val="28"/>
          <w:szCs w:val="28"/>
          <w:highlight w:val="none"/>
          <w14:textFill>
            <w14:solidFill>
              <w14:schemeClr w14:val="tx1"/>
            </w14:solidFill>
          </w14:textFill>
        </w:rPr>
        <w:t>更新生效</w:t>
      </w:r>
      <w:r>
        <w:rPr>
          <w:rFonts w:ascii="仿宋" w:hAnsi="仿宋" w:eastAsia="仿宋" w:cs="Times New Roman"/>
          <w:color w:val="000000" w:themeColor="text1"/>
          <w:sz w:val="28"/>
          <w:szCs w:val="28"/>
          <w:highlight w:val="none"/>
          <w14:textFill>
            <w14:solidFill>
              <w14:schemeClr w14:val="tx1"/>
            </w14:solidFill>
          </w14:textFill>
        </w:rPr>
        <w:t>。</w:t>
      </w:r>
    </w:p>
    <w:p>
      <w:pPr>
        <w:tabs>
          <w:tab w:val="left" w:pos="5159"/>
          <w:tab w:val="left" w:pos="6098"/>
        </w:tabs>
        <w:spacing w:line="560" w:lineRule="exact"/>
        <w:ind w:firstLine="560" w:firstLineChars="200"/>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经XX会计师事务所《XX验资报告》（验资报告文号）审验， XX</w:t>
      </w:r>
      <w:r>
        <w:rPr>
          <w:rFonts w:hint="eastAsia" w:ascii="仿宋" w:hAnsi="仿宋" w:eastAsia="仿宋" w:cs="Times New Roman"/>
          <w:color w:val="000000" w:themeColor="text1"/>
          <w:sz w:val="28"/>
          <w:szCs w:val="28"/>
          <w:highlight w:val="none"/>
          <w:lang w:eastAsia="zh-CN"/>
          <w14:textFill>
            <w14:solidFill>
              <w14:schemeClr w14:val="tx1"/>
            </w14:solidFill>
          </w14:textFill>
        </w:rPr>
        <w:t>基金</w:t>
      </w:r>
      <w:r>
        <w:rPr>
          <w:rFonts w:hint="eastAsia" w:ascii="仿宋" w:hAnsi="仿宋" w:eastAsia="仿宋" w:cs="Times New Roman"/>
          <w:color w:val="000000" w:themeColor="text1"/>
          <w:sz w:val="28"/>
          <w:szCs w:val="28"/>
          <w:highlight w:val="none"/>
          <w14:textFill>
            <w14:solidFill>
              <w14:schemeClr w14:val="tx1"/>
            </w14:solidFill>
          </w14:textFill>
        </w:rPr>
        <w:t>本次扩募</w:t>
      </w:r>
      <w:r>
        <w:rPr>
          <w:rFonts w:ascii="仿宋" w:hAnsi="仿宋" w:eastAsia="仿宋" w:cs="Times New Roman"/>
          <w:color w:val="000000" w:themeColor="text1"/>
          <w:sz w:val="28"/>
          <w:szCs w:val="28"/>
          <w:highlight w:val="none"/>
          <w14:textFill>
            <w14:solidFill>
              <w14:schemeClr w14:val="tx1"/>
            </w14:solidFill>
          </w14:textFill>
        </w:rPr>
        <w:t>份额为XX份，有效认购户数为XX户</w:t>
      </w:r>
      <w:r>
        <w:rPr>
          <w:rFonts w:hint="eastAsia" w:ascii="仿宋" w:hAnsi="仿宋" w:eastAsia="仿宋" w:cs="Times New Roman"/>
          <w:color w:val="000000" w:themeColor="text1"/>
          <w:sz w:val="28"/>
          <w:szCs w:val="28"/>
          <w:highlight w:val="none"/>
          <w14:textFill>
            <w14:solidFill>
              <w14:schemeClr w14:val="tx1"/>
            </w14:solidFill>
          </w14:textFill>
        </w:rPr>
        <w:t>。</w:t>
      </w:r>
      <w:r>
        <w:rPr>
          <w:rFonts w:hint="eastAsia" w:ascii="仿宋" w:hAnsi="仿宋" w:eastAsia="仿宋" w:cs="Times New Roman"/>
          <w:color w:val="000000" w:themeColor="text1"/>
          <w:kern w:val="0"/>
          <w:sz w:val="28"/>
          <w:szCs w:val="28"/>
          <w:highlight w:val="none"/>
          <w14:textFill>
            <w14:solidFill>
              <w14:schemeClr w14:val="tx1"/>
            </w14:solidFill>
          </w14:textFill>
        </w:rPr>
        <w:t>本次扩募完成后，总募集</w:t>
      </w:r>
      <w:r>
        <w:rPr>
          <w:rFonts w:ascii="仿宋" w:hAnsi="仿宋" w:eastAsia="仿宋" w:cs="Times New Roman"/>
          <w:color w:val="000000" w:themeColor="text1"/>
          <w:kern w:val="0"/>
          <w:sz w:val="28"/>
          <w:szCs w:val="28"/>
          <w:highlight w:val="none"/>
          <w14:textFill>
            <w14:solidFill>
              <w14:schemeClr w14:val="tx1"/>
            </w14:solidFill>
          </w14:textFill>
        </w:rPr>
        <w:t>金额XX元</w:t>
      </w:r>
      <w:r>
        <w:rPr>
          <w:rFonts w:ascii="仿宋" w:hAnsi="仿宋" w:eastAsia="仿宋" w:cs="Times New Roman"/>
          <w:color w:val="000000" w:themeColor="text1"/>
          <w:sz w:val="28"/>
          <w:szCs w:val="28"/>
          <w:highlight w:val="none"/>
          <w14:textFill>
            <w14:solidFill>
              <w14:schemeClr w14:val="tx1"/>
            </w14:solidFill>
          </w14:textFill>
        </w:rPr>
        <w:t>。</w:t>
      </w:r>
      <w:r>
        <w:rPr>
          <w:rFonts w:ascii="仿宋" w:hAnsi="仿宋" w:eastAsia="仿宋" w:cs="Times New Roman"/>
          <w:color w:val="000000" w:themeColor="text1"/>
          <w:sz w:val="28"/>
          <w:szCs w:val="28"/>
          <w:highlight w:val="none"/>
          <w14:textFill>
            <w14:solidFill>
              <w14:schemeClr w14:val="tx1"/>
            </w14:solidFill>
          </w14:textFill>
        </w:rPr>
        <w:tab/>
      </w:r>
      <w:r>
        <w:rPr>
          <w:rFonts w:ascii="仿宋" w:hAnsi="仿宋" w:eastAsia="仿宋" w:cs="Times New Roman"/>
          <w:color w:val="000000" w:themeColor="text1"/>
          <w:sz w:val="28"/>
          <w:szCs w:val="28"/>
          <w:highlight w:val="none"/>
          <w14:textFill>
            <w14:solidFill>
              <w14:schemeClr w14:val="tx1"/>
            </w14:solidFill>
          </w14:textFill>
        </w:rPr>
        <w:tab/>
      </w:r>
    </w:p>
    <w:p>
      <w:pPr>
        <w:snapToGrid w:val="0"/>
        <w:spacing w:line="560" w:lineRule="exact"/>
        <w:rPr>
          <w:rFonts w:ascii="仿宋" w:hAnsi="仿宋" w:eastAsia="仿宋" w:cs="Times New Roman"/>
          <w:color w:val="000000" w:themeColor="text1"/>
          <w:sz w:val="28"/>
          <w:szCs w:val="28"/>
          <w:highlight w:val="none"/>
          <w14:textFill>
            <w14:solidFill>
              <w14:schemeClr w14:val="tx1"/>
            </w14:solidFill>
          </w14:textFill>
        </w:rPr>
      </w:pPr>
    </w:p>
    <w:p>
      <w:pPr>
        <w:spacing w:line="560" w:lineRule="exact"/>
        <w:ind w:firstLine="562" w:firstLineChars="200"/>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三、持有人结构</w:t>
      </w:r>
    </w:p>
    <w:p>
      <w:pPr>
        <w:spacing w:line="560" w:lineRule="exact"/>
        <w:ind w:firstLine="560" w:firstLineChars="200"/>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截止XX年XX月XX日（上市申请日前一工作日），XX基金</w:t>
      </w:r>
      <w:r>
        <w:rPr>
          <w:rFonts w:hint="eastAsia" w:ascii="仿宋" w:hAnsi="仿宋" w:eastAsia="仿宋" w:cs="Times New Roman"/>
          <w:color w:val="000000" w:themeColor="text1"/>
          <w:sz w:val="28"/>
          <w:szCs w:val="28"/>
          <w:highlight w:val="none"/>
          <w14:textFill>
            <w14:solidFill>
              <w14:schemeClr w14:val="tx1"/>
            </w14:solidFill>
          </w14:textFill>
        </w:rPr>
        <w:t>完成扩募后，基金全部份额</w:t>
      </w:r>
      <w:r>
        <w:rPr>
          <w:rFonts w:ascii="仿宋" w:hAnsi="仿宋" w:eastAsia="仿宋" w:cs="Times New Roman"/>
          <w:color w:val="000000" w:themeColor="text1"/>
          <w:sz w:val="28"/>
          <w:szCs w:val="28"/>
          <w:highlight w:val="none"/>
          <w14:textFill>
            <w14:solidFill>
              <w14:schemeClr w14:val="tx1"/>
            </w14:solidFill>
          </w14:textFill>
        </w:rPr>
        <w:t>持有人</w:t>
      </w:r>
      <w:r>
        <w:rPr>
          <w:rFonts w:hint="eastAsia" w:ascii="仿宋" w:hAnsi="仿宋" w:eastAsia="仿宋" w:cs="Times New Roman"/>
          <w:color w:val="000000" w:themeColor="text1"/>
          <w:sz w:val="28"/>
          <w:szCs w:val="28"/>
          <w:highlight w:val="none"/>
          <w14:textFill>
            <w14:solidFill>
              <w14:schemeClr w14:val="tx1"/>
            </w14:solidFill>
          </w14:textFill>
        </w:rPr>
        <w:t>整体</w:t>
      </w:r>
      <w:r>
        <w:rPr>
          <w:rFonts w:ascii="仿宋" w:hAnsi="仿宋" w:eastAsia="仿宋" w:cs="Times New Roman"/>
          <w:color w:val="000000" w:themeColor="text1"/>
          <w:sz w:val="28"/>
          <w:szCs w:val="28"/>
          <w:highlight w:val="none"/>
          <w14:textFill>
            <w14:solidFill>
              <w14:schemeClr w14:val="tx1"/>
            </w14:solidFill>
          </w14:textFill>
        </w:rPr>
        <w:t>结构如下：</w:t>
      </w:r>
    </w:p>
    <w:tbl>
      <w:tblPr>
        <w:tblStyle w:val="17"/>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065"/>
        <w:gridCol w:w="1275"/>
        <w:gridCol w:w="1269"/>
        <w:gridCol w:w="1065"/>
        <w:gridCol w:w="1290"/>
        <w:gridCol w:w="116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restart"/>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c>
          <w:tcPr>
            <w:tcW w:w="3609" w:type="dxa"/>
            <w:gridSpan w:val="3"/>
            <w:shd w:val="clear" w:color="auto" w:fill="auto"/>
            <w:vAlign w:val="center"/>
          </w:tcPr>
          <w:p>
            <w:pPr>
              <w:spacing w:line="560" w:lineRule="exact"/>
              <w:jc w:val="center"/>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场外</w:t>
            </w:r>
          </w:p>
        </w:tc>
        <w:tc>
          <w:tcPr>
            <w:tcW w:w="3522" w:type="dxa"/>
            <w:gridSpan w:val="3"/>
            <w:shd w:val="clear" w:color="auto" w:fill="auto"/>
            <w:vAlign w:val="center"/>
          </w:tcPr>
          <w:p>
            <w:pPr>
              <w:spacing w:line="560" w:lineRule="exact"/>
              <w:jc w:val="center"/>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场内</w:t>
            </w:r>
          </w:p>
        </w:tc>
        <w:tc>
          <w:tcPr>
            <w:tcW w:w="1066" w:type="dxa"/>
            <w:vMerge w:val="restart"/>
            <w:shd w:val="clear" w:color="auto" w:fill="auto"/>
            <w:vAlign w:val="center"/>
          </w:tcPr>
          <w:p>
            <w:pPr>
              <w:spacing w:line="560" w:lineRule="exact"/>
              <w:jc w:val="center"/>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份额小计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shd w:val="clear" w:color="auto" w:fill="auto"/>
            <w:vAlign w:val="center"/>
          </w:tcPr>
          <w:p>
            <w:pPr>
              <w:spacing w:line="560" w:lineRule="exact"/>
              <w:jc w:val="center"/>
              <w:rPr>
                <w:rFonts w:ascii="仿宋" w:hAnsi="仿宋" w:eastAsia="仿宋" w:cs="Times New Roman"/>
                <w:color w:val="000000" w:themeColor="text1"/>
                <w:sz w:val="28"/>
                <w:szCs w:val="28"/>
                <w:highlight w:val="none"/>
                <w14:textFill>
                  <w14:solidFill>
                    <w14:schemeClr w14:val="tx1"/>
                  </w14:solidFill>
                </w14:textFill>
              </w:rPr>
            </w:pPr>
          </w:p>
        </w:tc>
        <w:tc>
          <w:tcPr>
            <w:tcW w:w="1065" w:type="dxa"/>
            <w:shd w:val="clear" w:color="auto" w:fill="auto"/>
            <w:vAlign w:val="center"/>
          </w:tcPr>
          <w:p>
            <w:pPr>
              <w:spacing w:line="560" w:lineRule="exact"/>
              <w:jc w:val="center"/>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持有份数</w:t>
            </w:r>
          </w:p>
        </w:tc>
        <w:tc>
          <w:tcPr>
            <w:tcW w:w="1275" w:type="dxa"/>
            <w:shd w:val="clear" w:color="auto" w:fill="auto"/>
            <w:vAlign w:val="center"/>
          </w:tcPr>
          <w:p>
            <w:pPr>
              <w:spacing w:line="560" w:lineRule="exact"/>
              <w:jc w:val="center"/>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持有人总数</w:t>
            </w:r>
          </w:p>
        </w:tc>
        <w:tc>
          <w:tcPr>
            <w:tcW w:w="1269" w:type="dxa"/>
            <w:shd w:val="clear" w:color="auto" w:fill="auto"/>
            <w:vAlign w:val="center"/>
          </w:tcPr>
          <w:p>
            <w:pPr>
              <w:spacing w:line="560" w:lineRule="exact"/>
              <w:jc w:val="center"/>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份额比例%</w:t>
            </w:r>
          </w:p>
        </w:tc>
        <w:tc>
          <w:tcPr>
            <w:tcW w:w="1065" w:type="dxa"/>
            <w:shd w:val="clear" w:color="auto" w:fill="auto"/>
            <w:vAlign w:val="center"/>
          </w:tcPr>
          <w:p>
            <w:pPr>
              <w:spacing w:line="560" w:lineRule="exact"/>
              <w:jc w:val="center"/>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持有份数</w:t>
            </w:r>
          </w:p>
        </w:tc>
        <w:tc>
          <w:tcPr>
            <w:tcW w:w="1290" w:type="dxa"/>
            <w:shd w:val="clear" w:color="auto" w:fill="auto"/>
            <w:vAlign w:val="center"/>
          </w:tcPr>
          <w:p>
            <w:pPr>
              <w:spacing w:line="560" w:lineRule="exact"/>
              <w:jc w:val="center"/>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持有人总数</w:t>
            </w:r>
          </w:p>
        </w:tc>
        <w:tc>
          <w:tcPr>
            <w:tcW w:w="1167" w:type="dxa"/>
            <w:shd w:val="clear" w:color="auto" w:fill="auto"/>
            <w:vAlign w:val="center"/>
          </w:tcPr>
          <w:p>
            <w:pPr>
              <w:spacing w:line="560" w:lineRule="exact"/>
              <w:jc w:val="center"/>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份额比例%</w:t>
            </w:r>
          </w:p>
        </w:tc>
        <w:tc>
          <w:tcPr>
            <w:tcW w:w="1066" w:type="dxa"/>
            <w:vMerge w:val="continue"/>
            <w:shd w:val="clear" w:color="auto" w:fill="auto"/>
            <w:vAlign w:val="center"/>
          </w:tcPr>
          <w:p>
            <w:pPr>
              <w:spacing w:line="560" w:lineRule="exact"/>
              <w:jc w:val="center"/>
              <w:rPr>
                <w:rFonts w:ascii="仿宋" w:hAnsi="仿宋" w:eastAsia="仿宋"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个人投资者</w:t>
            </w:r>
          </w:p>
        </w:tc>
        <w:tc>
          <w:tcPr>
            <w:tcW w:w="1065"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c>
          <w:tcPr>
            <w:tcW w:w="1275"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c>
          <w:tcPr>
            <w:tcW w:w="1269"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c>
          <w:tcPr>
            <w:tcW w:w="1065"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c>
          <w:tcPr>
            <w:tcW w:w="1290"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c>
          <w:tcPr>
            <w:tcW w:w="1167"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c>
          <w:tcPr>
            <w:tcW w:w="1066"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机构投资者</w:t>
            </w:r>
          </w:p>
        </w:tc>
        <w:tc>
          <w:tcPr>
            <w:tcW w:w="1065"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c>
          <w:tcPr>
            <w:tcW w:w="1275"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c>
          <w:tcPr>
            <w:tcW w:w="1269"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c>
          <w:tcPr>
            <w:tcW w:w="1065"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c>
          <w:tcPr>
            <w:tcW w:w="1290"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c>
          <w:tcPr>
            <w:tcW w:w="1167"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c>
          <w:tcPr>
            <w:tcW w:w="1066"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合计</w:t>
            </w:r>
          </w:p>
        </w:tc>
        <w:tc>
          <w:tcPr>
            <w:tcW w:w="1065"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c>
          <w:tcPr>
            <w:tcW w:w="1275" w:type="dxa"/>
            <w:shd w:val="clear" w:color="auto" w:fill="auto"/>
            <w:vAlign w:val="center"/>
          </w:tcPr>
          <w:p>
            <w:pPr>
              <w:spacing w:line="560" w:lineRule="exact"/>
              <w:jc w:val="center"/>
              <w:rPr>
                <w:rFonts w:ascii="仿宋" w:hAnsi="仿宋" w:eastAsia="仿宋" w:cs="Times New Roman"/>
                <w:color w:val="000000" w:themeColor="text1"/>
                <w:sz w:val="28"/>
                <w:szCs w:val="28"/>
                <w:highlight w:val="none"/>
                <w14:textFill>
                  <w14:solidFill>
                    <w14:schemeClr w14:val="tx1"/>
                  </w14:solidFill>
                </w14:textFill>
              </w:rPr>
            </w:pPr>
          </w:p>
        </w:tc>
        <w:tc>
          <w:tcPr>
            <w:tcW w:w="1269"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c>
          <w:tcPr>
            <w:tcW w:w="1065"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c>
          <w:tcPr>
            <w:tcW w:w="1290" w:type="dxa"/>
            <w:shd w:val="clear" w:color="auto" w:fill="auto"/>
            <w:vAlign w:val="center"/>
          </w:tcPr>
          <w:p>
            <w:pPr>
              <w:spacing w:line="560" w:lineRule="exact"/>
              <w:jc w:val="center"/>
              <w:rPr>
                <w:rFonts w:ascii="仿宋" w:hAnsi="仿宋" w:eastAsia="仿宋" w:cs="Times New Roman"/>
                <w:color w:val="000000" w:themeColor="text1"/>
                <w:sz w:val="28"/>
                <w:szCs w:val="28"/>
                <w:highlight w:val="none"/>
                <w14:textFill>
                  <w14:solidFill>
                    <w14:schemeClr w14:val="tx1"/>
                  </w14:solidFill>
                </w14:textFill>
              </w:rPr>
            </w:pPr>
          </w:p>
        </w:tc>
        <w:tc>
          <w:tcPr>
            <w:tcW w:w="1167" w:type="dxa"/>
            <w:shd w:val="clear" w:color="auto" w:fill="auto"/>
            <w:vAlign w:val="center"/>
          </w:tcPr>
          <w:p>
            <w:pPr>
              <w:spacing w:line="560" w:lineRule="exact"/>
              <w:rPr>
                <w:rFonts w:ascii="仿宋" w:hAnsi="仿宋" w:eastAsia="仿宋" w:cs="Times New Roman"/>
                <w:color w:val="000000" w:themeColor="text1"/>
                <w:sz w:val="28"/>
                <w:szCs w:val="28"/>
                <w:highlight w:val="none"/>
                <w14:textFill>
                  <w14:solidFill>
                    <w14:schemeClr w14:val="tx1"/>
                  </w14:solidFill>
                </w14:textFill>
              </w:rPr>
            </w:pPr>
          </w:p>
        </w:tc>
        <w:tc>
          <w:tcPr>
            <w:tcW w:w="1066" w:type="dxa"/>
            <w:shd w:val="clear" w:color="auto" w:fill="auto"/>
            <w:vAlign w:val="center"/>
          </w:tcPr>
          <w:p>
            <w:pPr>
              <w:spacing w:line="560" w:lineRule="exact"/>
              <w:jc w:val="center"/>
              <w:rPr>
                <w:rFonts w:ascii="仿宋" w:hAnsi="仿宋" w:eastAsia="仿宋" w:cs="Times New Roman"/>
                <w:color w:val="000000" w:themeColor="text1"/>
                <w:sz w:val="28"/>
                <w:szCs w:val="28"/>
                <w:highlight w:val="none"/>
                <w14:textFill>
                  <w14:solidFill>
                    <w14:schemeClr w14:val="tx1"/>
                  </w14:solidFill>
                </w14:textFill>
              </w:rPr>
            </w:pPr>
          </w:p>
        </w:tc>
      </w:tr>
    </w:tbl>
    <w:p>
      <w:pPr>
        <w:snapToGrid w:val="0"/>
        <w:spacing w:line="560" w:lineRule="exact"/>
        <w:rPr>
          <w:rFonts w:ascii="仿宋" w:hAnsi="仿宋" w:eastAsia="仿宋" w:cs="Times New Roman"/>
          <w:color w:val="000000" w:themeColor="text1"/>
          <w:sz w:val="28"/>
          <w:szCs w:val="28"/>
          <w:highlight w:val="none"/>
          <w14:textFill>
            <w14:solidFill>
              <w14:schemeClr w14:val="tx1"/>
            </w14:solidFill>
          </w14:textFill>
        </w:rPr>
      </w:pPr>
    </w:p>
    <w:p>
      <w:pPr>
        <w:spacing w:line="560" w:lineRule="exact"/>
        <w:ind w:firstLine="562" w:firstLineChars="200"/>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四、上市工作安排</w:t>
      </w:r>
    </w:p>
    <w:p>
      <w:pPr>
        <w:spacing w:line="560" w:lineRule="exact"/>
        <w:ind w:firstLine="560" w:firstLineChars="200"/>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1、XX年XX月XX日（至少在公告日前二个工作日），提交上市申请。</w:t>
      </w:r>
    </w:p>
    <w:p>
      <w:pPr>
        <w:spacing w:line="560" w:lineRule="exact"/>
        <w:ind w:firstLine="560" w:firstLineChars="200"/>
        <w:rPr>
          <w:rFonts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2</w:t>
      </w:r>
      <w:r>
        <w:rPr>
          <w:rFonts w:ascii="仿宋" w:hAnsi="仿宋" w:eastAsia="仿宋" w:cs="Times New Roman"/>
          <w:color w:val="000000" w:themeColor="text1"/>
          <w:sz w:val="28"/>
          <w:szCs w:val="28"/>
          <w:highlight w:val="none"/>
          <w14:textFill>
            <w14:solidFill>
              <w14:schemeClr w14:val="tx1"/>
            </w14:solidFill>
          </w14:textFill>
        </w:rPr>
        <w:t>、XX年XX月XX日（上市首日前三个工作日），刊登《上市公告书》。</w:t>
      </w:r>
    </w:p>
    <w:p>
      <w:pPr>
        <w:spacing w:line="560" w:lineRule="exact"/>
        <w:ind w:firstLine="560" w:firstLineChars="200"/>
        <w:rPr>
          <w:rFonts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3</w:t>
      </w:r>
      <w:r>
        <w:rPr>
          <w:rFonts w:ascii="仿宋" w:hAnsi="仿宋" w:eastAsia="仿宋" w:cs="Times New Roman"/>
          <w:color w:val="000000" w:themeColor="text1"/>
          <w:sz w:val="28"/>
          <w:szCs w:val="28"/>
          <w:highlight w:val="none"/>
          <w14:textFill>
            <w14:solidFill>
              <w14:schemeClr w14:val="tx1"/>
            </w14:solidFill>
          </w14:textFill>
        </w:rPr>
        <w:t>、XX年XX月XX日（上市首日），刊登《上市交易提示性公告》。</w:t>
      </w:r>
    </w:p>
    <w:p>
      <w:pPr>
        <w:spacing w:line="560" w:lineRule="exact"/>
        <w:ind w:firstLine="562" w:firstLineChars="200"/>
        <w:rPr>
          <w:rFonts w:ascii="仿宋" w:hAnsi="仿宋" w:eastAsia="仿宋" w:cs="Times New Roman"/>
          <w:b/>
          <w:color w:val="000000" w:themeColor="text1"/>
          <w:sz w:val="28"/>
          <w:szCs w:val="28"/>
          <w:highlight w:val="none"/>
          <w14:textFill>
            <w14:solidFill>
              <w14:schemeClr w14:val="tx1"/>
            </w14:solidFill>
          </w14:textFill>
        </w:rPr>
      </w:pPr>
    </w:p>
    <w:p>
      <w:pPr>
        <w:spacing w:line="560" w:lineRule="exact"/>
        <w:ind w:firstLine="560" w:firstLineChars="200"/>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特此申请，请审查批准。</w:t>
      </w:r>
    </w:p>
    <w:p>
      <w:pPr>
        <w:spacing w:line="560" w:lineRule="exact"/>
        <w:ind w:firstLine="560" w:firstLineChars="200"/>
        <w:rPr>
          <w:rFonts w:ascii="仿宋" w:hAnsi="仿宋" w:eastAsia="仿宋" w:cs="Times New Roman"/>
          <w:color w:val="000000" w:themeColor="text1"/>
          <w:sz w:val="28"/>
          <w:szCs w:val="28"/>
          <w:highlight w:val="none"/>
          <w14:textFill>
            <w14:solidFill>
              <w14:schemeClr w14:val="tx1"/>
            </w14:solidFill>
          </w14:textFill>
        </w:rPr>
      </w:pPr>
    </w:p>
    <w:p>
      <w:pPr>
        <w:spacing w:line="560" w:lineRule="exact"/>
        <w:ind w:firstLine="0" w:firstLineChars="0"/>
        <w:jc w:val="right"/>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XX基金管理公司（盖章）</w:t>
      </w:r>
    </w:p>
    <w:p>
      <w:pPr>
        <w:spacing w:line="560" w:lineRule="exact"/>
        <w:ind w:firstLine="0" w:firstLineChars="0"/>
        <w:jc w:val="right"/>
        <w:rPr>
          <w:rFonts w:ascii="仿宋" w:hAnsi="仿宋" w:eastAsia="仿宋" w:cs="Times New Roman"/>
          <w:color w:val="000000" w:themeColor="text1"/>
          <w:sz w:val="28"/>
          <w:szCs w:val="28"/>
          <w:highlight w:val="none"/>
          <w14:textFill>
            <w14:solidFill>
              <w14:schemeClr w14:val="tx1"/>
            </w14:solidFill>
          </w14:textFill>
        </w:rPr>
      </w:pPr>
      <w:r>
        <w:rPr>
          <w:rFonts w:ascii="仿宋" w:hAnsi="仿宋" w:eastAsia="仿宋" w:cs="Times New Roman"/>
          <w:color w:val="000000" w:themeColor="text1"/>
          <w:sz w:val="28"/>
          <w:szCs w:val="28"/>
          <w:highlight w:val="none"/>
          <w14:textFill>
            <w14:solidFill>
              <w14:schemeClr w14:val="tx1"/>
            </w14:solidFill>
          </w14:textFill>
        </w:rPr>
        <w:t>XXXX年XX月XX日</w:t>
      </w:r>
    </w:p>
    <w:p>
      <w:pPr>
        <w:spacing w:line="440" w:lineRule="exact"/>
        <w:ind w:firstLine="6050" w:firstLineChars="2750"/>
        <w:rPr>
          <w:rStyle w:val="26"/>
          <w:rFonts w:ascii="仿宋" w:hAnsi="仿宋" w:eastAsia="仿宋"/>
          <w:b w:val="0"/>
          <w:bCs w:val="0"/>
          <w:color w:val="000000" w:themeColor="text1"/>
          <w:sz w:val="22"/>
          <w:szCs w:val="21"/>
          <w:highlight w:val="none"/>
          <w14:textFill>
            <w14:solidFill>
              <w14:schemeClr w14:val="tx1"/>
            </w14:solidFill>
          </w14:textFill>
        </w:rPr>
      </w:pPr>
    </w:p>
    <w:p>
      <w:pPr>
        <w:widowControl/>
        <w:jc w:val="left"/>
        <w:rPr>
          <w:rFonts w:ascii="黑体" w:hAnsi="黑体" w:eastAsia="黑体" w:cs="Times New Roman"/>
          <w:sz w:val="32"/>
          <w:szCs w:val="32"/>
          <w:highlight w:val="none"/>
        </w:rPr>
      </w:pPr>
      <w:r>
        <w:rPr>
          <w:rFonts w:ascii="黑体" w:hAnsi="黑体" w:eastAsia="黑体"/>
          <w:b/>
          <w:bCs/>
          <w:highlight w:val="none"/>
        </w:rPr>
        <w:br w:type="page"/>
      </w:r>
    </w:p>
    <w:p>
      <w:pPr>
        <w:pStyle w:val="3"/>
        <w:keepNext w:val="0"/>
        <w:keepLines w:val="0"/>
        <w:adjustRightInd w:val="0"/>
        <w:snapToGrid w:val="0"/>
        <w:spacing w:before="0" w:after="0" w:line="240" w:lineRule="auto"/>
        <w:outlineLvl w:val="1"/>
        <w:rPr>
          <w:rFonts w:hint="default" w:ascii="黑体" w:hAnsi="黑体" w:eastAsia="黑体"/>
          <w:b w:val="0"/>
          <w:bCs w:val="0"/>
          <w:highlight w:val="none"/>
          <w:lang w:val="en-US" w:eastAsia="zh-CN"/>
        </w:rPr>
      </w:pPr>
      <w:bookmarkStart w:id="322" w:name="_Toc2509"/>
      <w:r>
        <w:rPr>
          <w:rFonts w:hint="eastAsia" w:ascii="黑体" w:hAnsi="黑体" w:eastAsia="黑体"/>
          <w:b w:val="0"/>
          <w:bCs w:val="0"/>
          <w:highlight w:val="none"/>
        </w:rPr>
        <w:t>附件</w:t>
      </w:r>
      <w:r>
        <w:rPr>
          <w:rFonts w:hint="eastAsia" w:ascii="黑体" w:hAnsi="黑体" w:eastAsia="黑体"/>
          <w:b w:val="0"/>
          <w:bCs w:val="0"/>
          <w:highlight w:val="none"/>
          <w:lang w:val="en-US" w:eastAsia="zh-CN"/>
        </w:rPr>
        <w:t>11</w:t>
      </w:r>
      <w:bookmarkEnd w:id="322"/>
    </w:p>
    <w:p>
      <w:pPr>
        <w:outlineLvl w:val="9"/>
        <w:rPr>
          <w:rFonts w:hint="eastAsia" w:ascii="黑体" w:hAnsi="黑体" w:eastAsia="黑体"/>
          <w:b w:val="0"/>
          <w:bCs w:val="0"/>
          <w:highlight w:val="none"/>
        </w:rPr>
      </w:pPr>
    </w:p>
    <w:p>
      <w:pPr>
        <w:keepNext w:val="0"/>
        <w:keepLines w:val="0"/>
        <w:adjustRightInd w:val="0"/>
        <w:snapToGrid w:val="0"/>
        <w:spacing w:before="0" w:after="0" w:line="240" w:lineRule="auto"/>
        <w:jc w:val="center"/>
        <w:outlineLvl w:val="9"/>
        <w:rPr>
          <w:rFonts w:hint="eastAsia" w:ascii="Times New Roman" w:hAnsi="Times New Roman" w:eastAsia="方正小标宋简体"/>
          <w:b w:val="0"/>
          <w:bCs/>
          <w:sz w:val="44"/>
          <w:szCs w:val="44"/>
          <w:highlight w:val="none"/>
        </w:rPr>
      </w:pPr>
      <w:r>
        <w:rPr>
          <w:rFonts w:hint="eastAsia" w:ascii="Times New Roman" w:hAnsi="Times New Roman" w:eastAsia="方正小标宋简体"/>
          <w:b w:val="0"/>
          <w:bCs/>
          <w:sz w:val="44"/>
          <w:szCs w:val="44"/>
          <w:highlight w:val="none"/>
        </w:rPr>
        <w:t>上市交易公告书必备要素</w:t>
      </w:r>
      <w:bookmarkEnd w:id="316"/>
      <w:bookmarkEnd w:id="317"/>
      <w:bookmarkEnd w:id="318"/>
      <w:bookmarkEnd w:id="319"/>
      <w:bookmarkEnd w:id="320"/>
      <w:bookmarkEnd w:id="321"/>
    </w:p>
    <w:p>
      <w:pPr>
        <w:spacing w:line="360" w:lineRule="auto"/>
        <w:ind w:firstLine="643" w:firstLineChars="200"/>
        <w:rPr>
          <w:rFonts w:cs="Times New Roman" w:asciiTheme="minorEastAsia" w:hAnsiTheme="minorEastAsia"/>
          <w:b/>
          <w:bCs/>
          <w:sz w:val="32"/>
          <w:szCs w:val="32"/>
          <w:highlight w:val="none"/>
        </w:rPr>
      </w:pPr>
    </w:p>
    <w:p>
      <w:pPr>
        <w:spacing w:line="560" w:lineRule="exact"/>
        <w:ind w:firstLine="562" w:firstLineChars="200"/>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一、重要声明与提示</w:t>
      </w:r>
    </w:p>
    <w:p>
      <w:pPr>
        <w:spacing w:line="560" w:lineRule="exact"/>
        <w:ind w:firstLine="562" w:firstLineChars="200"/>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二、基金概览</w:t>
      </w:r>
    </w:p>
    <w:p>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（一）基金简称、交易代码、截至公告日前两个工作日的基金份额总额和基金份额净值、本次上市的扩募份额、上市交易的证券交易所、上市交易日期、基金管理人、基金托管人等基本信息。</w:t>
      </w:r>
    </w:p>
    <w:p>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（二）</w:t>
      </w:r>
      <w:r>
        <w:rPr>
          <w:rFonts w:hint="eastAsia" w:ascii="仿宋" w:hAnsi="仿宋" w:eastAsia="仿宋"/>
          <w:sz w:val="28"/>
          <w:szCs w:val="28"/>
          <w:highlight w:val="none"/>
          <w:lang w:eastAsia="zh-CN"/>
        </w:rPr>
        <w:t>不动产基金</w:t>
      </w:r>
      <w:r>
        <w:rPr>
          <w:rFonts w:hint="eastAsia" w:ascii="仿宋" w:hAnsi="仿宋" w:eastAsia="仿宋"/>
          <w:sz w:val="28"/>
          <w:szCs w:val="28"/>
          <w:highlight w:val="none"/>
        </w:rPr>
        <w:t>投资运作、交易等环节的主要风险</w:t>
      </w:r>
    </w:p>
    <w:p>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（三）</w:t>
      </w:r>
      <w:r>
        <w:rPr>
          <w:rFonts w:hint="eastAsia" w:ascii="仿宋" w:hAnsi="仿宋" w:eastAsia="仿宋"/>
          <w:sz w:val="28"/>
          <w:szCs w:val="28"/>
          <w:highlight w:val="none"/>
          <w:lang w:eastAsia="zh-CN"/>
        </w:rPr>
        <w:t>不动产基金</w:t>
      </w:r>
      <w:r>
        <w:rPr>
          <w:rFonts w:hint="eastAsia" w:ascii="仿宋" w:hAnsi="仿宋" w:eastAsia="仿宋"/>
          <w:sz w:val="28"/>
          <w:szCs w:val="28"/>
          <w:highlight w:val="none"/>
        </w:rPr>
        <w:t>认购</w:t>
      </w:r>
      <w:r>
        <w:rPr>
          <w:rFonts w:hint="eastAsia" w:ascii="仿宋" w:hAnsi="仿宋" w:eastAsia="仿宋"/>
          <w:sz w:val="28"/>
          <w:szCs w:val="28"/>
          <w:highlight w:val="none"/>
          <w:lang w:eastAsia="zh-CN"/>
        </w:rPr>
        <w:t>不动产资产支持证券</w:t>
      </w:r>
      <w:r>
        <w:rPr>
          <w:rFonts w:hint="eastAsia" w:ascii="仿宋" w:hAnsi="仿宋" w:eastAsia="仿宋"/>
          <w:sz w:val="28"/>
          <w:szCs w:val="28"/>
          <w:highlight w:val="none"/>
        </w:rPr>
        <w:t>以及</w:t>
      </w:r>
      <w:r>
        <w:rPr>
          <w:rFonts w:hint="eastAsia" w:ascii="仿宋" w:hAnsi="仿宋" w:eastAsia="仿宋"/>
          <w:sz w:val="28"/>
          <w:szCs w:val="28"/>
          <w:highlight w:val="none"/>
          <w:lang w:eastAsia="zh-CN"/>
        </w:rPr>
        <w:t>不动产基金</w:t>
      </w:r>
      <w:r>
        <w:rPr>
          <w:rFonts w:hint="eastAsia" w:ascii="仿宋" w:hAnsi="仿宋" w:eastAsia="仿宋"/>
          <w:sz w:val="28"/>
          <w:szCs w:val="28"/>
          <w:highlight w:val="none"/>
        </w:rPr>
        <w:t>所投资专项计划投资基础资产的情况。</w:t>
      </w:r>
    </w:p>
    <w:p>
      <w:pPr>
        <w:spacing w:line="560" w:lineRule="exact"/>
        <w:ind w:firstLine="562" w:firstLineChars="200"/>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三、基金的扩募与上市交易</w:t>
      </w:r>
    </w:p>
    <w:p>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（一）本次上市前扩募份额募集情况，至少包括：</w:t>
      </w:r>
    </w:p>
    <w:p>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1、基金募集申请的核准机构和核准文号、基金运作方式、基金合同期限、发售日期、发售价格、发售期限、发售方式、发售机构、验资机构名称、募集资金总额及入账情况、基金备案情况、基金合同更新生效日及该日的基金份额总额等；</w:t>
      </w:r>
    </w:p>
    <w:p>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2、所有投资者参与本次基金战略配售的具体情况及限售安排。</w:t>
      </w:r>
    </w:p>
    <w:p>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（二）基金上市交易的主要内容，至少包括：</w:t>
      </w:r>
    </w:p>
    <w:p>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基金上市交易的核准机构和核准文号、上市交易日期、上市交易的证券交易所、基金简称、基金交易代码、本次上市交易无限售安排的份额、本次上市交易有限售安排的份额、未上市交易份额的份额规定。</w:t>
      </w:r>
    </w:p>
    <w:p>
      <w:pPr>
        <w:spacing w:line="560" w:lineRule="exact"/>
        <w:ind w:firstLine="562" w:firstLineChars="200"/>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四、持有人户数、持有人结构及前十名持有人</w:t>
      </w:r>
    </w:p>
    <w:p>
      <w:pPr>
        <w:spacing w:line="560" w:lineRule="exact"/>
        <w:ind w:firstLine="562" w:firstLineChars="200"/>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五、基金主要当事人简介</w:t>
      </w:r>
    </w:p>
    <w:p>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基金管理人、基金托管人、基金验资机构等基本信息</w:t>
      </w:r>
    </w:p>
    <w:p>
      <w:pPr>
        <w:spacing w:line="560" w:lineRule="exact"/>
        <w:ind w:firstLine="562" w:firstLineChars="200"/>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六、基金合同摘要</w:t>
      </w:r>
    </w:p>
    <w:p>
      <w:pPr>
        <w:spacing w:line="560" w:lineRule="exact"/>
        <w:ind w:firstLine="562" w:firstLineChars="200"/>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七、基金财务状况</w:t>
      </w:r>
    </w:p>
    <w:p>
      <w:pPr>
        <w:spacing w:line="560" w:lineRule="exact"/>
        <w:ind w:firstLine="562" w:firstLineChars="200"/>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八、基金投资组合</w:t>
      </w:r>
    </w:p>
    <w:p>
      <w:pPr>
        <w:spacing w:line="560" w:lineRule="exact"/>
        <w:ind w:firstLine="562" w:firstLineChars="200"/>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九、重大事件揭示</w:t>
      </w:r>
    </w:p>
    <w:p>
      <w:pPr>
        <w:spacing w:line="560" w:lineRule="exact"/>
        <w:ind w:firstLine="562" w:firstLineChars="200"/>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十、基金管理人承诺</w:t>
      </w:r>
    </w:p>
    <w:p>
      <w:pPr>
        <w:spacing w:line="560" w:lineRule="exact"/>
        <w:ind w:firstLine="562" w:firstLineChars="200"/>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十一、基金托管人承诺</w:t>
      </w:r>
    </w:p>
    <w:p>
      <w:pPr>
        <w:spacing w:line="560" w:lineRule="exact"/>
        <w:ind w:firstLine="562" w:firstLineChars="200"/>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十二、备查文件目录</w:t>
      </w:r>
    </w:p>
    <w:sectPr>
      <w:headerReference r:id="rId14" w:type="first"/>
      <w:footerReference r:id="rId17" w:type="first"/>
      <w:headerReference r:id="rId12" w:type="default"/>
      <w:footerReference r:id="rId15" w:type="default"/>
      <w:headerReference r:id="rId13" w:type="even"/>
      <w:footerReference r:id="rId16"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p>
    <w:pPr>
      <w:pStyle w:val="10"/>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sz w:val="28"/>
                        <w:szCs w:val="28"/>
                      </w:rPr>
                      <w:fldChar w:fldCharType="begin"/>
                    </w:r>
                    <w:r>
                      <w:rPr>
                        <w:rFonts w:hint="eastAsia"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hint="eastAsia"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70F1F"/>
    <w:multiLevelType w:val="singleLevel"/>
    <w:tmpl w:val="B6070F1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3A4"/>
    <w:rsid w:val="000010CC"/>
    <w:rsid w:val="000027E5"/>
    <w:rsid w:val="00002BD7"/>
    <w:rsid w:val="000039C4"/>
    <w:rsid w:val="00004D30"/>
    <w:rsid w:val="00004D63"/>
    <w:rsid w:val="00006F45"/>
    <w:rsid w:val="00011659"/>
    <w:rsid w:val="0002098B"/>
    <w:rsid w:val="00023C2F"/>
    <w:rsid w:val="00026572"/>
    <w:rsid w:val="00027318"/>
    <w:rsid w:val="00031F96"/>
    <w:rsid w:val="00034166"/>
    <w:rsid w:val="000350C0"/>
    <w:rsid w:val="00040179"/>
    <w:rsid w:val="0004096B"/>
    <w:rsid w:val="0004256F"/>
    <w:rsid w:val="0004346C"/>
    <w:rsid w:val="000438A9"/>
    <w:rsid w:val="00045F3D"/>
    <w:rsid w:val="00050EAE"/>
    <w:rsid w:val="000535BE"/>
    <w:rsid w:val="00057BEA"/>
    <w:rsid w:val="00062601"/>
    <w:rsid w:val="0006326C"/>
    <w:rsid w:val="000673EE"/>
    <w:rsid w:val="00070494"/>
    <w:rsid w:val="00070B26"/>
    <w:rsid w:val="00070DDA"/>
    <w:rsid w:val="000720EF"/>
    <w:rsid w:val="0007314E"/>
    <w:rsid w:val="000751D4"/>
    <w:rsid w:val="00075429"/>
    <w:rsid w:val="00075F46"/>
    <w:rsid w:val="00077BC6"/>
    <w:rsid w:val="000826B2"/>
    <w:rsid w:val="00083420"/>
    <w:rsid w:val="00091386"/>
    <w:rsid w:val="00091DB9"/>
    <w:rsid w:val="0009296B"/>
    <w:rsid w:val="0009398F"/>
    <w:rsid w:val="00094C2D"/>
    <w:rsid w:val="00095C82"/>
    <w:rsid w:val="00097E84"/>
    <w:rsid w:val="000A35AF"/>
    <w:rsid w:val="000A3753"/>
    <w:rsid w:val="000A6BA7"/>
    <w:rsid w:val="000A6E38"/>
    <w:rsid w:val="000B1367"/>
    <w:rsid w:val="000B27BF"/>
    <w:rsid w:val="000B41AB"/>
    <w:rsid w:val="000C017A"/>
    <w:rsid w:val="000C3D82"/>
    <w:rsid w:val="000C7AD5"/>
    <w:rsid w:val="000D0535"/>
    <w:rsid w:val="000D1490"/>
    <w:rsid w:val="000D7021"/>
    <w:rsid w:val="000E062E"/>
    <w:rsid w:val="000E13BA"/>
    <w:rsid w:val="000E5CF4"/>
    <w:rsid w:val="000F1094"/>
    <w:rsid w:val="000F243D"/>
    <w:rsid w:val="000F6AE1"/>
    <w:rsid w:val="00102D61"/>
    <w:rsid w:val="001032B6"/>
    <w:rsid w:val="001039B0"/>
    <w:rsid w:val="00105112"/>
    <w:rsid w:val="0010540D"/>
    <w:rsid w:val="00105CBC"/>
    <w:rsid w:val="00105F91"/>
    <w:rsid w:val="00106911"/>
    <w:rsid w:val="0010760E"/>
    <w:rsid w:val="001078A1"/>
    <w:rsid w:val="001103B7"/>
    <w:rsid w:val="00110A8C"/>
    <w:rsid w:val="001137E1"/>
    <w:rsid w:val="00113DFD"/>
    <w:rsid w:val="001241F0"/>
    <w:rsid w:val="0012628D"/>
    <w:rsid w:val="00127ACB"/>
    <w:rsid w:val="001324AF"/>
    <w:rsid w:val="001338D4"/>
    <w:rsid w:val="001355B8"/>
    <w:rsid w:val="00135A12"/>
    <w:rsid w:val="001379B4"/>
    <w:rsid w:val="00137DA4"/>
    <w:rsid w:val="00143A6B"/>
    <w:rsid w:val="00144F7C"/>
    <w:rsid w:val="00146E16"/>
    <w:rsid w:val="00150794"/>
    <w:rsid w:val="00150C09"/>
    <w:rsid w:val="00153887"/>
    <w:rsid w:val="00155530"/>
    <w:rsid w:val="001561AB"/>
    <w:rsid w:val="00156EE6"/>
    <w:rsid w:val="001603E9"/>
    <w:rsid w:val="00160AEB"/>
    <w:rsid w:val="001651E6"/>
    <w:rsid w:val="00165207"/>
    <w:rsid w:val="00171D76"/>
    <w:rsid w:val="00174341"/>
    <w:rsid w:val="00175295"/>
    <w:rsid w:val="00176DEE"/>
    <w:rsid w:val="00180F5C"/>
    <w:rsid w:val="0018231A"/>
    <w:rsid w:val="00184E5A"/>
    <w:rsid w:val="00184F00"/>
    <w:rsid w:val="00185364"/>
    <w:rsid w:val="00185ACE"/>
    <w:rsid w:val="00186FDB"/>
    <w:rsid w:val="00187D7D"/>
    <w:rsid w:val="00187E7A"/>
    <w:rsid w:val="00192875"/>
    <w:rsid w:val="00193BF9"/>
    <w:rsid w:val="001944E8"/>
    <w:rsid w:val="001A040D"/>
    <w:rsid w:val="001A0473"/>
    <w:rsid w:val="001A14A1"/>
    <w:rsid w:val="001A1C71"/>
    <w:rsid w:val="001A2F16"/>
    <w:rsid w:val="001A5583"/>
    <w:rsid w:val="001A6462"/>
    <w:rsid w:val="001A6D3A"/>
    <w:rsid w:val="001A6D6A"/>
    <w:rsid w:val="001B5469"/>
    <w:rsid w:val="001B7969"/>
    <w:rsid w:val="001B7999"/>
    <w:rsid w:val="001C3B7D"/>
    <w:rsid w:val="001C4BD8"/>
    <w:rsid w:val="001C5FA8"/>
    <w:rsid w:val="001C6F9E"/>
    <w:rsid w:val="001D26D9"/>
    <w:rsid w:val="001E0908"/>
    <w:rsid w:val="001E50C3"/>
    <w:rsid w:val="001E5B1A"/>
    <w:rsid w:val="001E5C75"/>
    <w:rsid w:val="001F2829"/>
    <w:rsid w:val="001F46BA"/>
    <w:rsid w:val="001F4ED9"/>
    <w:rsid w:val="002013D4"/>
    <w:rsid w:val="00201E76"/>
    <w:rsid w:val="00202EBE"/>
    <w:rsid w:val="0020392E"/>
    <w:rsid w:val="00204A47"/>
    <w:rsid w:val="00205231"/>
    <w:rsid w:val="00206086"/>
    <w:rsid w:val="00207D7C"/>
    <w:rsid w:val="002109BC"/>
    <w:rsid w:val="00210D09"/>
    <w:rsid w:val="00216D53"/>
    <w:rsid w:val="002171D5"/>
    <w:rsid w:val="0021752C"/>
    <w:rsid w:val="0022575C"/>
    <w:rsid w:val="00227231"/>
    <w:rsid w:val="00227496"/>
    <w:rsid w:val="00233904"/>
    <w:rsid w:val="00233E76"/>
    <w:rsid w:val="00235BA9"/>
    <w:rsid w:val="0023644A"/>
    <w:rsid w:val="00243AC5"/>
    <w:rsid w:val="00244428"/>
    <w:rsid w:val="002474D1"/>
    <w:rsid w:val="002507D8"/>
    <w:rsid w:val="00250E53"/>
    <w:rsid w:val="00250F4B"/>
    <w:rsid w:val="002516A0"/>
    <w:rsid w:val="0025170B"/>
    <w:rsid w:val="00251B74"/>
    <w:rsid w:val="00255223"/>
    <w:rsid w:val="00256E72"/>
    <w:rsid w:val="00256F88"/>
    <w:rsid w:val="002620CC"/>
    <w:rsid w:val="00265F8C"/>
    <w:rsid w:val="002661BF"/>
    <w:rsid w:val="00274101"/>
    <w:rsid w:val="00274835"/>
    <w:rsid w:val="00275291"/>
    <w:rsid w:val="00276686"/>
    <w:rsid w:val="00282A64"/>
    <w:rsid w:val="00282B82"/>
    <w:rsid w:val="002836E1"/>
    <w:rsid w:val="002837A0"/>
    <w:rsid w:val="00284EC3"/>
    <w:rsid w:val="00285292"/>
    <w:rsid w:val="00287A93"/>
    <w:rsid w:val="002909C9"/>
    <w:rsid w:val="002935C8"/>
    <w:rsid w:val="002952A5"/>
    <w:rsid w:val="00295FFD"/>
    <w:rsid w:val="00297FE6"/>
    <w:rsid w:val="002A0329"/>
    <w:rsid w:val="002A46B5"/>
    <w:rsid w:val="002A5F23"/>
    <w:rsid w:val="002A7149"/>
    <w:rsid w:val="002A7840"/>
    <w:rsid w:val="002B00AE"/>
    <w:rsid w:val="002B1970"/>
    <w:rsid w:val="002B3014"/>
    <w:rsid w:val="002B35C1"/>
    <w:rsid w:val="002C55C9"/>
    <w:rsid w:val="002C686B"/>
    <w:rsid w:val="002D0042"/>
    <w:rsid w:val="002D5D0D"/>
    <w:rsid w:val="002E1615"/>
    <w:rsid w:val="002E2E10"/>
    <w:rsid w:val="002E39E0"/>
    <w:rsid w:val="002E587C"/>
    <w:rsid w:val="002E7753"/>
    <w:rsid w:val="002E7C48"/>
    <w:rsid w:val="002F3848"/>
    <w:rsid w:val="002F5748"/>
    <w:rsid w:val="002F57B0"/>
    <w:rsid w:val="002F7103"/>
    <w:rsid w:val="003001EB"/>
    <w:rsid w:val="00300696"/>
    <w:rsid w:val="0030163D"/>
    <w:rsid w:val="003039D6"/>
    <w:rsid w:val="00306544"/>
    <w:rsid w:val="00313AA8"/>
    <w:rsid w:val="003158E8"/>
    <w:rsid w:val="00316589"/>
    <w:rsid w:val="003174C8"/>
    <w:rsid w:val="00321DB6"/>
    <w:rsid w:val="003233E3"/>
    <w:rsid w:val="0032349E"/>
    <w:rsid w:val="003235B7"/>
    <w:rsid w:val="0032622F"/>
    <w:rsid w:val="0033108C"/>
    <w:rsid w:val="00335A30"/>
    <w:rsid w:val="00340D1D"/>
    <w:rsid w:val="00345F81"/>
    <w:rsid w:val="00353987"/>
    <w:rsid w:val="00356149"/>
    <w:rsid w:val="00361989"/>
    <w:rsid w:val="0036627E"/>
    <w:rsid w:val="0036630A"/>
    <w:rsid w:val="00373AD1"/>
    <w:rsid w:val="003801EE"/>
    <w:rsid w:val="00380732"/>
    <w:rsid w:val="00381A10"/>
    <w:rsid w:val="00382106"/>
    <w:rsid w:val="00383037"/>
    <w:rsid w:val="00383B27"/>
    <w:rsid w:val="00384FE8"/>
    <w:rsid w:val="00385224"/>
    <w:rsid w:val="00387E09"/>
    <w:rsid w:val="00387E60"/>
    <w:rsid w:val="00391A98"/>
    <w:rsid w:val="003942FD"/>
    <w:rsid w:val="0039492C"/>
    <w:rsid w:val="0039564D"/>
    <w:rsid w:val="00397ACA"/>
    <w:rsid w:val="003A422B"/>
    <w:rsid w:val="003A7237"/>
    <w:rsid w:val="003B17C3"/>
    <w:rsid w:val="003B424B"/>
    <w:rsid w:val="003B4AA1"/>
    <w:rsid w:val="003B4D05"/>
    <w:rsid w:val="003B5794"/>
    <w:rsid w:val="003B58D1"/>
    <w:rsid w:val="003B74D5"/>
    <w:rsid w:val="003C12B3"/>
    <w:rsid w:val="003C31E4"/>
    <w:rsid w:val="003C32CF"/>
    <w:rsid w:val="003C3428"/>
    <w:rsid w:val="003C37B8"/>
    <w:rsid w:val="003C7AE5"/>
    <w:rsid w:val="003D053F"/>
    <w:rsid w:val="003D09A3"/>
    <w:rsid w:val="003D381C"/>
    <w:rsid w:val="003D4281"/>
    <w:rsid w:val="003D7775"/>
    <w:rsid w:val="003E0452"/>
    <w:rsid w:val="003E068B"/>
    <w:rsid w:val="003F3B6D"/>
    <w:rsid w:val="003F5412"/>
    <w:rsid w:val="003F5837"/>
    <w:rsid w:val="00400BB4"/>
    <w:rsid w:val="004024D3"/>
    <w:rsid w:val="00403182"/>
    <w:rsid w:val="00410083"/>
    <w:rsid w:val="004106FA"/>
    <w:rsid w:val="0041214E"/>
    <w:rsid w:val="00416727"/>
    <w:rsid w:val="004175ED"/>
    <w:rsid w:val="00417B68"/>
    <w:rsid w:val="0042342A"/>
    <w:rsid w:val="0042392C"/>
    <w:rsid w:val="00430654"/>
    <w:rsid w:val="0043451E"/>
    <w:rsid w:val="004361C8"/>
    <w:rsid w:val="004439CB"/>
    <w:rsid w:val="00446570"/>
    <w:rsid w:val="00451661"/>
    <w:rsid w:val="00453144"/>
    <w:rsid w:val="0046015E"/>
    <w:rsid w:val="00462555"/>
    <w:rsid w:val="004635CF"/>
    <w:rsid w:val="00466EF1"/>
    <w:rsid w:val="00471405"/>
    <w:rsid w:val="00473D7B"/>
    <w:rsid w:val="00476E59"/>
    <w:rsid w:val="00480D1B"/>
    <w:rsid w:val="00482847"/>
    <w:rsid w:val="00490730"/>
    <w:rsid w:val="00490B10"/>
    <w:rsid w:val="00493BD8"/>
    <w:rsid w:val="004A005C"/>
    <w:rsid w:val="004A39E3"/>
    <w:rsid w:val="004A4F53"/>
    <w:rsid w:val="004A5A8D"/>
    <w:rsid w:val="004A6806"/>
    <w:rsid w:val="004B0E75"/>
    <w:rsid w:val="004B7369"/>
    <w:rsid w:val="004C04C7"/>
    <w:rsid w:val="004C05AB"/>
    <w:rsid w:val="004C6126"/>
    <w:rsid w:val="004C648C"/>
    <w:rsid w:val="004D1548"/>
    <w:rsid w:val="004D1C27"/>
    <w:rsid w:val="004D1EC4"/>
    <w:rsid w:val="004D7B01"/>
    <w:rsid w:val="004E108D"/>
    <w:rsid w:val="004E20BA"/>
    <w:rsid w:val="004E2B4C"/>
    <w:rsid w:val="004E3760"/>
    <w:rsid w:val="004F0087"/>
    <w:rsid w:val="004F0E3E"/>
    <w:rsid w:val="00501E59"/>
    <w:rsid w:val="00506CEF"/>
    <w:rsid w:val="00521EE6"/>
    <w:rsid w:val="00523967"/>
    <w:rsid w:val="0052643C"/>
    <w:rsid w:val="00527EEA"/>
    <w:rsid w:val="00530E1A"/>
    <w:rsid w:val="00531DA2"/>
    <w:rsid w:val="00534761"/>
    <w:rsid w:val="0053505B"/>
    <w:rsid w:val="00540D77"/>
    <w:rsid w:val="00541055"/>
    <w:rsid w:val="00544705"/>
    <w:rsid w:val="00551D55"/>
    <w:rsid w:val="00552022"/>
    <w:rsid w:val="00553458"/>
    <w:rsid w:val="00557628"/>
    <w:rsid w:val="00560C0C"/>
    <w:rsid w:val="00561550"/>
    <w:rsid w:val="00563761"/>
    <w:rsid w:val="00563AED"/>
    <w:rsid w:val="00564E15"/>
    <w:rsid w:val="0056501C"/>
    <w:rsid w:val="00565825"/>
    <w:rsid w:val="00565C9C"/>
    <w:rsid w:val="0057104F"/>
    <w:rsid w:val="0057119E"/>
    <w:rsid w:val="005731B8"/>
    <w:rsid w:val="0058062C"/>
    <w:rsid w:val="00583A47"/>
    <w:rsid w:val="00584987"/>
    <w:rsid w:val="00587DC9"/>
    <w:rsid w:val="00590CC9"/>
    <w:rsid w:val="00591B67"/>
    <w:rsid w:val="005929F6"/>
    <w:rsid w:val="00594CCD"/>
    <w:rsid w:val="005A0CC6"/>
    <w:rsid w:val="005A1926"/>
    <w:rsid w:val="005A1A2F"/>
    <w:rsid w:val="005A2439"/>
    <w:rsid w:val="005A298A"/>
    <w:rsid w:val="005A2C9F"/>
    <w:rsid w:val="005A4841"/>
    <w:rsid w:val="005A5343"/>
    <w:rsid w:val="005A5F9E"/>
    <w:rsid w:val="005A7B4D"/>
    <w:rsid w:val="005B7129"/>
    <w:rsid w:val="005C18B3"/>
    <w:rsid w:val="005C2356"/>
    <w:rsid w:val="005C5ED4"/>
    <w:rsid w:val="005C7E93"/>
    <w:rsid w:val="005D0C05"/>
    <w:rsid w:val="005D291C"/>
    <w:rsid w:val="005D2D80"/>
    <w:rsid w:val="005D306B"/>
    <w:rsid w:val="005D49F0"/>
    <w:rsid w:val="005D5C4F"/>
    <w:rsid w:val="005E0D0B"/>
    <w:rsid w:val="005E527E"/>
    <w:rsid w:val="005E6CAB"/>
    <w:rsid w:val="005E721E"/>
    <w:rsid w:val="005F4590"/>
    <w:rsid w:val="005F6925"/>
    <w:rsid w:val="005F7C7C"/>
    <w:rsid w:val="005F7E3D"/>
    <w:rsid w:val="00604DB5"/>
    <w:rsid w:val="00605C6C"/>
    <w:rsid w:val="00605DB1"/>
    <w:rsid w:val="00607A66"/>
    <w:rsid w:val="00607BE7"/>
    <w:rsid w:val="00611779"/>
    <w:rsid w:val="00615F45"/>
    <w:rsid w:val="00615F92"/>
    <w:rsid w:val="006171EF"/>
    <w:rsid w:val="00617D7D"/>
    <w:rsid w:val="00623AB6"/>
    <w:rsid w:val="00625245"/>
    <w:rsid w:val="006253DA"/>
    <w:rsid w:val="00625827"/>
    <w:rsid w:val="006259AC"/>
    <w:rsid w:val="006266A3"/>
    <w:rsid w:val="00627BAD"/>
    <w:rsid w:val="00633ADE"/>
    <w:rsid w:val="00633E5A"/>
    <w:rsid w:val="00642C44"/>
    <w:rsid w:val="00646C70"/>
    <w:rsid w:val="006506D8"/>
    <w:rsid w:val="00650EA9"/>
    <w:rsid w:val="00651149"/>
    <w:rsid w:val="00656FF9"/>
    <w:rsid w:val="00660A8B"/>
    <w:rsid w:val="00661D14"/>
    <w:rsid w:val="00663535"/>
    <w:rsid w:val="006663B3"/>
    <w:rsid w:val="00666D67"/>
    <w:rsid w:val="00667C26"/>
    <w:rsid w:val="006710D6"/>
    <w:rsid w:val="00673393"/>
    <w:rsid w:val="00673A7F"/>
    <w:rsid w:val="0067505F"/>
    <w:rsid w:val="006759DF"/>
    <w:rsid w:val="00676F34"/>
    <w:rsid w:val="00680325"/>
    <w:rsid w:val="00680FEB"/>
    <w:rsid w:val="006813BE"/>
    <w:rsid w:val="00687F18"/>
    <w:rsid w:val="00690178"/>
    <w:rsid w:val="0069509E"/>
    <w:rsid w:val="0069591E"/>
    <w:rsid w:val="006963F5"/>
    <w:rsid w:val="006A0B0B"/>
    <w:rsid w:val="006B1285"/>
    <w:rsid w:val="006B22F0"/>
    <w:rsid w:val="006B3B23"/>
    <w:rsid w:val="006B4436"/>
    <w:rsid w:val="006C2320"/>
    <w:rsid w:val="006C425A"/>
    <w:rsid w:val="006C7C63"/>
    <w:rsid w:val="006D5D7A"/>
    <w:rsid w:val="006D6EBC"/>
    <w:rsid w:val="006E0A58"/>
    <w:rsid w:val="006E4BA6"/>
    <w:rsid w:val="006E5AD6"/>
    <w:rsid w:val="006E5E3A"/>
    <w:rsid w:val="006E627E"/>
    <w:rsid w:val="006F6D1D"/>
    <w:rsid w:val="006F7436"/>
    <w:rsid w:val="006F7ABE"/>
    <w:rsid w:val="0070200E"/>
    <w:rsid w:val="00704385"/>
    <w:rsid w:val="00705F26"/>
    <w:rsid w:val="00714288"/>
    <w:rsid w:val="00715B35"/>
    <w:rsid w:val="00716BBB"/>
    <w:rsid w:val="00722C23"/>
    <w:rsid w:val="007257A5"/>
    <w:rsid w:val="00726A6A"/>
    <w:rsid w:val="00737549"/>
    <w:rsid w:val="00737CC9"/>
    <w:rsid w:val="0074034C"/>
    <w:rsid w:val="00741BFE"/>
    <w:rsid w:val="00743CAC"/>
    <w:rsid w:val="00753EEF"/>
    <w:rsid w:val="007562D2"/>
    <w:rsid w:val="007566C2"/>
    <w:rsid w:val="0076159B"/>
    <w:rsid w:val="00763EC2"/>
    <w:rsid w:val="007652BE"/>
    <w:rsid w:val="007655C5"/>
    <w:rsid w:val="00766667"/>
    <w:rsid w:val="00770233"/>
    <w:rsid w:val="007702C6"/>
    <w:rsid w:val="00772773"/>
    <w:rsid w:val="00780557"/>
    <w:rsid w:val="00780988"/>
    <w:rsid w:val="007813BE"/>
    <w:rsid w:val="007822E3"/>
    <w:rsid w:val="007836A4"/>
    <w:rsid w:val="007903FF"/>
    <w:rsid w:val="0079360E"/>
    <w:rsid w:val="007A0B76"/>
    <w:rsid w:val="007A288E"/>
    <w:rsid w:val="007A662F"/>
    <w:rsid w:val="007A715F"/>
    <w:rsid w:val="007B1E74"/>
    <w:rsid w:val="007B307F"/>
    <w:rsid w:val="007B46E1"/>
    <w:rsid w:val="007B6520"/>
    <w:rsid w:val="007C0567"/>
    <w:rsid w:val="007C2AC1"/>
    <w:rsid w:val="007C3433"/>
    <w:rsid w:val="007C5ED0"/>
    <w:rsid w:val="007C6560"/>
    <w:rsid w:val="007C67A8"/>
    <w:rsid w:val="007C7482"/>
    <w:rsid w:val="007C7F2F"/>
    <w:rsid w:val="007D16C3"/>
    <w:rsid w:val="007D73A5"/>
    <w:rsid w:val="007D7C3D"/>
    <w:rsid w:val="007E1C6F"/>
    <w:rsid w:val="007E4788"/>
    <w:rsid w:val="007E4951"/>
    <w:rsid w:val="007F25CC"/>
    <w:rsid w:val="007F26FA"/>
    <w:rsid w:val="007F59D6"/>
    <w:rsid w:val="00800CE3"/>
    <w:rsid w:val="0080254A"/>
    <w:rsid w:val="0080423D"/>
    <w:rsid w:val="008106FA"/>
    <w:rsid w:val="00811A08"/>
    <w:rsid w:val="008127E1"/>
    <w:rsid w:val="00816F17"/>
    <w:rsid w:val="0081785C"/>
    <w:rsid w:val="008217F7"/>
    <w:rsid w:val="0082281B"/>
    <w:rsid w:val="008235CD"/>
    <w:rsid w:val="0082642E"/>
    <w:rsid w:val="0083156C"/>
    <w:rsid w:val="008340CA"/>
    <w:rsid w:val="008354BA"/>
    <w:rsid w:val="008400FD"/>
    <w:rsid w:val="00840C9C"/>
    <w:rsid w:val="00841820"/>
    <w:rsid w:val="00843E1E"/>
    <w:rsid w:val="0084663D"/>
    <w:rsid w:val="008560D2"/>
    <w:rsid w:val="00867585"/>
    <w:rsid w:val="00873495"/>
    <w:rsid w:val="0087492E"/>
    <w:rsid w:val="00875A68"/>
    <w:rsid w:val="008762C5"/>
    <w:rsid w:val="00881187"/>
    <w:rsid w:val="00883395"/>
    <w:rsid w:val="00884BCB"/>
    <w:rsid w:val="00886E00"/>
    <w:rsid w:val="00890E94"/>
    <w:rsid w:val="008946A9"/>
    <w:rsid w:val="00895072"/>
    <w:rsid w:val="00896DFB"/>
    <w:rsid w:val="00897721"/>
    <w:rsid w:val="008A174D"/>
    <w:rsid w:val="008A32D4"/>
    <w:rsid w:val="008A550F"/>
    <w:rsid w:val="008A7A4D"/>
    <w:rsid w:val="008B2B99"/>
    <w:rsid w:val="008B5E7E"/>
    <w:rsid w:val="008B7759"/>
    <w:rsid w:val="008B7E2F"/>
    <w:rsid w:val="008C04DB"/>
    <w:rsid w:val="008C20FF"/>
    <w:rsid w:val="008C24CD"/>
    <w:rsid w:val="008C42A0"/>
    <w:rsid w:val="008C534F"/>
    <w:rsid w:val="008C608F"/>
    <w:rsid w:val="008C7B40"/>
    <w:rsid w:val="008C7D5A"/>
    <w:rsid w:val="008D01C8"/>
    <w:rsid w:val="008D07F6"/>
    <w:rsid w:val="008D527A"/>
    <w:rsid w:val="008D5A79"/>
    <w:rsid w:val="008D5FFC"/>
    <w:rsid w:val="008D60F2"/>
    <w:rsid w:val="008D681E"/>
    <w:rsid w:val="008E114E"/>
    <w:rsid w:val="008E265F"/>
    <w:rsid w:val="008E37E1"/>
    <w:rsid w:val="008E3B12"/>
    <w:rsid w:val="008E4425"/>
    <w:rsid w:val="008E7198"/>
    <w:rsid w:val="008F2899"/>
    <w:rsid w:val="008F6163"/>
    <w:rsid w:val="008F6468"/>
    <w:rsid w:val="008F68F1"/>
    <w:rsid w:val="00900218"/>
    <w:rsid w:val="00903027"/>
    <w:rsid w:val="0090459C"/>
    <w:rsid w:val="009051CD"/>
    <w:rsid w:val="009104BB"/>
    <w:rsid w:val="00910CE0"/>
    <w:rsid w:val="0091578E"/>
    <w:rsid w:val="00916026"/>
    <w:rsid w:val="0091731C"/>
    <w:rsid w:val="00917B17"/>
    <w:rsid w:val="009211D4"/>
    <w:rsid w:val="009237A0"/>
    <w:rsid w:val="00924F76"/>
    <w:rsid w:val="00925DA5"/>
    <w:rsid w:val="00931C67"/>
    <w:rsid w:val="009324B2"/>
    <w:rsid w:val="00933C69"/>
    <w:rsid w:val="009372F1"/>
    <w:rsid w:val="00937D78"/>
    <w:rsid w:val="009438A4"/>
    <w:rsid w:val="0094561E"/>
    <w:rsid w:val="00946211"/>
    <w:rsid w:val="00947BB6"/>
    <w:rsid w:val="00950ADA"/>
    <w:rsid w:val="00952603"/>
    <w:rsid w:val="009532D4"/>
    <w:rsid w:val="00955854"/>
    <w:rsid w:val="009616F3"/>
    <w:rsid w:val="009617FB"/>
    <w:rsid w:val="0096318B"/>
    <w:rsid w:val="009664BC"/>
    <w:rsid w:val="00966EC6"/>
    <w:rsid w:val="0097062F"/>
    <w:rsid w:val="0097336F"/>
    <w:rsid w:val="00975273"/>
    <w:rsid w:val="00975EA8"/>
    <w:rsid w:val="00977D9C"/>
    <w:rsid w:val="00981E05"/>
    <w:rsid w:val="0098366A"/>
    <w:rsid w:val="00985A89"/>
    <w:rsid w:val="00985E59"/>
    <w:rsid w:val="009876CF"/>
    <w:rsid w:val="00990DBD"/>
    <w:rsid w:val="009949A3"/>
    <w:rsid w:val="00996E9D"/>
    <w:rsid w:val="00997EE9"/>
    <w:rsid w:val="009A5721"/>
    <w:rsid w:val="009A5A22"/>
    <w:rsid w:val="009A6C7B"/>
    <w:rsid w:val="009A7B36"/>
    <w:rsid w:val="009B2495"/>
    <w:rsid w:val="009B2896"/>
    <w:rsid w:val="009C23A8"/>
    <w:rsid w:val="009C378F"/>
    <w:rsid w:val="009E1425"/>
    <w:rsid w:val="009E341D"/>
    <w:rsid w:val="009E3B39"/>
    <w:rsid w:val="009E3EA5"/>
    <w:rsid w:val="009E4E7E"/>
    <w:rsid w:val="009E6EFE"/>
    <w:rsid w:val="009F0225"/>
    <w:rsid w:val="009F0BCE"/>
    <w:rsid w:val="009F10C5"/>
    <w:rsid w:val="009F3916"/>
    <w:rsid w:val="00A01C03"/>
    <w:rsid w:val="00A05C3A"/>
    <w:rsid w:val="00A0671F"/>
    <w:rsid w:val="00A12842"/>
    <w:rsid w:val="00A12F70"/>
    <w:rsid w:val="00A214AA"/>
    <w:rsid w:val="00A2732E"/>
    <w:rsid w:val="00A33F4A"/>
    <w:rsid w:val="00A35112"/>
    <w:rsid w:val="00A35133"/>
    <w:rsid w:val="00A3677C"/>
    <w:rsid w:val="00A37125"/>
    <w:rsid w:val="00A43C59"/>
    <w:rsid w:val="00A45AC1"/>
    <w:rsid w:val="00A45B04"/>
    <w:rsid w:val="00A562CD"/>
    <w:rsid w:val="00A562DB"/>
    <w:rsid w:val="00A57B35"/>
    <w:rsid w:val="00A610CD"/>
    <w:rsid w:val="00A6394C"/>
    <w:rsid w:val="00A64723"/>
    <w:rsid w:val="00A6578A"/>
    <w:rsid w:val="00A714D9"/>
    <w:rsid w:val="00A72511"/>
    <w:rsid w:val="00A72A0C"/>
    <w:rsid w:val="00A7555C"/>
    <w:rsid w:val="00A77A80"/>
    <w:rsid w:val="00A80069"/>
    <w:rsid w:val="00A80B18"/>
    <w:rsid w:val="00A814E9"/>
    <w:rsid w:val="00A83ECF"/>
    <w:rsid w:val="00A84A90"/>
    <w:rsid w:val="00A87391"/>
    <w:rsid w:val="00A90A48"/>
    <w:rsid w:val="00AA1657"/>
    <w:rsid w:val="00AA6886"/>
    <w:rsid w:val="00AA7D26"/>
    <w:rsid w:val="00AB2225"/>
    <w:rsid w:val="00AB3C0E"/>
    <w:rsid w:val="00AB4909"/>
    <w:rsid w:val="00AB4C79"/>
    <w:rsid w:val="00AB60AE"/>
    <w:rsid w:val="00AB73AE"/>
    <w:rsid w:val="00AB7D4C"/>
    <w:rsid w:val="00AC4229"/>
    <w:rsid w:val="00AC42C8"/>
    <w:rsid w:val="00AC5579"/>
    <w:rsid w:val="00AD1221"/>
    <w:rsid w:val="00AD5453"/>
    <w:rsid w:val="00AE0DC9"/>
    <w:rsid w:val="00AE1EBC"/>
    <w:rsid w:val="00AE2B48"/>
    <w:rsid w:val="00AE7ACF"/>
    <w:rsid w:val="00AF01AA"/>
    <w:rsid w:val="00AF04FA"/>
    <w:rsid w:val="00AF0E25"/>
    <w:rsid w:val="00AF0FFF"/>
    <w:rsid w:val="00AF1BA4"/>
    <w:rsid w:val="00AF3833"/>
    <w:rsid w:val="00B0227B"/>
    <w:rsid w:val="00B0264E"/>
    <w:rsid w:val="00B03A75"/>
    <w:rsid w:val="00B055D7"/>
    <w:rsid w:val="00B06AE2"/>
    <w:rsid w:val="00B11C7E"/>
    <w:rsid w:val="00B207B0"/>
    <w:rsid w:val="00B22A2A"/>
    <w:rsid w:val="00B244EE"/>
    <w:rsid w:val="00B24C6A"/>
    <w:rsid w:val="00B256D9"/>
    <w:rsid w:val="00B27BC7"/>
    <w:rsid w:val="00B3079B"/>
    <w:rsid w:val="00B30A3A"/>
    <w:rsid w:val="00B30AF3"/>
    <w:rsid w:val="00B31F0E"/>
    <w:rsid w:val="00B34A70"/>
    <w:rsid w:val="00B34F68"/>
    <w:rsid w:val="00B369FA"/>
    <w:rsid w:val="00B4029E"/>
    <w:rsid w:val="00B42163"/>
    <w:rsid w:val="00B44304"/>
    <w:rsid w:val="00B46D04"/>
    <w:rsid w:val="00B471D5"/>
    <w:rsid w:val="00B47FCE"/>
    <w:rsid w:val="00B50CF8"/>
    <w:rsid w:val="00B53B70"/>
    <w:rsid w:val="00B54EAE"/>
    <w:rsid w:val="00B6459F"/>
    <w:rsid w:val="00B672EF"/>
    <w:rsid w:val="00B74832"/>
    <w:rsid w:val="00B76D23"/>
    <w:rsid w:val="00B826D2"/>
    <w:rsid w:val="00B83E37"/>
    <w:rsid w:val="00B85F1F"/>
    <w:rsid w:val="00B92DA1"/>
    <w:rsid w:val="00B93F94"/>
    <w:rsid w:val="00B942EA"/>
    <w:rsid w:val="00BA0117"/>
    <w:rsid w:val="00BA0583"/>
    <w:rsid w:val="00BA0D3C"/>
    <w:rsid w:val="00BA2D1D"/>
    <w:rsid w:val="00BA72FE"/>
    <w:rsid w:val="00BB514F"/>
    <w:rsid w:val="00BB7DEF"/>
    <w:rsid w:val="00BB7F43"/>
    <w:rsid w:val="00BC0BCC"/>
    <w:rsid w:val="00BC15F4"/>
    <w:rsid w:val="00BC23DA"/>
    <w:rsid w:val="00BC3C41"/>
    <w:rsid w:val="00BC57DC"/>
    <w:rsid w:val="00BC5F14"/>
    <w:rsid w:val="00BD2474"/>
    <w:rsid w:val="00BD353A"/>
    <w:rsid w:val="00BD46F1"/>
    <w:rsid w:val="00BD4F83"/>
    <w:rsid w:val="00BD4FED"/>
    <w:rsid w:val="00BD5FC2"/>
    <w:rsid w:val="00BD66DD"/>
    <w:rsid w:val="00BE0E3A"/>
    <w:rsid w:val="00BE16D1"/>
    <w:rsid w:val="00BF006E"/>
    <w:rsid w:val="00BF1119"/>
    <w:rsid w:val="00BF67E0"/>
    <w:rsid w:val="00BF6ABE"/>
    <w:rsid w:val="00C00153"/>
    <w:rsid w:val="00C00A47"/>
    <w:rsid w:val="00C01FA6"/>
    <w:rsid w:val="00C03782"/>
    <w:rsid w:val="00C03CF5"/>
    <w:rsid w:val="00C042FD"/>
    <w:rsid w:val="00C10B10"/>
    <w:rsid w:val="00C12B86"/>
    <w:rsid w:val="00C1407F"/>
    <w:rsid w:val="00C16458"/>
    <w:rsid w:val="00C25023"/>
    <w:rsid w:val="00C31298"/>
    <w:rsid w:val="00C31F97"/>
    <w:rsid w:val="00C35598"/>
    <w:rsid w:val="00C35A1B"/>
    <w:rsid w:val="00C3651C"/>
    <w:rsid w:val="00C40F2D"/>
    <w:rsid w:val="00C41E88"/>
    <w:rsid w:val="00C42111"/>
    <w:rsid w:val="00C50CA7"/>
    <w:rsid w:val="00C52962"/>
    <w:rsid w:val="00C52C23"/>
    <w:rsid w:val="00C52CAF"/>
    <w:rsid w:val="00C53287"/>
    <w:rsid w:val="00C55193"/>
    <w:rsid w:val="00C55FD1"/>
    <w:rsid w:val="00C5612B"/>
    <w:rsid w:val="00C65FBB"/>
    <w:rsid w:val="00C67695"/>
    <w:rsid w:val="00C70954"/>
    <w:rsid w:val="00C734CD"/>
    <w:rsid w:val="00C74C6B"/>
    <w:rsid w:val="00C75576"/>
    <w:rsid w:val="00C77C5B"/>
    <w:rsid w:val="00C85A6A"/>
    <w:rsid w:val="00C87548"/>
    <w:rsid w:val="00C91091"/>
    <w:rsid w:val="00C95A28"/>
    <w:rsid w:val="00CA1740"/>
    <w:rsid w:val="00CA2E19"/>
    <w:rsid w:val="00CA2EF1"/>
    <w:rsid w:val="00CA33C1"/>
    <w:rsid w:val="00CA6B66"/>
    <w:rsid w:val="00CA7F05"/>
    <w:rsid w:val="00CB2057"/>
    <w:rsid w:val="00CB25C0"/>
    <w:rsid w:val="00CB4C31"/>
    <w:rsid w:val="00CB6B27"/>
    <w:rsid w:val="00CC0198"/>
    <w:rsid w:val="00CC2B45"/>
    <w:rsid w:val="00CC46AE"/>
    <w:rsid w:val="00CC6132"/>
    <w:rsid w:val="00CC6881"/>
    <w:rsid w:val="00CD0C3D"/>
    <w:rsid w:val="00CD12B8"/>
    <w:rsid w:val="00CD191B"/>
    <w:rsid w:val="00CD26D0"/>
    <w:rsid w:val="00CD53F1"/>
    <w:rsid w:val="00CD5AA5"/>
    <w:rsid w:val="00CD7B19"/>
    <w:rsid w:val="00CE2388"/>
    <w:rsid w:val="00CE4A9B"/>
    <w:rsid w:val="00CE518E"/>
    <w:rsid w:val="00CE6EC3"/>
    <w:rsid w:val="00CF0515"/>
    <w:rsid w:val="00CF24AA"/>
    <w:rsid w:val="00CF426D"/>
    <w:rsid w:val="00CF5824"/>
    <w:rsid w:val="00CF58D6"/>
    <w:rsid w:val="00CF649E"/>
    <w:rsid w:val="00CF75A3"/>
    <w:rsid w:val="00D02EB9"/>
    <w:rsid w:val="00D05CD6"/>
    <w:rsid w:val="00D05F86"/>
    <w:rsid w:val="00D07EAA"/>
    <w:rsid w:val="00D10176"/>
    <w:rsid w:val="00D12B43"/>
    <w:rsid w:val="00D171E6"/>
    <w:rsid w:val="00D20ED1"/>
    <w:rsid w:val="00D20F5C"/>
    <w:rsid w:val="00D264CF"/>
    <w:rsid w:val="00D31230"/>
    <w:rsid w:val="00D31362"/>
    <w:rsid w:val="00D3235D"/>
    <w:rsid w:val="00D32F16"/>
    <w:rsid w:val="00D34342"/>
    <w:rsid w:val="00D35AC5"/>
    <w:rsid w:val="00D37F52"/>
    <w:rsid w:val="00D4268C"/>
    <w:rsid w:val="00D44BFA"/>
    <w:rsid w:val="00D45F8D"/>
    <w:rsid w:val="00D50D7A"/>
    <w:rsid w:val="00D50DD2"/>
    <w:rsid w:val="00D5264E"/>
    <w:rsid w:val="00D5305F"/>
    <w:rsid w:val="00D554A1"/>
    <w:rsid w:val="00D55989"/>
    <w:rsid w:val="00D6137B"/>
    <w:rsid w:val="00D6248E"/>
    <w:rsid w:val="00D65A2A"/>
    <w:rsid w:val="00D74337"/>
    <w:rsid w:val="00D74C89"/>
    <w:rsid w:val="00D74D81"/>
    <w:rsid w:val="00D751B0"/>
    <w:rsid w:val="00D837F1"/>
    <w:rsid w:val="00D9268A"/>
    <w:rsid w:val="00D94A66"/>
    <w:rsid w:val="00D971F9"/>
    <w:rsid w:val="00D973E9"/>
    <w:rsid w:val="00DA697A"/>
    <w:rsid w:val="00DB0DB0"/>
    <w:rsid w:val="00DB1029"/>
    <w:rsid w:val="00DB19A6"/>
    <w:rsid w:val="00DB6EDC"/>
    <w:rsid w:val="00DB7F97"/>
    <w:rsid w:val="00DC1F38"/>
    <w:rsid w:val="00DD0A9D"/>
    <w:rsid w:val="00DD0D80"/>
    <w:rsid w:val="00DD297A"/>
    <w:rsid w:val="00DD63A6"/>
    <w:rsid w:val="00DD685C"/>
    <w:rsid w:val="00DD6D29"/>
    <w:rsid w:val="00DE1853"/>
    <w:rsid w:val="00DE35D6"/>
    <w:rsid w:val="00DE4111"/>
    <w:rsid w:val="00DE7869"/>
    <w:rsid w:val="00DE7E60"/>
    <w:rsid w:val="00DF0132"/>
    <w:rsid w:val="00DF0F2F"/>
    <w:rsid w:val="00DF1F73"/>
    <w:rsid w:val="00DF359D"/>
    <w:rsid w:val="00DF468D"/>
    <w:rsid w:val="00DF6C16"/>
    <w:rsid w:val="00DF7D54"/>
    <w:rsid w:val="00E00847"/>
    <w:rsid w:val="00E01F5A"/>
    <w:rsid w:val="00E031C9"/>
    <w:rsid w:val="00E0735A"/>
    <w:rsid w:val="00E07528"/>
    <w:rsid w:val="00E07670"/>
    <w:rsid w:val="00E1332D"/>
    <w:rsid w:val="00E13D5E"/>
    <w:rsid w:val="00E144D3"/>
    <w:rsid w:val="00E14693"/>
    <w:rsid w:val="00E15E86"/>
    <w:rsid w:val="00E177F7"/>
    <w:rsid w:val="00E2238E"/>
    <w:rsid w:val="00E26FE9"/>
    <w:rsid w:val="00E3261D"/>
    <w:rsid w:val="00E33575"/>
    <w:rsid w:val="00E36023"/>
    <w:rsid w:val="00E36976"/>
    <w:rsid w:val="00E410B4"/>
    <w:rsid w:val="00E4216B"/>
    <w:rsid w:val="00E456C7"/>
    <w:rsid w:val="00E50349"/>
    <w:rsid w:val="00E5267A"/>
    <w:rsid w:val="00E52ACE"/>
    <w:rsid w:val="00E53C2E"/>
    <w:rsid w:val="00E54A4F"/>
    <w:rsid w:val="00E5558C"/>
    <w:rsid w:val="00E560EA"/>
    <w:rsid w:val="00E56F59"/>
    <w:rsid w:val="00E71534"/>
    <w:rsid w:val="00E7176C"/>
    <w:rsid w:val="00E71780"/>
    <w:rsid w:val="00E75274"/>
    <w:rsid w:val="00E7608B"/>
    <w:rsid w:val="00E806FE"/>
    <w:rsid w:val="00E80CC3"/>
    <w:rsid w:val="00E81716"/>
    <w:rsid w:val="00E8221B"/>
    <w:rsid w:val="00E8368B"/>
    <w:rsid w:val="00E8371E"/>
    <w:rsid w:val="00E83CC4"/>
    <w:rsid w:val="00E840CF"/>
    <w:rsid w:val="00E84691"/>
    <w:rsid w:val="00E86E2F"/>
    <w:rsid w:val="00E876BB"/>
    <w:rsid w:val="00E924F7"/>
    <w:rsid w:val="00E92E43"/>
    <w:rsid w:val="00E96FDA"/>
    <w:rsid w:val="00E97038"/>
    <w:rsid w:val="00EA0A35"/>
    <w:rsid w:val="00EA1911"/>
    <w:rsid w:val="00EA68FB"/>
    <w:rsid w:val="00EA69A5"/>
    <w:rsid w:val="00EB3307"/>
    <w:rsid w:val="00EB3DB3"/>
    <w:rsid w:val="00EB4A80"/>
    <w:rsid w:val="00EC315A"/>
    <w:rsid w:val="00EC43A4"/>
    <w:rsid w:val="00EC633C"/>
    <w:rsid w:val="00ED437F"/>
    <w:rsid w:val="00ED4B8A"/>
    <w:rsid w:val="00ED630F"/>
    <w:rsid w:val="00ED72A2"/>
    <w:rsid w:val="00ED7610"/>
    <w:rsid w:val="00EE1CE6"/>
    <w:rsid w:val="00EE4A11"/>
    <w:rsid w:val="00EF1134"/>
    <w:rsid w:val="00EF7BA3"/>
    <w:rsid w:val="00F03DF6"/>
    <w:rsid w:val="00F06D0E"/>
    <w:rsid w:val="00F10368"/>
    <w:rsid w:val="00F11C16"/>
    <w:rsid w:val="00F12398"/>
    <w:rsid w:val="00F13801"/>
    <w:rsid w:val="00F1388B"/>
    <w:rsid w:val="00F14767"/>
    <w:rsid w:val="00F1495D"/>
    <w:rsid w:val="00F14BA2"/>
    <w:rsid w:val="00F151AF"/>
    <w:rsid w:val="00F16E23"/>
    <w:rsid w:val="00F17041"/>
    <w:rsid w:val="00F174E4"/>
    <w:rsid w:val="00F200A6"/>
    <w:rsid w:val="00F223A4"/>
    <w:rsid w:val="00F2269D"/>
    <w:rsid w:val="00F279D9"/>
    <w:rsid w:val="00F3004F"/>
    <w:rsid w:val="00F32180"/>
    <w:rsid w:val="00F3237E"/>
    <w:rsid w:val="00F3313F"/>
    <w:rsid w:val="00F334AB"/>
    <w:rsid w:val="00F36476"/>
    <w:rsid w:val="00F36821"/>
    <w:rsid w:val="00F42FC6"/>
    <w:rsid w:val="00F466C8"/>
    <w:rsid w:val="00F46DF2"/>
    <w:rsid w:val="00F4783A"/>
    <w:rsid w:val="00F47D01"/>
    <w:rsid w:val="00F47F4C"/>
    <w:rsid w:val="00F535D0"/>
    <w:rsid w:val="00F548DF"/>
    <w:rsid w:val="00F56056"/>
    <w:rsid w:val="00F56B05"/>
    <w:rsid w:val="00F60ACE"/>
    <w:rsid w:val="00F613EC"/>
    <w:rsid w:val="00F6677E"/>
    <w:rsid w:val="00F67944"/>
    <w:rsid w:val="00F706E4"/>
    <w:rsid w:val="00F72E70"/>
    <w:rsid w:val="00F7384B"/>
    <w:rsid w:val="00F743A7"/>
    <w:rsid w:val="00F77FC6"/>
    <w:rsid w:val="00F8066E"/>
    <w:rsid w:val="00F82B9F"/>
    <w:rsid w:val="00F92EA9"/>
    <w:rsid w:val="00F9471A"/>
    <w:rsid w:val="00F95B98"/>
    <w:rsid w:val="00FA0562"/>
    <w:rsid w:val="00FA3596"/>
    <w:rsid w:val="00FA3611"/>
    <w:rsid w:val="00FA3CA7"/>
    <w:rsid w:val="00FA5D5A"/>
    <w:rsid w:val="00FA6312"/>
    <w:rsid w:val="00FA7AA2"/>
    <w:rsid w:val="00FB0762"/>
    <w:rsid w:val="00FB37EA"/>
    <w:rsid w:val="00FB3CCD"/>
    <w:rsid w:val="00FB547A"/>
    <w:rsid w:val="00FB5F10"/>
    <w:rsid w:val="00FB6557"/>
    <w:rsid w:val="00FC34E1"/>
    <w:rsid w:val="00FD04A4"/>
    <w:rsid w:val="00FD2BBB"/>
    <w:rsid w:val="00FD4BF7"/>
    <w:rsid w:val="00FD693B"/>
    <w:rsid w:val="00FE1FE2"/>
    <w:rsid w:val="00FF1165"/>
    <w:rsid w:val="00FF4A2F"/>
    <w:rsid w:val="04714B20"/>
    <w:rsid w:val="063B769F"/>
    <w:rsid w:val="06A86D70"/>
    <w:rsid w:val="07B92C3C"/>
    <w:rsid w:val="091E3DF7"/>
    <w:rsid w:val="0982166F"/>
    <w:rsid w:val="09A57C09"/>
    <w:rsid w:val="09C81781"/>
    <w:rsid w:val="09D94E35"/>
    <w:rsid w:val="09EC2210"/>
    <w:rsid w:val="0A013768"/>
    <w:rsid w:val="0C2C4385"/>
    <w:rsid w:val="0C3C60BA"/>
    <w:rsid w:val="0CEA34BE"/>
    <w:rsid w:val="0DEE4521"/>
    <w:rsid w:val="0E79727A"/>
    <w:rsid w:val="0EB54D57"/>
    <w:rsid w:val="106461DF"/>
    <w:rsid w:val="12A14823"/>
    <w:rsid w:val="130E23CF"/>
    <w:rsid w:val="13706BF0"/>
    <w:rsid w:val="14270F49"/>
    <w:rsid w:val="1774666C"/>
    <w:rsid w:val="19436102"/>
    <w:rsid w:val="197F722B"/>
    <w:rsid w:val="1B905946"/>
    <w:rsid w:val="1C9E63DF"/>
    <w:rsid w:val="1EDC0931"/>
    <w:rsid w:val="2034681C"/>
    <w:rsid w:val="223E69B9"/>
    <w:rsid w:val="238E2E63"/>
    <w:rsid w:val="25633CE3"/>
    <w:rsid w:val="27723D21"/>
    <w:rsid w:val="2A154580"/>
    <w:rsid w:val="2A3B1CD8"/>
    <w:rsid w:val="2AA0747E"/>
    <w:rsid w:val="2DD81965"/>
    <w:rsid w:val="2F1B72D7"/>
    <w:rsid w:val="300D32E0"/>
    <w:rsid w:val="311C349A"/>
    <w:rsid w:val="318E3ACA"/>
    <w:rsid w:val="31F05AFB"/>
    <w:rsid w:val="32630B8D"/>
    <w:rsid w:val="33F76213"/>
    <w:rsid w:val="3541380F"/>
    <w:rsid w:val="364C326F"/>
    <w:rsid w:val="369A0A23"/>
    <w:rsid w:val="36D30B9F"/>
    <w:rsid w:val="386347F2"/>
    <w:rsid w:val="38F60882"/>
    <w:rsid w:val="39414902"/>
    <w:rsid w:val="3A050504"/>
    <w:rsid w:val="3B907CF6"/>
    <w:rsid w:val="3DF43D15"/>
    <w:rsid w:val="3EDC1A00"/>
    <w:rsid w:val="3F00466A"/>
    <w:rsid w:val="3F99367A"/>
    <w:rsid w:val="405E6CFA"/>
    <w:rsid w:val="406712EA"/>
    <w:rsid w:val="40C56E99"/>
    <w:rsid w:val="410773DF"/>
    <w:rsid w:val="410D0EC7"/>
    <w:rsid w:val="415D68AE"/>
    <w:rsid w:val="41A75842"/>
    <w:rsid w:val="44E30B5F"/>
    <w:rsid w:val="468034B7"/>
    <w:rsid w:val="46860C43"/>
    <w:rsid w:val="472C6814"/>
    <w:rsid w:val="47A70D1B"/>
    <w:rsid w:val="47D17961"/>
    <w:rsid w:val="481D4055"/>
    <w:rsid w:val="485D221C"/>
    <w:rsid w:val="487E25DE"/>
    <w:rsid w:val="4919598F"/>
    <w:rsid w:val="49AF6EF2"/>
    <w:rsid w:val="4AF74D11"/>
    <w:rsid w:val="4B816DED"/>
    <w:rsid w:val="4C7D7F89"/>
    <w:rsid w:val="4E657E2A"/>
    <w:rsid w:val="4EBB6B1B"/>
    <w:rsid w:val="50955781"/>
    <w:rsid w:val="50A269C9"/>
    <w:rsid w:val="511361A1"/>
    <w:rsid w:val="51EF7899"/>
    <w:rsid w:val="51F90B69"/>
    <w:rsid w:val="535534C5"/>
    <w:rsid w:val="552114B7"/>
    <w:rsid w:val="554B7562"/>
    <w:rsid w:val="56605650"/>
    <w:rsid w:val="57622790"/>
    <w:rsid w:val="5A142254"/>
    <w:rsid w:val="5A28285B"/>
    <w:rsid w:val="5BFA1949"/>
    <w:rsid w:val="5C2669AC"/>
    <w:rsid w:val="5D1F14F3"/>
    <w:rsid w:val="5E743A82"/>
    <w:rsid w:val="5FBC4017"/>
    <w:rsid w:val="60304DC5"/>
    <w:rsid w:val="60770611"/>
    <w:rsid w:val="60A63006"/>
    <w:rsid w:val="60BD2042"/>
    <w:rsid w:val="60F96F7C"/>
    <w:rsid w:val="638B7C81"/>
    <w:rsid w:val="653E1D9D"/>
    <w:rsid w:val="690019A9"/>
    <w:rsid w:val="69FD14B4"/>
    <w:rsid w:val="6A131496"/>
    <w:rsid w:val="6A9D5EE1"/>
    <w:rsid w:val="6B834B70"/>
    <w:rsid w:val="6BFA58FC"/>
    <w:rsid w:val="6CF134E3"/>
    <w:rsid w:val="6E8B48D5"/>
    <w:rsid w:val="6F131548"/>
    <w:rsid w:val="6FE729B7"/>
    <w:rsid w:val="713502C9"/>
    <w:rsid w:val="717244A8"/>
    <w:rsid w:val="7366146D"/>
    <w:rsid w:val="73702CF6"/>
    <w:rsid w:val="73792A82"/>
    <w:rsid w:val="7383136F"/>
    <w:rsid w:val="74003C5F"/>
    <w:rsid w:val="75981458"/>
    <w:rsid w:val="75F80517"/>
    <w:rsid w:val="77AC4B73"/>
    <w:rsid w:val="783D32FE"/>
    <w:rsid w:val="78564826"/>
    <w:rsid w:val="79A83226"/>
    <w:rsid w:val="7A444BED"/>
    <w:rsid w:val="7BC25046"/>
    <w:rsid w:val="7C935F7B"/>
    <w:rsid w:val="7C965FF0"/>
    <w:rsid w:val="7E1F3E5D"/>
    <w:rsid w:val="7E2F2716"/>
    <w:rsid w:val="7EA810DB"/>
    <w:rsid w:val="7F1B506E"/>
    <w:rsid w:val="7F3A059A"/>
    <w:rsid w:val="7FAA1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3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7"/>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endnote text"/>
    <w:basedOn w:val="1"/>
    <w:link w:val="31"/>
    <w:semiHidden/>
    <w:unhideWhenUsed/>
    <w:qFormat/>
    <w:uiPriority w:val="99"/>
    <w:pPr>
      <w:snapToGrid w:val="0"/>
      <w:jc w:val="left"/>
    </w:pPr>
  </w:style>
  <w:style w:type="paragraph" w:styleId="9">
    <w:name w:val="Balloon Text"/>
    <w:basedOn w:val="1"/>
    <w:link w:val="30"/>
    <w:semiHidden/>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96"/>
      </w:tabs>
    </w:pPr>
    <w:rPr>
      <w:rFonts w:ascii="Times New Roman" w:hAnsi="Times New Roman" w:eastAsia="方正仿宋简体"/>
      <w:b/>
    </w:rPr>
  </w:style>
  <w:style w:type="paragraph" w:styleId="13">
    <w:name w:val="toc 2"/>
    <w:basedOn w:val="1"/>
    <w:next w:val="1"/>
    <w:unhideWhenUsed/>
    <w:qFormat/>
    <w:uiPriority w:val="39"/>
    <w:pPr>
      <w:ind w:left="420" w:leftChars="200"/>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link w:val="33"/>
    <w:qFormat/>
    <w:uiPriority w:val="10"/>
    <w:pPr>
      <w:spacing w:before="240" w:after="60" w:line="360" w:lineRule="auto"/>
      <w:ind w:firstLine="200" w:firstLineChars="200"/>
      <w:jc w:val="center"/>
      <w:outlineLvl w:val="0"/>
    </w:pPr>
    <w:rPr>
      <w:rFonts w:ascii="Cambria" w:hAnsi="Cambria" w:eastAsia="楷体" w:cs="Times New Roman"/>
      <w:b/>
      <w:sz w:val="36"/>
      <w:szCs w:val="20"/>
    </w:rPr>
  </w:style>
  <w:style w:type="paragraph" w:styleId="16">
    <w:name w:val="annotation subject"/>
    <w:basedOn w:val="6"/>
    <w:next w:val="6"/>
    <w:link w:val="34"/>
    <w:semiHidden/>
    <w:unhideWhenUsed/>
    <w:qFormat/>
    <w:uiPriority w:val="99"/>
    <w:rPr>
      <w:b/>
      <w:bCs/>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semiHidden/>
    <w:unhideWhenUsed/>
    <w:qFormat/>
    <w:uiPriority w:val="99"/>
    <w:rPr>
      <w:vertAlign w:val="superscript"/>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unhideWhenUsed/>
    <w:qFormat/>
    <w:uiPriority w:val="99"/>
    <w:rPr>
      <w:sz w:val="21"/>
      <w:szCs w:val="21"/>
    </w:rPr>
  </w:style>
  <w:style w:type="character" w:customStyle="1" w:styleId="23">
    <w:name w:val="页眉 Char"/>
    <w:basedOn w:val="19"/>
    <w:link w:val="11"/>
    <w:qFormat/>
    <w:uiPriority w:val="99"/>
    <w:rPr>
      <w:sz w:val="18"/>
      <w:szCs w:val="18"/>
    </w:rPr>
  </w:style>
  <w:style w:type="character" w:customStyle="1" w:styleId="24">
    <w:name w:val="页脚 Char"/>
    <w:basedOn w:val="19"/>
    <w:link w:val="10"/>
    <w:qFormat/>
    <w:uiPriority w:val="99"/>
    <w:rPr>
      <w:sz w:val="18"/>
      <w:szCs w:val="18"/>
    </w:rPr>
  </w:style>
  <w:style w:type="character" w:customStyle="1" w:styleId="25">
    <w:name w:val="标题 1 Char"/>
    <w:basedOn w:val="19"/>
    <w:link w:val="2"/>
    <w:qFormat/>
    <w:uiPriority w:val="9"/>
    <w:rPr>
      <w:b/>
      <w:bCs/>
      <w:kern w:val="44"/>
      <w:sz w:val="44"/>
      <w:szCs w:val="44"/>
    </w:rPr>
  </w:style>
  <w:style w:type="character" w:customStyle="1" w:styleId="26">
    <w:name w:val="标题 3 Char"/>
    <w:basedOn w:val="19"/>
    <w:link w:val="4"/>
    <w:qFormat/>
    <w:uiPriority w:val="0"/>
    <w:rPr>
      <w:rFonts w:ascii="Times New Roman" w:hAnsi="Times New Roman" w:eastAsia="宋体" w:cs="Times New Roman"/>
      <w:b/>
      <w:bCs/>
      <w:sz w:val="32"/>
      <w:szCs w:val="32"/>
    </w:rPr>
  </w:style>
  <w:style w:type="character" w:customStyle="1" w:styleId="27">
    <w:name w:val="批注文字 Char"/>
    <w:basedOn w:val="19"/>
    <w:link w:val="6"/>
    <w:qFormat/>
    <w:uiPriority w:val="99"/>
  </w:style>
  <w:style w:type="character" w:customStyle="1" w:styleId="28">
    <w:name w:val="style_kwd1"/>
    <w:basedOn w:val="19"/>
    <w:qFormat/>
    <w:uiPriority w:val="0"/>
    <w:rPr>
      <w:shd w:val="clear" w:color="auto" w:fill="FFFFA6"/>
    </w:rPr>
  </w:style>
  <w:style w:type="character" w:customStyle="1" w:styleId="29">
    <w:name w:val="标题 2 Char"/>
    <w:basedOn w:val="19"/>
    <w:link w:val="3"/>
    <w:qFormat/>
    <w:uiPriority w:val="9"/>
    <w:rPr>
      <w:rFonts w:asciiTheme="majorHAnsi" w:hAnsiTheme="majorHAnsi" w:eastAsiaTheme="majorEastAsia" w:cstheme="majorBidi"/>
      <w:b/>
      <w:bCs/>
      <w:sz w:val="32"/>
      <w:szCs w:val="32"/>
    </w:rPr>
  </w:style>
  <w:style w:type="character" w:customStyle="1" w:styleId="30">
    <w:name w:val="批注框文本 Char"/>
    <w:basedOn w:val="19"/>
    <w:link w:val="9"/>
    <w:semiHidden/>
    <w:qFormat/>
    <w:uiPriority w:val="99"/>
    <w:rPr>
      <w:sz w:val="18"/>
      <w:szCs w:val="18"/>
    </w:rPr>
  </w:style>
  <w:style w:type="character" w:customStyle="1" w:styleId="31">
    <w:name w:val="尾注文本 Char"/>
    <w:basedOn w:val="19"/>
    <w:link w:val="8"/>
    <w:semiHidden/>
    <w:qFormat/>
    <w:uiPriority w:val="99"/>
  </w:style>
  <w:style w:type="character" w:customStyle="1" w:styleId="32">
    <w:name w:val="标题 4 Char"/>
    <w:basedOn w:val="19"/>
    <w:link w:val="5"/>
    <w:qFormat/>
    <w:uiPriority w:val="9"/>
    <w:rPr>
      <w:rFonts w:asciiTheme="majorHAnsi" w:hAnsiTheme="majorHAnsi" w:eastAsiaTheme="majorEastAsia" w:cstheme="majorBidi"/>
      <w:b/>
      <w:bCs/>
      <w:sz w:val="28"/>
      <w:szCs w:val="28"/>
    </w:rPr>
  </w:style>
  <w:style w:type="character" w:customStyle="1" w:styleId="33">
    <w:name w:val="标题 Char"/>
    <w:basedOn w:val="19"/>
    <w:link w:val="15"/>
    <w:qFormat/>
    <w:uiPriority w:val="10"/>
    <w:rPr>
      <w:rFonts w:ascii="Cambria" w:hAnsi="Cambria" w:eastAsia="楷体" w:cs="Times New Roman"/>
      <w:b/>
      <w:sz w:val="36"/>
      <w:szCs w:val="20"/>
    </w:rPr>
  </w:style>
  <w:style w:type="character" w:customStyle="1" w:styleId="34">
    <w:name w:val="批注主题 Char"/>
    <w:basedOn w:val="27"/>
    <w:link w:val="16"/>
    <w:semiHidden/>
    <w:qFormat/>
    <w:uiPriority w:val="99"/>
    <w:rPr>
      <w:b/>
      <w:bCs/>
    </w:rPr>
  </w:style>
  <w:style w:type="paragraph" w:customStyle="1" w:styleId="35">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36">
    <w:name w:val="List Paragraph"/>
    <w:basedOn w:val="1"/>
    <w:qFormat/>
    <w:uiPriority w:val="34"/>
    <w:pPr>
      <w:ind w:firstLine="420" w:firstLineChars="200"/>
    </w:p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6.xml"/><Relationship Id="rId27" Type="http://schemas.openxmlformats.org/officeDocument/2006/relationships/customXml" Target="../customXml/item5.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header" Target="header2.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深交所文档中心(New)" ma:contentTypeID="0x010100BFF86933982D954699BF75D6EEFACEE401008F598E7BA4788947AF492DCDF6522C8E" ma:contentTypeVersion="3" ma:contentTypeDescription="" ma:contentTypeScope="" ma:versionID="75f70b8c12025c49fb82c580f0127d31">
  <xsd:schema xmlns:xsd="http://www.w3.org/2001/XMLSchema" xmlns:xs="http://www.w3.org/2001/XMLSchema" xmlns:p="http://schemas.microsoft.com/office/2006/metadata/properties" xmlns:ns2="e3ed7b3c-58ad-40ee-af63-61e00a681d7c" xmlns:ns3="5df33f2c-abb3-4242-bea9-ecc009f23325" xmlns:ns4="af7764ec-d5b1-43f8-8c99-7b7a1c02a389" xmlns:ns5="2ee3fe5c-7b5c-477c-b578-e3b15c18279f" xmlns:ns6="c708a2cf-f3d7-4c87-801a-68274f70690b" targetNamespace="http://schemas.microsoft.com/office/2006/metadata/properties" ma:root="true" ma:fieldsID="99b3010e303baa2781c908718ffb767e" ns2:_="" ns3:_="" ns4:_="" ns5:_="" ns6:_="">
    <xsd:import namespace="e3ed7b3c-58ad-40ee-af63-61e00a681d7c"/>
    <xsd:import namespace="5df33f2c-abb3-4242-bea9-ecc009f23325"/>
    <xsd:import namespace="af7764ec-d5b1-43f8-8c99-7b7a1c02a389"/>
    <xsd:import namespace="2ee3fe5c-7b5c-477c-b578-e3b15c18279f"/>
    <xsd:import namespace="c708a2cf-f3d7-4c87-801a-68274f70690b"/>
    <xsd:element name="properties">
      <xsd:complexType>
        <xsd:sequence>
          <xsd:element name="documentManagement">
            <xsd:complexType>
              <xsd:all>
                <xsd:element ref="ns2:oc0407afe9724b418f0de539c436b47b" minOccurs="0"/>
                <xsd:element ref="ns2:Draftman" minOccurs="0"/>
                <xsd:element ref="ns2:k974182db0524a0cb83c9e5eb5e404b2" minOccurs="0"/>
                <xsd:element ref="ns2:PublicationType" minOccurs="0"/>
                <xsd:element ref="ns2:PublicationRange" minOccurs="0"/>
                <xsd:element ref="ns3:文件字号" minOccurs="0"/>
                <xsd:element ref="ns2:Dense" minOccurs="0"/>
                <xsd:element ref="ns2:DisInHome" minOccurs="0"/>
                <xsd:element ref="ns3:点击" minOccurs="0"/>
                <xsd:element ref="ns2:WeekViewCount" minOccurs="0"/>
                <xsd:element ref="ns2:MonthViewCount" minOccurs="0"/>
                <xsd:element ref="ns2:Likes" minOccurs="0"/>
                <xsd:element ref="ns4:TaxCatchAll" minOccurs="0"/>
                <xsd:element ref="ns4:TaxCatchAllLabel" minOccurs="0"/>
                <xsd:element ref="ns3:_dlc_DocId" minOccurs="0"/>
                <xsd:element ref="ns3:_dlc_DocIdUrl" minOccurs="0"/>
                <xsd:element ref="ns3:_dlc_DocIdPersistId" minOccurs="0"/>
                <xsd:element ref="ns5:分类" minOccurs="0"/>
                <xsd:element ref="ns5:部门" minOccurs="0"/>
                <xsd:element ref="ns6:EntryTime" minOccurs="0"/>
                <xsd:element ref="ns4:生效日期"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d7b3c-58ad-40ee-af63-61e00a681d7c" elementFormDefault="qualified">
    <xsd:import namespace="http://schemas.microsoft.com/office/2006/documentManagement/types"/>
    <xsd:import namespace="http://schemas.microsoft.com/office/infopath/2007/PartnerControls"/>
    <xsd:element name="oc0407afe9724b418f0de539c436b47b" ma:index="2" nillable="true" ma:taxonomy="true" ma:internalName="oc0407afe9724b418f0de539c436b47b" ma:taxonomyFieldName="ClassificationOfTheGenus" ma:displayName="所属分类" ma:default="" ma:fieldId="{8c0407af-e972-4b41-8f0d-e539c436b47b}" ma:taxonomyMulti="true" ma:sspId="e8c9348b-b9cf-4df2-b253-2f2ee5e24a93" ma:termSetId="bc42af1c-9e9d-4eb4-ab5d-4c4cba118b07" ma:anchorId="00000000-0000-0000-0000-000000000000" ma:open="false" ma:isKeyword="false">
      <xsd:complexType>
        <xsd:sequence>
          <xsd:element ref="pc:Terms" minOccurs="0" maxOccurs="1"/>
        </xsd:sequence>
      </xsd:complexType>
    </xsd:element>
    <xsd:element name="Draftman" ma:index="4" nillable="true" ma:displayName="起草人" ma:list="UserInfo" ma:SearchPeopleOnly="false" ma:SharePointGroup="0" ma:internalName="Draftma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974182db0524a0cb83c9e5eb5e404b2" ma:index="5" nillable="true" ma:taxonomy="true" ma:internalName="k974182db0524a0cb83c9e5eb5e404b2" ma:taxonomyFieldName="DraftingDepartment" ma:displayName="起草部门" ma:default="" ma:fieldId="{4974182d-b052-4a0c-b83c-9e5eb5e404b2}" ma:taxonomyMulti="true" ma:sspId="e8c9348b-b9cf-4df2-b253-2f2ee5e24a93" ma:termSetId="ce49cd3b-d345-4b1a-9323-2626858f3c0d" ma:anchorId="00000000-0000-0000-0000-000000000000" ma:open="false" ma:isKeyword="false">
      <xsd:complexType>
        <xsd:sequence>
          <xsd:element ref="pc:Terms" minOccurs="0" maxOccurs="1"/>
        </xsd:sequence>
      </xsd:complexType>
    </xsd:element>
    <xsd:element name="PublicationType" ma:index="7" nillable="true" ma:displayName="发布类型" ma:format="RadioButtons" ma:internalName="PublicationType">
      <xsd:simpleType>
        <xsd:restriction base="dms:Choice">
          <xsd:enumeration value="全体人员"/>
          <xsd:enumeration value="限定范围"/>
          <xsd:enumeration value="自定义"/>
        </xsd:restriction>
      </xsd:simpleType>
    </xsd:element>
    <xsd:element name="PublicationRange" ma:index="8" nillable="true" ma:displayName="发布范围" ma:list="UserInfo" ma:SearchPeopleOnly="false" ma:SharePointGroup="0" ma:internalName="PublicationRang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nse" ma:index="10" nillable="true" ma:displayName="密级" ma:default="内部使用" ma:format="RadioButtons" ma:internalName="Dense">
      <xsd:simpleType>
        <xsd:restriction base="dms:Choice">
          <xsd:enumeration value="内部使用"/>
          <xsd:enumeration value="所内秘密"/>
          <xsd:enumeration value="所内机密"/>
        </xsd:restriction>
      </xsd:simpleType>
    </xsd:element>
    <xsd:element name="DisInHome" ma:index="11" nillable="true" ma:displayName="首页显示" ma:default="否" ma:format="RadioButtons" ma:internalName="DisInHome">
      <xsd:simpleType>
        <xsd:restriction base="dms:Choice">
          <xsd:enumeration value="是"/>
          <xsd:enumeration value="否"/>
        </xsd:restriction>
      </xsd:simpleType>
    </xsd:element>
    <xsd:element name="WeekViewCount" ma:index="13" nillable="true" ma:displayName="周点击" ma:internalName="WeekViewCount">
      <xsd:simpleType>
        <xsd:restriction base="dms:Unknown"/>
      </xsd:simpleType>
    </xsd:element>
    <xsd:element name="MonthViewCount" ma:index="14" nillable="true" ma:displayName="月点击" ma:internalName="MonthViewCount">
      <xsd:simpleType>
        <xsd:restriction base="dms:Unknown"/>
      </xsd:simpleType>
    </xsd:element>
    <xsd:element name="Likes" ma:index="15" nillable="true" ma:displayName="点赞" ma:internalName="Lik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f33f2c-abb3-4242-bea9-ecc009f23325" elementFormDefault="qualified">
    <xsd:import namespace="http://schemas.microsoft.com/office/2006/documentManagement/types"/>
    <xsd:import namespace="http://schemas.microsoft.com/office/infopath/2007/PartnerControls"/>
    <xsd:element name="文件字号" ma:index="9" nillable="true" ma:displayName="文件字号" ma:internalName="_x6587__x4ef6__x5b57__x53f7_" ma:readOnly="false">
      <xsd:simpleType>
        <xsd:restriction base="dms:Text"/>
      </xsd:simpleType>
    </xsd:element>
    <xsd:element name="点击" ma:index="12" nillable="true" ma:displayName="点击" ma:internalName="_x70b9__x51fb_">
      <xsd:simpleType>
        <xsd:restriction base="dms:Unknown"/>
      </xsd:simpleType>
    </xsd:element>
    <xsd:element name="_dlc_DocId" ma:index="18" nillable="true" ma:displayName="文档 ID 值" ma:description="分配至此项的文档 ID 值。" ma:internalName="_dlc_DocId" ma:readOnly="true">
      <xsd:simpleType>
        <xsd:restriction base="dms:Text"/>
      </xsd:simpleType>
    </xsd:element>
    <xsd:element name="_dlc_DocIdUrl" ma:index="1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永久 ID" ma:description="在添加过程中保留 I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7764ec-d5b1-43f8-8c99-7b7a1c02a389" elementFormDefault="qualified">
    <xsd:import namespace="http://schemas.microsoft.com/office/2006/documentManagement/types"/>
    <xsd:import namespace="http://schemas.microsoft.com/office/infopath/2007/PartnerControls"/>
    <xsd:element name="TaxCatchAll" ma:index="16" nillable="true" ma:displayName="“分类捕捉所有”列" ma:hidden="true" ma:list="{3dbca74f-b806-474e-a183-1f255db7da76}" ma:internalName="TaxCatchAll" ma:showField="CatchAllData" ma:web="af7764ec-d5b1-43f8-8c99-7b7a1c02a389">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分类捕捉所有”列1" ma:hidden="true" ma:list="{3dbca74f-b806-474e-a183-1f255db7da76}" ma:internalName="TaxCatchAllLabel" ma:readOnly="true" ma:showField="CatchAllDataLabel" ma:web="af7764ec-d5b1-43f8-8c99-7b7a1c02a389">
      <xsd:complexType>
        <xsd:complexContent>
          <xsd:extension base="dms:MultiChoiceLookup">
            <xsd:sequence>
              <xsd:element name="Value" type="dms:Lookup" maxOccurs="unbounded" minOccurs="0" nillable="true"/>
            </xsd:sequence>
          </xsd:extension>
        </xsd:complexContent>
      </xsd:complexType>
    </xsd:element>
    <xsd:element name="生效日期" ma:index="24" nillable="true" ma:displayName="生效日期" ma:format="DateOnly" ma:internalName="_x751f__x6548__x65e5__x671f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e3fe5c-7b5c-477c-b578-e3b15c18279f" elementFormDefault="qualified">
    <xsd:import namespace="http://schemas.microsoft.com/office/2006/documentManagement/types"/>
    <xsd:import namespace="http://schemas.microsoft.com/office/infopath/2007/PartnerControls"/>
    <xsd:element name="分类" ma:index="21" nillable="true" ma:displayName="分类" ma:internalName="classification">
      <xsd:simpleType>
        <xsd:restriction base="dms:Note"/>
      </xsd:simpleType>
    </xsd:element>
    <xsd:element name="部门" ma:index="22" nillable="true" ma:displayName="部门" ma:internalName="dep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8a2cf-f3d7-4c87-801a-68274f70690b" elementFormDefault="qualified">
    <xsd:import namespace="http://schemas.microsoft.com/office/2006/documentManagement/types"/>
    <xsd:import namespace="http://schemas.microsoft.com/office/infopath/2007/PartnerControls"/>
    <xsd:element name="EntryTime" ma:index="23" nillable="true" ma:displayName="生效日期" ma:format="DateOnly" ma:internalName="Entry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isInHome xmlns="e3ed7b3c-58ad-40ee-af63-61e00a681d7c">否</DisInHome>
    <点击 xmlns="5df33f2c-abb3-4242-bea9-ecc009f23325">28</点击>
    <Likes xmlns="e3ed7b3c-58ad-40ee-af63-61e00a681d7c" xsi:nil="true"/>
    <文件字号 xmlns="5df33f2c-abb3-4242-bea9-ecc009f23325">深证上[2021]692号-关于发布《深圳证券交易所公开募集基础设施证券投资基金业务指南第4号——存续期业务办理》的通知</文件字号>
    <WeekViewCount xmlns="e3ed7b3c-58ad-40ee-af63-61e00a681d7c">28</WeekViewCount>
    <分类 xmlns="2ee3fe5c-7b5c-477c-b578-e3b15c18279f">70E6EDE3-DF9D-48CA-B250-B066BD9C90DD</分类>
    <k974182db0524a0cb83c9e5eb5e404b2 xmlns="e3ed7b3c-58ad-40ee-af63-61e00a681d7c">
      <Terms xmlns="http://schemas.microsoft.com/office/infopath/2007/PartnerControls"/>
    </k974182db0524a0cb83c9e5eb5e404b2>
    <PublicationRange xmlns="e3ed7b3c-58ad-40ee-af63-61e00a681d7c">
      <UserInfo>
        <DisplayName>深圳证券交易所_全部人员</DisplayName>
        <AccountId>2686</AccountId>
        <AccountType/>
      </UserInfo>
    </PublicationRange>
    <MonthViewCount xmlns="e3ed7b3c-58ad-40ee-af63-61e00a681d7c">28</MonthViewCount>
    <部门 xmlns="2ee3fe5c-7b5c-477c-b578-e3b15c18279f">212</部门>
    <oc0407afe9724b418f0de539c436b47b xmlns="e3ed7b3c-58ad-40ee-af63-61e00a681d7c">
      <Terms xmlns="http://schemas.microsoft.com/office/infopath/2007/PartnerControls">
        <TermInfo xmlns="http://schemas.microsoft.com/office/infopath/2007/PartnerControls">
          <TermName xmlns="http://schemas.microsoft.com/office/infopath/2007/PartnerControls">业务</TermName>
          <TermId xmlns="http://schemas.microsoft.com/office/infopath/2007/PartnerControls">8a57136d-fdc4-42df-9576-bb5b0cdcc0d0</TermId>
        </TermInfo>
        <TermInfo xmlns="http://schemas.microsoft.com/office/infopath/2007/PartnerControls">
          <TermName xmlns="http://schemas.microsoft.com/office/infopath/2007/PartnerControls">所级发文</TermName>
          <TermId xmlns="http://schemas.microsoft.com/office/infopath/2007/PartnerControls">e93199f0-cd75-467e-a7e7-410daf94f5a9</TermId>
        </TermInfo>
      </Terms>
    </oc0407afe9724b418f0de539c436b47b>
    <TaxCatchAll xmlns="af7764ec-d5b1-43f8-8c99-7b7a1c02a389"/>
    <Draftman xmlns="e3ed7b3c-58ad-40ee-af63-61e00a681d7c">
      <UserInfo>
        <DisplayName>党春辉</DisplayName>
        <AccountId>3901</AccountId>
        <AccountType/>
      </UserInfo>
    </Draftman>
    <Dense xmlns="e3ed7b3c-58ad-40ee-af63-61e00a681d7c">内部使用</Dense>
    <生效日期 xmlns="af7764ec-d5b1-43f8-8c99-7b7a1c02a389" xsi:nil="true"/>
    <PublicationType xmlns="e3ed7b3c-58ad-40ee-af63-61e00a681d7c">全体人员</PublicationType>
    <EntryTime xmlns="c708a2cf-f3d7-4c87-801a-68274f70690b">2021-07-14T16:00:00+00:00</EntryTim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0B279B-0170-42AC-A29A-D94FDFA8E7B3}">
  <ds:schemaRefs/>
</ds:datastoreItem>
</file>

<file path=customXml/itemProps3.xml><?xml version="1.0" encoding="utf-8"?>
<ds:datastoreItem xmlns:ds="http://schemas.openxmlformats.org/officeDocument/2006/customXml" ds:itemID="{B5D0DCA1-F28F-4201-86B8-3DEF03AF67FB}">
  <ds:schemaRefs/>
</ds:datastoreItem>
</file>

<file path=customXml/itemProps4.xml><?xml version="1.0" encoding="utf-8"?>
<ds:datastoreItem xmlns:ds="http://schemas.openxmlformats.org/officeDocument/2006/customXml" ds:itemID="{EB3773C5-0F19-4AB1-A939-8320C09080BA}">
  <ds:schemaRefs/>
</ds:datastoreItem>
</file>

<file path=customXml/itemProps5.xml><?xml version="1.0" encoding="utf-8"?>
<ds:datastoreItem xmlns:ds="http://schemas.openxmlformats.org/officeDocument/2006/customXml" ds:itemID="{5842A162-EF11-489D-95F4-C04D7843C58A}">
  <ds:schemaRefs/>
</ds:datastoreItem>
</file>

<file path=customXml/itemProps6.xml><?xml version="1.0" encoding="utf-8"?>
<ds:datastoreItem xmlns:ds="http://schemas.openxmlformats.org/officeDocument/2006/customXml" ds:itemID="{97C0811F-8CFB-481C-BEC4-8CC2A92439DB}">
  <ds:schemaRefs/>
</ds:datastoreItem>
</file>

<file path=docProps/app.xml><?xml version="1.0" encoding="utf-8"?>
<Properties xmlns="http://schemas.openxmlformats.org/officeDocument/2006/extended-properties" xmlns:vt="http://schemas.openxmlformats.org/officeDocument/2006/docPropsVTypes">
  <Template>Normal</Template>
  <Pages>40</Pages>
  <Words>2482</Words>
  <Characters>14150</Characters>
  <Lines>117</Lines>
  <Paragraphs>33</Paragraphs>
  <TotalTime>23</TotalTime>
  <ScaleCrop>false</ScaleCrop>
  <LinksUpToDate>false</LinksUpToDate>
  <CharactersWithSpaces>16599</CharactersWithSpaces>
  <Application>WPS Office_11.8.0.17013_F1E327BC-269C-435d-A152-05C5408002CA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2022-08-17T03:26:00Z</dcterms:created>
  <dc:creator>jianzhang;chdang</dc:creator>
  <cp:lastModifiedBy>辛雅婷</cp:lastModifiedBy>
  <cp:lastPrinted>2021-07-12T01:08:00Z</cp:lastPrinted>
  <dcterms:modified xsi:type="dcterms:W3CDTF">2025-12-31T09:53:30Z</dcterms:modified>
  <dc:title>深证上[2021]692号附件：深圳证券交易所公开募集基础设施证券投资基金业务指南第4号——存续期业务办理</dc:title>
  <cp:revision>268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0x010100BFF86933982D954699BF75D6EEFACEE401008F598E7BA4788947AF492DCDF6522C8E</vt:lpwstr>
  </property>
  <property fmtid="{D5CDD505-2E9C-101B-9397-08002B2CF9AE}" pid="3" name="ClassificationOfTheGenus">
    <vt:lpwstr>291;#业务|8a57136d-fdc4-42df-9576-bb5b0cdcc0d0;#402;#所级发文|e93199f0-cd75-467e-a7e7-410daf94f5a9</vt:lpwstr>
  </property>
  <property fmtid="{D5CDD505-2E9C-101B-9397-08002B2CF9AE}" pid="4" name="DraftingDepartment">
    <vt:lpwstr/>
  </property>
  <property fmtid="{D5CDD505-2E9C-101B-9397-08002B2CF9AE}" pid="5" name="KSOProductBuildVer">
    <vt:lpwstr>2052-11.8.0.17013</vt:lpwstr>
  </property>
  <property fmtid="{D5CDD505-2E9C-101B-9397-08002B2CF9AE}" pid="6" name="ICV">
    <vt:lpwstr>9BAFBE5D8D4443D8BC67C392C7FD5418</vt:lpwstr>
  </property>
</Properties>
</file>