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ascii="黑体" w:hAnsi="黑体" w:eastAsia="黑体"/>
          <w:sz w:val="32"/>
          <w:szCs w:val="32"/>
        </w:rPr>
      </w:pPr>
      <w:bookmarkStart w:id="325" w:name="_GoBack"/>
      <w:bookmarkEnd w:id="325"/>
      <w:r>
        <w:rPr>
          <w:rFonts w:hint="eastAsia" w:ascii="黑体" w:hAnsi="黑体" w:eastAsia="黑体"/>
          <w:sz w:val="32"/>
          <w:szCs w:val="32"/>
        </w:rPr>
        <w:t>附件</w:t>
      </w:r>
    </w:p>
    <w:p>
      <w:pPr>
        <w:pStyle w:val="7"/>
        <w:jc w:val="center"/>
        <w:rPr>
          <w:rFonts w:ascii="方正小标宋简体" w:hAnsi="仿宋" w:eastAsia="方正小标宋简体"/>
          <w:sz w:val="44"/>
          <w:szCs w:val="44"/>
        </w:rPr>
      </w:pPr>
    </w:p>
    <w:p>
      <w:pPr>
        <w:pStyle w:val="7"/>
        <w:rPr>
          <w:rFonts w:ascii="方正小标宋简体" w:hAnsi="仿宋" w:eastAsia="方正小标宋简体"/>
          <w:sz w:val="44"/>
          <w:szCs w:val="44"/>
        </w:rPr>
      </w:pPr>
    </w:p>
    <w:p>
      <w:pPr>
        <w:pStyle w:val="7"/>
        <w:jc w:val="center"/>
      </w:pPr>
      <w:r>
        <w:rPr>
          <w:rFonts w:hint="eastAsia" w:ascii="方正小标宋简体" w:hAnsi="仿宋" w:eastAsia="方正小标宋简体"/>
          <w:sz w:val="44"/>
          <w:szCs w:val="44"/>
        </w:rPr>
        <w:t>深圳证券交易所公开募集</w:t>
      </w:r>
      <w:r>
        <w:rPr>
          <w:rFonts w:hint="eastAsia" w:ascii="方正小标宋简体" w:hAnsi="仿宋" w:eastAsia="方正小标宋简体"/>
          <w:sz w:val="44"/>
          <w:szCs w:val="44"/>
          <w:lang w:eastAsia="zh-CN"/>
        </w:rPr>
        <w:t>不动产</w:t>
      </w:r>
      <w:r>
        <w:rPr>
          <w:rFonts w:hint="eastAsia" w:ascii="方正小标宋简体" w:hAnsi="仿宋" w:eastAsia="方正小标宋简体"/>
          <w:sz w:val="44"/>
          <w:szCs w:val="44"/>
        </w:rPr>
        <w:t>投资</w:t>
      </w:r>
      <w:r>
        <w:rPr>
          <w:rFonts w:hint="eastAsia" w:ascii="方正小标宋简体" w:hAnsi="仿宋" w:eastAsia="方正小标宋简体"/>
          <w:sz w:val="44"/>
          <w:szCs w:val="44"/>
          <w:lang w:val="en-US" w:eastAsia="zh-CN"/>
        </w:rPr>
        <w:t>信托</w:t>
      </w:r>
      <w:r>
        <w:rPr>
          <w:rFonts w:hint="eastAsia" w:ascii="方正小标宋简体" w:hAnsi="仿宋" w:eastAsia="方正小标宋简体"/>
          <w:sz w:val="44"/>
          <w:szCs w:val="44"/>
        </w:rPr>
        <w:t>基金业务指南第1号——发售上市业务办理</w:t>
      </w: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rPr>
          <w:rFonts w:ascii="方正小标宋简体" w:hAnsi="仿宋" w:eastAsia="方正小标宋简体" w:cs="Times New Roman"/>
          <w:sz w:val="44"/>
          <w:szCs w:val="44"/>
        </w:rPr>
      </w:pPr>
    </w:p>
    <w:p>
      <w:pPr>
        <w:adjustRightInd w:val="0"/>
        <w:snapToGrid w:val="0"/>
        <w:spacing w:line="560" w:lineRule="exact"/>
        <w:jc w:val="center"/>
        <w:rPr>
          <w:rFonts w:ascii="仿宋" w:hAnsi="仿宋" w:eastAsia="仿宋"/>
          <w:b/>
          <w:sz w:val="32"/>
          <w:szCs w:val="32"/>
        </w:rPr>
      </w:pPr>
      <w:r>
        <w:rPr>
          <w:rFonts w:hint="eastAsia" w:ascii="Times New Roman" w:hAnsi="Times New Roman" w:eastAsia="宋体" w:cs="Times New Roman"/>
          <w:b/>
          <w:bCs/>
          <w:sz w:val="32"/>
          <w:szCs w:val="32"/>
        </w:rPr>
        <w:t>202</w:t>
      </w:r>
      <w:r>
        <w:rPr>
          <w:rFonts w:hint="eastAsia" w:ascii="Times New Roman" w:hAnsi="Times New Roman" w:eastAsia="宋体" w:cs="Times New Roman"/>
          <w:b/>
          <w:bCs/>
          <w:sz w:val="32"/>
          <w:szCs w:val="32"/>
          <w:lang w:val="en-US" w:eastAsia="zh-CN"/>
        </w:rPr>
        <w:t>5</w:t>
      </w:r>
      <w:r>
        <w:rPr>
          <w:rFonts w:hint="eastAsia" w:ascii="Times New Roman" w:hAnsi="Times New Roman" w:eastAsia="宋体" w:cs="Times New Roman"/>
          <w:b/>
          <w:bCs/>
          <w:sz w:val="32"/>
          <w:szCs w:val="32"/>
        </w:rPr>
        <w:t>年</w:t>
      </w:r>
      <w:r>
        <w:rPr>
          <w:rFonts w:hint="eastAsia" w:ascii="Times New Roman" w:hAnsi="Times New Roman" w:eastAsia="宋体" w:cs="Times New Roman"/>
          <w:b/>
          <w:bCs/>
          <w:sz w:val="32"/>
          <w:szCs w:val="32"/>
          <w:lang w:val="en-US" w:eastAsia="zh-CN"/>
        </w:rPr>
        <w:t>12</w:t>
      </w:r>
      <w:r>
        <w:rPr>
          <w:rFonts w:hint="eastAsia" w:ascii="Times New Roman" w:hAnsi="Times New Roman" w:eastAsia="宋体" w:cs="Times New Roman"/>
          <w:b/>
          <w:bCs/>
          <w:sz w:val="32"/>
          <w:szCs w:val="32"/>
        </w:rPr>
        <w:t>月</w:t>
      </w:r>
    </w:p>
    <w:p>
      <w:pPr>
        <w:widowControl/>
        <w:jc w:val="left"/>
        <w:rPr>
          <w:rFonts w:ascii="黑体" w:hAnsi="黑体" w:eastAsia="黑体" w:cs="Times New Roman"/>
          <w:bCs/>
          <w:sz w:val="32"/>
          <w:szCs w:val="32"/>
        </w:rPr>
      </w:pPr>
      <w:r>
        <w:rPr>
          <w:rFonts w:ascii="黑体" w:hAnsi="黑体" w:eastAsia="黑体" w:cs="Times New Roman"/>
          <w:bCs/>
          <w:sz w:val="32"/>
          <w:szCs w:val="32"/>
        </w:rPr>
        <w:br w:type="page"/>
      </w:r>
    </w:p>
    <w:p>
      <w:pPr>
        <w:widowControl/>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重要提示</w:t>
      </w:r>
    </w:p>
    <w:p>
      <w:pPr>
        <w:pStyle w:val="7"/>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一、本指南仅为办理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基金（以下简称REITs</w:t>
      </w:r>
      <w:r>
        <w:rPr>
          <w:rFonts w:hint="eastAsia" w:ascii="仿宋" w:hAnsi="仿宋" w:eastAsia="仿宋"/>
          <w:sz w:val="32"/>
          <w:szCs w:val="32"/>
          <w:lang w:eastAsia="zh-CN"/>
        </w:rPr>
        <w:t>或不动产基金</w:t>
      </w:r>
      <w:r>
        <w:rPr>
          <w:rFonts w:hint="eastAsia" w:ascii="仿宋" w:hAnsi="仿宋" w:eastAsia="仿宋"/>
          <w:sz w:val="32"/>
          <w:szCs w:val="32"/>
        </w:rPr>
        <w:t>）的发售与上市等相关业务之用，并非深圳证券交易所（以下简称本所或深交所）业务规则或对规则的解释。如本指南与国家法律、法规及有关业务规则发生冲突，应当以法律、法规及有关业务规则为准。</w:t>
      </w:r>
    </w:p>
    <w:p>
      <w:pPr>
        <w:pStyle w:val="7"/>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二、本所将根据业务需要不定期对本指南作出修订，并保留对本指南的最终解释权；基金管理人、财务顾问等应当按照最新指南办理业务。基金业务专区和网下发行电子平台的业务由基金管理人负责，若基金管理人聘请财务顾问办理询价等业务的，网下发行电子平台的业务由财务顾问负责，基金管理人具有查询权限。</w:t>
      </w:r>
    </w:p>
    <w:p>
      <w:pPr>
        <w:pStyle w:val="7"/>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三、基金管理人、财务顾问应确保向本所提交的业务申请和基金公告内容一致，提供给媒体的公告内容和提供给本所的一致。</w:t>
      </w:r>
    </w:p>
    <w:p>
      <w:pPr>
        <w:pStyle w:val="7"/>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四、本指南要求基金管理人提供的相关材料在基金业务专区相应业务表单中有明确列示，部分材料在报送说明中附有模板，基金管理人应当按照基金业务专区中最新模板（注：红色“</w:t>
      </w:r>
      <w:r>
        <w:rPr>
          <w:rFonts w:ascii="仿宋" w:hAnsi="仿宋" w:eastAsia="仿宋"/>
          <w:sz w:val="32"/>
          <w:szCs w:val="32"/>
        </w:rPr>
        <w:t>*</w:t>
      </w:r>
      <w:r>
        <w:rPr>
          <w:rFonts w:hint="eastAsia" w:ascii="仿宋" w:hAnsi="仿宋" w:eastAsia="仿宋"/>
          <w:sz w:val="32"/>
          <w:szCs w:val="32"/>
        </w:rPr>
        <w:t>”标注的为必须提交材料）提交材料。</w:t>
      </w:r>
    </w:p>
    <w:p>
      <w:pPr>
        <w:pStyle w:val="7"/>
        <w:spacing w:after="156" w:afterLines="50" w:line="560" w:lineRule="exact"/>
        <w:ind w:firstLine="640" w:firstLineChars="200"/>
        <w:rPr>
          <w:rFonts w:ascii="仿宋" w:hAnsi="仿宋" w:eastAsia="仿宋"/>
          <w:sz w:val="32"/>
          <w:szCs w:val="32"/>
        </w:rPr>
        <w:sectPr>
          <w:footerReference r:id="rId3" w:type="default"/>
          <w:footerReference r:id="rId4" w:type="even"/>
          <w:type w:val="continuous"/>
          <w:pgSz w:w="11906" w:h="16838"/>
          <w:pgMar w:top="2098" w:right="1474" w:bottom="1985" w:left="1588" w:header="851" w:footer="851" w:gutter="0"/>
          <w:cols w:space="425" w:num="1"/>
          <w:formProt w:val="1"/>
          <w:docGrid w:type="lines" w:linePitch="312" w:charSpace="0"/>
        </w:sectPr>
      </w:pPr>
      <w:r>
        <w:rPr>
          <w:rFonts w:hint="eastAsia" w:ascii="仿宋" w:hAnsi="仿宋" w:eastAsia="仿宋"/>
          <w:sz w:val="32"/>
          <w:szCs w:val="32"/>
        </w:rPr>
        <w:t>五、</w:t>
      </w:r>
      <w:r>
        <w:rPr>
          <w:rFonts w:hint="eastAsia" w:ascii="仿宋" w:hAnsi="仿宋" w:eastAsia="仿宋"/>
          <w:sz w:val="32"/>
          <w:szCs w:val="32"/>
          <w:lang w:eastAsia="zh-CN"/>
        </w:rPr>
        <w:t>REITs</w:t>
      </w:r>
      <w:r>
        <w:rPr>
          <w:rFonts w:hint="eastAsia" w:ascii="仿宋" w:hAnsi="仿宋" w:eastAsia="仿宋"/>
          <w:sz w:val="32"/>
          <w:szCs w:val="32"/>
        </w:rPr>
        <w:t>的登记结算业务，按照中国证券登记结算有限责任公司（以下简称中国结算）及中国证券登记结算有限责任公司深圳分公司（以下简称深圳结算）有关规定办理。</w:t>
      </w:r>
    </w:p>
    <w:p>
      <w:pPr>
        <w:widowControl/>
        <w:spacing w:before="156" w:beforeLines="50" w:after="156" w:afterLines="50" w:line="560" w:lineRule="exact"/>
        <w:jc w:val="center"/>
        <w:rPr>
          <w:rFonts w:ascii="黑体" w:hAnsi="黑体" w:eastAsia="黑体"/>
          <w:sz w:val="32"/>
          <w:szCs w:val="32"/>
        </w:rPr>
      </w:pPr>
      <w:bookmarkStart w:id="0" w:name="_Toc59024546"/>
      <w:r>
        <w:rPr>
          <w:rFonts w:ascii="黑体" w:hAnsi="黑体" w:eastAsia="黑体"/>
          <w:sz w:val="32"/>
          <w:szCs w:val="32"/>
        </w:rPr>
        <w:t>目</w:t>
      </w:r>
      <w:r>
        <w:rPr>
          <w:rFonts w:hint="eastAsia" w:ascii="黑体" w:hAnsi="黑体" w:eastAsia="黑体"/>
          <w:sz w:val="32"/>
          <w:szCs w:val="32"/>
        </w:rPr>
        <w:t xml:space="preserve">  </w:t>
      </w:r>
      <w:r>
        <w:rPr>
          <w:rFonts w:ascii="黑体" w:hAnsi="黑体" w:eastAsia="黑体"/>
          <w:sz w:val="32"/>
          <w:szCs w:val="32"/>
        </w:rPr>
        <w:t>录</w:t>
      </w:r>
    </w:p>
    <w:p>
      <w:pPr>
        <w:pStyle w:val="13"/>
        <w:tabs>
          <w:tab w:val="right" w:leader="dot" w:pos="9070"/>
          <w:tab w:val="clear" w:pos="9060"/>
        </w:tabs>
      </w:pPr>
      <w:r>
        <w:rPr>
          <w:rFonts w:ascii="仿宋" w:hAnsi="仿宋" w:eastAsia="仿宋"/>
          <w:bCs/>
          <w:sz w:val="24"/>
          <w:szCs w:val="24"/>
        </w:rPr>
        <w:fldChar w:fldCharType="begin"/>
      </w:r>
      <w:r>
        <w:rPr>
          <w:rFonts w:ascii="仿宋" w:hAnsi="仿宋" w:eastAsia="仿宋"/>
          <w:bCs/>
          <w:sz w:val="24"/>
          <w:szCs w:val="24"/>
        </w:rPr>
        <w:instrText xml:space="preserve"> TOC \o "1-3" \h \z \u </w:instrText>
      </w:r>
      <w:r>
        <w:rPr>
          <w:rFonts w:ascii="仿宋" w:hAnsi="仿宋" w:eastAsia="仿宋"/>
          <w:bCs/>
          <w:sz w:val="24"/>
          <w:szCs w:val="24"/>
        </w:rPr>
        <w:fldChar w:fldCharType="separate"/>
      </w:r>
      <w:r>
        <w:rPr>
          <w:rFonts w:ascii="仿宋" w:hAnsi="仿宋" w:eastAsia="仿宋"/>
          <w:bCs w:val="0"/>
          <w:kern w:val="2"/>
          <w:szCs w:val="24"/>
        </w:rPr>
        <w:fldChar w:fldCharType="begin"/>
      </w:r>
      <w:r>
        <w:rPr>
          <w:rFonts w:ascii="仿宋" w:hAnsi="仿宋" w:eastAsia="仿宋"/>
          <w:bCs w:val="0"/>
          <w:kern w:val="2"/>
          <w:szCs w:val="24"/>
        </w:rPr>
        <w:instrText xml:space="preserve"> HYPERLINK \l _Toc19708 </w:instrText>
      </w:r>
      <w:r>
        <w:rPr>
          <w:rFonts w:ascii="仿宋" w:hAnsi="仿宋" w:eastAsia="仿宋"/>
          <w:bCs w:val="0"/>
          <w:kern w:val="2"/>
          <w:szCs w:val="24"/>
        </w:rPr>
        <w:fldChar w:fldCharType="separate"/>
      </w:r>
      <w:r>
        <w:rPr>
          <w:rFonts w:hint="eastAsia"/>
        </w:rPr>
        <w:t>第一章 发售</w:t>
      </w:r>
      <w:r>
        <w:tab/>
      </w:r>
      <w:r>
        <w:fldChar w:fldCharType="begin"/>
      </w:r>
      <w:r>
        <w:instrText xml:space="preserve"> PAGEREF _Toc19708 \h </w:instrText>
      </w:r>
      <w:r>
        <w:fldChar w:fldCharType="separate"/>
      </w:r>
      <w:r>
        <w:t>5</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_Toc28358 </w:instrText>
      </w:r>
      <w:r>
        <w:rPr>
          <w:rFonts w:ascii="仿宋" w:hAnsi="仿宋" w:eastAsia="仿宋"/>
          <w:bCs w:val="0"/>
          <w:kern w:val="2"/>
          <w:szCs w:val="24"/>
        </w:rPr>
        <w:fldChar w:fldCharType="separate"/>
      </w:r>
      <w:r>
        <w:rPr>
          <w:rFonts w:hint="eastAsia"/>
        </w:rPr>
        <w:t>一、发售前的工作</w:t>
      </w:r>
      <w:r>
        <w:tab/>
      </w:r>
      <w:r>
        <w:fldChar w:fldCharType="begin"/>
      </w:r>
      <w:r>
        <w:instrText xml:space="preserve"> PAGEREF _Toc28358 \h </w:instrText>
      </w:r>
      <w:r>
        <w:fldChar w:fldCharType="separate"/>
      </w:r>
      <w:r>
        <w:t>5</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_Toc12603 </w:instrText>
      </w:r>
      <w:r>
        <w:rPr>
          <w:rFonts w:ascii="仿宋" w:hAnsi="仿宋" w:eastAsia="仿宋"/>
          <w:bCs w:val="0"/>
          <w:kern w:val="2"/>
          <w:szCs w:val="24"/>
        </w:rPr>
        <w:fldChar w:fldCharType="separate"/>
      </w:r>
      <w:r>
        <w:rPr>
          <w:rFonts w:hint="eastAsia"/>
        </w:rPr>
        <w:t>（一）申请深圳证券数字证书（以下简称CA证书）</w:t>
      </w:r>
      <w:r>
        <w:tab/>
      </w:r>
      <w:r>
        <w:fldChar w:fldCharType="begin"/>
      </w:r>
      <w:r>
        <w:instrText xml:space="preserve"> PAGEREF _Toc12603 \h </w:instrText>
      </w:r>
      <w:r>
        <w:fldChar w:fldCharType="separate"/>
      </w:r>
      <w:r>
        <w:t>5</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_Toc7631 </w:instrText>
      </w:r>
      <w:r>
        <w:rPr>
          <w:rFonts w:ascii="仿宋" w:hAnsi="仿宋" w:eastAsia="仿宋"/>
          <w:bCs w:val="0"/>
          <w:kern w:val="2"/>
          <w:szCs w:val="24"/>
        </w:rPr>
        <w:fldChar w:fldCharType="separate"/>
      </w:r>
      <w:r>
        <w:rPr>
          <w:rFonts w:hint="eastAsia"/>
        </w:rPr>
        <w:t>（二）进行技术测试</w:t>
      </w:r>
      <w:r>
        <w:tab/>
      </w:r>
      <w:r>
        <w:fldChar w:fldCharType="begin"/>
      </w:r>
      <w:r>
        <w:instrText xml:space="preserve"> PAGEREF _Toc7631 \h </w:instrText>
      </w:r>
      <w:r>
        <w:fldChar w:fldCharType="separate"/>
      </w:r>
      <w:r>
        <w:t>7</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_Toc31208 </w:instrText>
      </w:r>
      <w:r>
        <w:rPr>
          <w:rFonts w:ascii="仿宋" w:hAnsi="仿宋" w:eastAsia="仿宋"/>
          <w:bCs w:val="0"/>
          <w:kern w:val="2"/>
          <w:szCs w:val="24"/>
        </w:rPr>
        <w:fldChar w:fldCharType="separate"/>
      </w:r>
      <w:r>
        <w:rPr>
          <w:rFonts w:hint="eastAsia"/>
        </w:rPr>
        <w:t>（三）基金代码简称申请</w:t>
      </w:r>
      <w:r>
        <w:tab/>
      </w:r>
      <w:r>
        <w:fldChar w:fldCharType="begin"/>
      </w:r>
      <w:r>
        <w:instrText xml:space="preserve"> PAGEREF _Toc31208 \h </w:instrText>
      </w:r>
      <w:r>
        <w:fldChar w:fldCharType="separate"/>
      </w:r>
      <w:r>
        <w:t>7</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_Toc1807 </w:instrText>
      </w:r>
      <w:r>
        <w:rPr>
          <w:rFonts w:ascii="仿宋" w:hAnsi="仿宋" w:eastAsia="仿宋"/>
          <w:bCs w:val="0"/>
          <w:kern w:val="2"/>
          <w:szCs w:val="24"/>
        </w:rPr>
        <w:fldChar w:fldCharType="separate"/>
      </w:r>
      <w:r>
        <w:t>二、</w:t>
      </w:r>
      <w:r>
        <w:rPr>
          <w:rFonts w:hint="eastAsia"/>
        </w:rPr>
        <w:t>询价</w:t>
      </w:r>
      <w:r>
        <w:tab/>
      </w:r>
      <w:r>
        <w:fldChar w:fldCharType="begin"/>
      </w:r>
      <w:r>
        <w:instrText xml:space="preserve"> PAGEREF _Toc1807 \h </w:instrText>
      </w:r>
      <w:r>
        <w:fldChar w:fldCharType="separate"/>
      </w:r>
      <w:r>
        <w:t>8</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_Toc9847 </w:instrText>
      </w:r>
      <w:r>
        <w:rPr>
          <w:rFonts w:ascii="仿宋" w:hAnsi="仿宋" w:eastAsia="仿宋"/>
          <w:bCs w:val="0"/>
          <w:kern w:val="2"/>
          <w:szCs w:val="24"/>
        </w:rPr>
        <w:fldChar w:fldCharType="separate"/>
      </w:r>
      <w:r>
        <w:rPr>
          <w:rFonts w:hint="eastAsia"/>
        </w:rPr>
        <w:t>（一）报备发售方案</w:t>
      </w:r>
      <w:r>
        <w:tab/>
      </w:r>
      <w:r>
        <w:fldChar w:fldCharType="begin"/>
      </w:r>
      <w:r>
        <w:instrText xml:space="preserve"> PAGEREF _Toc9847 \h </w:instrText>
      </w:r>
      <w:r>
        <w:fldChar w:fldCharType="separate"/>
      </w:r>
      <w:r>
        <w:t>8</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_Toc12824 </w:instrText>
      </w:r>
      <w:r>
        <w:rPr>
          <w:rFonts w:ascii="仿宋" w:hAnsi="仿宋" w:eastAsia="仿宋"/>
          <w:bCs w:val="0"/>
          <w:kern w:val="2"/>
          <w:szCs w:val="24"/>
        </w:rPr>
        <w:fldChar w:fldCharType="separate"/>
      </w:r>
      <w:r>
        <w:rPr>
          <w:rFonts w:hint="eastAsia"/>
        </w:rPr>
        <w:t>（二）披露《</w:t>
      </w:r>
      <w:r>
        <w:t>询价公告</w:t>
      </w:r>
      <w:r>
        <w:rPr>
          <w:rFonts w:hint="eastAsia"/>
        </w:rPr>
        <w:t>》</w:t>
      </w:r>
      <w:r>
        <w:tab/>
      </w:r>
      <w:r>
        <w:fldChar w:fldCharType="begin"/>
      </w:r>
      <w:r>
        <w:instrText xml:space="preserve"> PAGEREF _Toc12824 \h </w:instrText>
      </w:r>
      <w:r>
        <w:fldChar w:fldCharType="separate"/>
      </w:r>
      <w:r>
        <w:t>10</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_Toc22103 </w:instrText>
      </w:r>
      <w:r>
        <w:rPr>
          <w:rFonts w:ascii="仿宋" w:hAnsi="仿宋" w:eastAsia="仿宋"/>
          <w:bCs w:val="0"/>
          <w:kern w:val="2"/>
          <w:szCs w:val="24"/>
        </w:rPr>
        <w:fldChar w:fldCharType="separate"/>
      </w:r>
      <w:r>
        <w:rPr>
          <w:rFonts w:hint="eastAsia"/>
        </w:rPr>
        <w:t>（三）提交网下发售申请</w:t>
      </w:r>
      <w:r>
        <w:tab/>
      </w:r>
      <w:r>
        <w:fldChar w:fldCharType="begin"/>
      </w:r>
      <w:r>
        <w:instrText xml:space="preserve"> PAGEREF _Toc22103 \h </w:instrText>
      </w:r>
      <w:r>
        <w:fldChar w:fldCharType="separate"/>
      </w:r>
      <w:r>
        <w:t>11</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_Toc17951 </w:instrText>
      </w:r>
      <w:r>
        <w:rPr>
          <w:rFonts w:ascii="仿宋" w:hAnsi="仿宋" w:eastAsia="仿宋"/>
          <w:bCs w:val="0"/>
          <w:kern w:val="2"/>
          <w:szCs w:val="24"/>
        </w:rPr>
        <w:fldChar w:fldCharType="separate"/>
      </w:r>
      <w:r>
        <w:rPr>
          <w:rFonts w:hint="eastAsia"/>
        </w:rPr>
        <w:t>（四）网下投资者询价</w:t>
      </w:r>
      <w:r>
        <w:tab/>
      </w:r>
      <w:r>
        <w:fldChar w:fldCharType="begin"/>
      </w:r>
      <w:r>
        <w:instrText xml:space="preserve"> PAGEREF _Toc17951 \h </w:instrText>
      </w:r>
      <w:r>
        <w:fldChar w:fldCharType="separate"/>
      </w:r>
      <w:r>
        <w:t>11</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_Toc2921 </w:instrText>
      </w:r>
      <w:r>
        <w:rPr>
          <w:rFonts w:ascii="仿宋" w:hAnsi="仿宋" w:eastAsia="仿宋"/>
          <w:bCs w:val="0"/>
          <w:kern w:val="2"/>
          <w:szCs w:val="24"/>
        </w:rPr>
        <w:fldChar w:fldCharType="separate"/>
      </w:r>
      <w:r>
        <w:rPr>
          <w:rFonts w:hint="eastAsia"/>
        </w:rPr>
        <w:t>三、认购</w:t>
      </w:r>
      <w:r>
        <w:tab/>
      </w:r>
      <w:r>
        <w:fldChar w:fldCharType="begin"/>
      </w:r>
      <w:r>
        <w:instrText xml:space="preserve"> PAGEREF _Toc2921 \h </w:instrText>
      </w:r>
      <w:r>
        <w:fldChar w:fldCharType="separate"/>
      </w:r>
      <w:r>
        <w:t>12</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_Toc16152 </w:instrText>
      </w:r>
      <w:r>
        <w:rPr>
          <w:rFonts w:ascii="仿宋" w:hAnsi="仿宋" w:eastAsia="仿宋"/>
          <w:bCs w:val="0"/>
          <w:kern w:val="2"/>
          <w:szCs w:val="24"/>
        </w:rPr>
        <w:fldChar w:fldCharType="separate"/>
      </w:r>
      <w:r>
        <w:rPr>
          <w:rFonts w:hint="eastAsia"/>
        </w:rPr>
        <w:t>（一）提交上网发售业务申请</w:t>
      </w:r>
      <w:r>
        <w:tab/>
      </w:r>
      <w:r>
        <w:fldChar w:fldCharType="begin"/>
      </w:r>
      <w:r>
        <w:instrText xml:space="preserve"> PAGEREF _Toc16152 \h </w:instrText>
      </w:r>
      <w:r>
        <w:fldChar w:fldCharType="separate"/>
      </w:r>
      <w:r>
        <w:t>12</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_Toc5400 </w:instrText>
      </w:r>
      <w:r>
        <w:rPr>
          <w:rFonts w:ascii="仿宋" w:hAnsi="仿宋" w:eastAsia="仿宋"/>
          <w:bCs w:val="0"/>
          <w:kern w:val="2"/>
          <w:szCs w:val="24"/>
        </w:rPr>
        <w:fldChar w:fldCharType="separate"/>
      </w:r>
      <w:r>
        <w:rPr>
          <w:rFonts w:hint="eastAsia"/>
        </w:rPr>
        <w:t>（二）披露《发售公告》</w:t>
      </w:r>
      <w:r>
        <w:tab/>
      </w:r>
      <w:r>
        <w:fldChar w:fldCharType="begin"/>
      </w:r>
      <w:r>
        <w:instrText xml:space="preserve"> PAGEREF _Toc5400 \h </w:instrText>
      </w:r>
      <w:r>
        <w:fldChar w:fldCharType="separate"/>
      </w:r>
      <w:r>
        <w:t>13</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_Toc3293 </w:instrText>
      </w:r>
      <w:r>
        <w:rPr>
          <w:rFonts w:ascii="仿宋" w:hAnsi="仿宋" w:eastAsia="仿宋"/>
          <w:bCs w:val="0"/>
          <w:kern w:val="2"/>
          <w:szCs w:val="24"/>
        </w:rPr>
        <w:fldChar w:fldCharType="separate"/>
      </w:r>
      <w:r>
        <w:rPr>
          <w:rFonts w:hint="eastAsia"/>
        </w:rPr>
        <w:t>（三）投资者认购</w:t>
      </w:r>
      <w:r>
        <w:tab/>
      </w:r>
      <w:r>
        <w:fldChar w:fldCharType="begin"/>
      </w:r>
      <w:r>
        <w:instrText xml:space="preserve"> PAGEREF _Toc3293 \h </w:instrText>
      </w:r>
      <w:r>
        <w:fldChar w:fldCharType="separate"/>
      </w:r>
      <w:r>
        <w:t>14</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_Toc4463 </w:instrText>
      </w:r>
      <w:r>
        <w:rPr>
          <w:rFonts w:ascii="仿宋" w:hAnsi="仿宋" w:eastAsia="仿宋"/>
          <w:bCs w:val="0"/>
          <w:kern w:val="2"/>
          <w:szCs w:val="24"/>
        </w:rPr>
        <w:fldChar w:fldCharType="separate"/>
      </w:r>
      <w:r>
        <w:rPr>
          <w:rFonts w:hint="eastAsia"/>
        </w:rPr>
        <w:t>（四）基金截止认购日期变更</w:t>
      </w:r>
      <w:r>
        <w:tab/>
      </w:r>
      <w:r>
        <w:fldChar w:fldCharType="begin"/>
      </w:r>
      <w:r>
        <w:instrText xml:space="preserve"> PAGEREF _Toc4463 \h </w:instrText>
      </w:r>
      <w:r>
        <w:fldChar w:fldCharType="separate"/>
      </w:r>
      <w:r>
        <w:t>16</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_Toc29827 </w:instrText>
      </w:r>
      <w:r>
        <w:rPr>
          <w:rFonts w:ascii="仿宋" w:hAnsi="仿宋" w:eastAsia="仿宋"/>
          <w:bCs w:val="0"/>
          <w:kern w:val="2"/>
          <w:szCs w:val="24"/>
        </w:rPr>
        <w:fldChar w:fldCharType="separate"/>
      </w:r>
      <w:r>
        <w:rPr>
          <w:rFonts w:hint="eastAsia"/>
        </w:rPr>
        <w:t>（五）认购份额配售</w:t>
      </w:r>
      <w:r>
        <w:tab/>
      </w:r>
      <w:r>
        <w:fldChar w:fldCharType="begin"/>
      </w:r>
      <w:r>
        <w:instrText xml:space="preserve"> PAGEREF _Toc29827 \h </w:instrText>
      </w:r>
      <w:r>
        <w:fldChar w:fldCharType="separate"/>
      </w:r>
      <w:r>
        <w:t>16</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_Toc7070 </w:instrText>
      </w:r>
      <w:r>
        <w:rPr>
          <w:rFonts w:ascii="仿宋" w:hAnsi="仿宋" w:eastAsia="仿宋"/>
          <w:bCs w:val="0"/>
          <w:kern w:val="2"/>
          <w:szCs w:val="24"/>
        </w:rPr>
        <w:fldChar w:fldCharType="separate"/>
      </w:r>
      <w:r>
        <w:rPr>
          <w:rFonts w:hint="eastAsia"/>
        </w:rPr>
        <w:t>四、基金合同生效</w:t>
      </w:r>
      <w:r>
        <w:tab/>
      </w:r>
      <w:r>
        <w:fldChar w:fldCharType="begin"/>
      </w:r>
      <w:r>
        <w:instrText xml:space="preserve"> PAGEREF _Toc7070 \h </w:instrText>
      </w:r>
      <w:r>
        <w:fldChar w:fldCharType="separate"/>
      </w:r>
      <w:r>
        <w:t>17</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_Toc3388 </w:instrText>
      </w:r>
      <w:r>
        <w:rPr>
          <w:rFonts w:ascii="仿宋" w:hAnsi="仿宋" w:eastAsia="仿宋"/>
          <w:bCs w:val="0"/>
          <w:kern w:val="2"/>
          <w:szCs w:val="24"/>
        </w:rPr>
        <w:fldChar w:fldCharType="separate"/>
      </w:r>
      <w:r>
        <w:rPr>
          <w:rFonts w:hint="eastAsia"/>
        </w:rPr>
        <w:t>（一）向深圳结算申请办理相关事项</w:t>
      </w:r>
      <w:r>
        <w:tab/>
      </w:r>
      <w:r>
        <w:fldChar w:fldCharType="begin"/>
      </w:r>
      <w:r>
        <w:instrText xml:space="preserve"> PAGEREF _Toc3388 \h </w:instrText>
      </w:r>
      <w:r>
        <w:fldChar w:fldCharType="separate"/>
      </w:r>
      <w:r>
        <w:t>17</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_Toc15298 </w:instrText>
      </w:r>
      <w:r>
        <w:rPr>
          <w:rFonts w:ascii="仿宋" w:hAnsi="仿宋" w:eastAsia="仿宋"/>
          <w:bCs w:val="0"/>
          <w:kern w:val="2"/>
          <w:szCs w:val="24"/>
        </w:rPr>
        <w:fldChar w:fldCharType="separate"/>
      </w:r>
      <w:r>
        <w:rPr>
          <w:rFonts w:hint="eastAsia"/>
        </w:rPr>
        <w:t>（二）披露《基金合同生效公告》</w:t>
      </w:r>
      <w:r>
        <w:tab/>
      </w:r>
      <w:r>
        <w:fldChar w:fldCharType="begin"/>
      </w:r>
      <w:r>
        <w:instrText xml:space="preserve"> PAGEREF _Toc15298 \h </w:instrText>
      </w:r>
      <w:r>
        <w:fldChar w:fldCharType="separate"/>
      </w:r>
      <w:r>
        <w:t>17</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_Toc15746 </w:instrText>
      </w:r>
      <w:r>
        <w:rPr>
          <w:rFonts w:ascii="仿宋" w:hAnsi="仿宋" w:eastAsia="仿宋"/>
          <w:bCs w:val="0"/>
          <w:kern w:val="2"/>
          <w:szCs w:val="24"/>
        </w:rPr>
        <w:fldChar w:fldCharType="separate"/>
      </w:r>
      <w:r>
        <w:rPr>
          <w:rFonts w:hint="eastAsia"/>
        </w:rPr>
        <w:t>（三）基金份额限售管理</w:t>
      </w:r>
      <w:r>
        <w:tab/>
      </w:r>
      <w:r>
        <w:fldChar w:fldCharType="begin"/>
      </w:r>
      <w:r>
        <w:instrText xml:space="preserve"> PAGEREF _Toc15746 \h </w:instrText>
      </w:r>
      <w:r>
        <w:fldChar w:fldCharType="separate"/>
      </w:r>
      <w:r>
        <w:t>18</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_Toc2552 </w:instrText>
      </w:r>
      <w:r>
        <w:rPr>
          <w:rFonts w:ascii="仿宋" w:hAnsi="仿宋" w:eastAsia="仿宋"/>
          <w:bCs w:val="0"/>
          <w:kern w:val="2"/>
          <w:szCs w:val="24"/>
        </w:rPr>
        <w:fldChar w:fldCharType="separate"/>
      </w:r>
      <w:r>
        <w:rPr>
          <w:rFonts w:hint="eastAsia"/>
        </w:rPr>
        <w:t>五、特殊情形处理</w:t>
      </w:r>
      <w:r>
        <w:tab/>
      </w:r>
      <w:r>
        <w:fldChar w:fldCharType="begin"/>
      </w:r>
      <w:r>
        <w:instrText xml:space="preserve"> PAGEREF _Toc2552 \h </w:instrText>
      </w:r>
      <w:r>
        <w:fldChar w:fldCharType="separate"/>
      </w:r>
      <w:r>
        <w:t>18</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_Toc607 </w:instrText>
      </w:r>
      <w:r>
        <w:rPr>
          <w:rFonts w:ascii="仿宋" w:hAnsi="仿宋" w:eastAsia="仿宋"/>
          <w:bCs w:val="0"/>
          <w:kern w:val="2"/>
          <w:szCs w:val="24"/>
        </w:rPr>
        <w:fldChar w:fldCharType="separate"/>
      </w:r>
      <w:r>
        <w:rPr>
          <w:rFonts w:hint="eastAsia"/>
        </w:rPr>
        <w:t>（一）中止发售</w:t>
      </w:r>
      <w:r>
        <w:tab/>
      </w:r>
      <w:r>
        <w:fldChar w:fldCharType="begin"/>
      </w:r>
      <w:r>
        <w:instrText xml:space="preserve"> PAGEREF _Toc607 \h </w:instrText>
      </w:r>
      <w:r>
        <w:fldChar w:fldCharType="separate"/>
      </w:r>
      <w:r>
        <w:t>18</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_Toc18179 </w:instrText>
      </w:r>
      <w:r>
        <w:rPr>
          <w:rFonts w:ascii="仿宋" w:hAnsi="仿宋" w:eastAsia="仿宋"/>
          <w:bCs w:val="0"/>
          <w:kern w:val="2"/>
          <w:szCs w:val="24"/>
        </w:rPr>
        <w:fldChar w:fldCharType="separate"/>
      </w:r>
      <w:r>
        <w:rPr>
          <w:rFonts w:hint="eastAsia"/>
        </w:rPr>
        <w:t>（二）投资风险特别提示公告</w:t>
      </w:r>
      <w:r>
        <w:tab/>
      </w:r>
      <w:r>
        <w:fldChar w:fldCharType="begin"/>
      </w:r>
      <w:r>
        <w:instrText xml:space="preserve"> PAGEREF _Toc18179 \h </w:instrText>
      </w:r>
      <w:r>
        <w:fldChar w:fldCharType="separate"/>
      </w:r>
      <w:r>
        <w:t>19</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_Toc23038 </w:instrText>
      </w:r>
      <w:r>
        <w:rPr>
          <w:rFonts w:ascii="仿宋" w:hAnsi="仿宋" w:eastAsia="仿宋"/>
          <w:bCs w:val="0"/>
          <w:kern w:val="2"/>
          <w:szCs w:val="24"/>
        </w:rPr>
        <w:fldChar w:fldCharType="separate"/>
      </w:r>
      <w:r>
        <w:rPr>
          <w:rFonts w:hint="eastAsia"/>
        </w:rPr>
        <w:t>（三）募集失败</w:t>
      </w:r>
      <w:r>
        <w:tab/>
      </w:r>
      <w:r>
        <w:fldChar w:fldCharType="begin"/>
      </w:r>
      <w:r>
        <w:instrText xml:space="preserve"> PAGEREF _Toc23038 \h </w:instrText>
      </w:r>
      <w:r>
        <w:fldChar w:fldCharType="separate"/>
      </w:r>
      <w:r>
        <w:t>19</w:t>
      </w:r>
      <w:r>
        <w:fldChar w:fldCharType="end"/>
      </w:r>
      <w:r>
        <w:rPr>
          <w:rFonts w:ascii="仿宋" w:hAnsi="仿宋" w:eastAsia="仿宋"/>
          <w:bCs w:val="0"/>
          <w:kern w:val="2"/>
          <w:szCs w:val="24"/>
        </w:rPr>
        <w:fldChar w:fldCharType="end"/>
      </w:r>
    </w:p>
    <w:p>
      <w:pPr>
        <w:pStyle w:val="13"/>
        <w:tabs>
          <w:tab w:val="right" w:leader="dot" w:pos="9070"/>
          <w:tab w:val="clear" w:pos="906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_Toc32516 </w:instrText>
      </w:r>
      <w:r>
        <w:rPr>
          <w:rFonts w:ascii="仿宋" w:hAnsi="仿宋" w:eastAsia="仿宋"/>
          <w:bCs w:val="0"/>
          <w:kern w:val="2"/>
          <w:szCs w:val="24"/>
        </w:rPr>
        <w:fldChar w:fldCharType="separate"/>
      </w:r>
      <w:r>
        <w:rPr>
          <w:rFonts w:hint="eastAsia"/>
        </w:rPr>
        <w:t>第二章 上市</w:t>
      </w:r>
      <w:r>
        <w:tab/>
      </w:r>
      <w:r>
        <w:fldChar w:fldCharType="begin"/>
      </w:r>
      <w:r>
        <w:instrText xml:space="preserve"> PAGEREF _Toc32516 \h </w:instrText>
      </w:r>
      <w:r>
        <w:fldChar w:fldCharType="separate"/>
      </w:r>
      <w:r>
        <w:t>21</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_Toc13312 </w:instrText>
      </w:r>
      <w:r>
        <w:rPr>
          <w:rFonts w:ascii="仿宋" w:hAnsi="仿宋" w:eastAsia="仿宋"/>
          <w:bCs w:val="0"/>
          <w:kern w:val="2"/>
          <w:szCs w:val="24"/>
        </w:rPr>
        <w:fldChar w:fldCharType="separate"/>
      </w:r>
      <w:r>
        <w:rPr>
          <w:rFonts w:hint="eastAsia"/>
        </w:rPr>
        <w:t>一、协商确定上市时间</w:t>
      </w:r>
      <w:r>
        <w:tab/>
      </w:r>
      <w:r>
        <w:fldChar w:fldCharType="begin"/>
      </w:r>
      <w:r>
        <w:instrText xml:space="preserve"> PAGEREF _Toc13312 \h </w:instrText>
      </w:r>
      <w:r>
        <w:fldChar w:fldCharType="separate"/>
      </w:r>
      <w:r>
        <w:t>21</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_Toc12055 </w:instrText>
      </w:r>
      <w:r>
        <w:rPr>
          <w:rFonts w:ascii="仿宋" w:hAnsi="仿宋" w:eastAsia="仿宋"/>
          <w:bCs w:val="0"/>
          <w:kern w:val="2"/>
          <w:szCs w:val="24"/>
        </w:rPr>
        <w:fldChar w:fldCharType="separate"/>
      </w:r>
      <w:r>
        <w:rPr>
          <w:rFonts w:hint="eastAsia"/>
        </w:rPr>
        <w:t>二、签署上市协议（适用于基金管理人首只上市基金）</w:t>
      </w:r>
      <w:r>
        <w:tab/>
      </w:r>
      <w:r>
        <w:fldChar w:fldCharType="begin"/>
      </w:r>
      <w:r>
        <w:instrText xml:space="preserve"> PAGEREF _Toc12055 \h </w:instrText>
      </w:r>
      <w:r>
        <w:fldChar w:fldCharType="separate"/>
      </w:r>
      <w:r>
        <w:t>21</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_Toc7452 </w:instrText>
      </w:r>
      <w:r>
        <w:rPr>
          <w:rFonts w:ascii="仿宋" w:hAnsi="仿宋" w:eastAsia="仿宋"/>
          <w:bCs w:val="0"/>
          <w:kern w:val="2"/>
          <w:szCs w:val="24"/>
        </w:rPr>
        <w:fldChar w:fldCharType="separate"/>
      </w:r>
      <w:r>
        <w:rPr>
          <w:rFonts w:hint="eastAsia"/>
        </w:rPr>
        <w:t>三、维护基金基础资料</w:t>
      </w:r>
      <w:r>
        <w:tab/>
      </w:r>
      <w:r>
        <w:fldChar w:fldCharType="begin"/>
      </w:r>
      <w:r>
        <w:instrText xml:space="preserve"> PAGEREF _Toc7452 \h </w:instrText>
      </w:r>
      <w:r>
        <w:fldChar w:fldCharType="separate"/>
      </w:r>
      <w:r>
        <w:t>21</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_Toc27871 </w:instrText>
      </w:r>
      <w:r>
        <w:rPr>
          <w:rFonts w:ascii="仿宋" w:hAnsi="仿宋" w:eastAsia="仿宋"/>
          <w:bCs w:val="0"/>
          <w:kern w:val="2"/>
          <w:szCs w:val="24"/>
        </w:rPr>
        <w:fldChar w:fldCharType="separate"/>
      </w:r>
      <w:r>
        <w:rPr>
          <w:rFonts w:hint="eastAsia"/>
        </w:rPr>
        <w:t>四、填报基金ISIN码申请</w:t>
      </w:r>
      <w:r>
        <w:tab/>
      </w:r>
      <w:r>
        <w:fldChar w:fldCharType="begin"/>
      </w:r>
      <w:r>
        <w:instrText xml:space="preserve"> PAGEREF _Toc27871 \h </w:instrText>
      </w:r>
      <w:r>
        <w:fldChar w:fldCharType="separate"/>
      </w:r>
      <w:r>
        <w:t>22</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_Toc18706 </w:instrText>
      </w:r>
      <w:r>
        <w:rPr>
          <w:rFonts w:ascii="仿宋" w:hAnsi="仿宋" w:eastAsia="仿宋"/>
          <w:bCs w:val="0"/>
          <w:kern w:val="2"/>
          <w:szCs w:val="24"/>
        </w:rPr>
        <w:fldChar w:fldCharType="separate"/>
      </w:r>
      <w:r>
        <w:rPr>
          <w:rFonts w:hint="eastAsia"/>
        </w:rPr>
        <w:t>五、提交上市业务申请</w:t>
      </w:r>
      <w:r>
        <w:tab/>
      </w:r>
      <w:r>
        <w:fldChar w:fldCharType="begin"/>
      </w:r>
      <w:r>
        <w:instrText xml:space="preserve"> PAGEREF _Toc18706 \h </w:instrText>
      </w:r>
      <w:r>
        <w:fldChar w:fldCharType="separate"/>
      </w:r>
      <w:r>
        <w:t>22</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_Toc18229 </w:instrText>
      </w:r>
      <w:r>
        <w:rPr>
          <w:rFonts w:ascii="仿宋" w:hAnsi="仿宋" w:eastAsia="仿宋"/>
          <w:bCs w:val="0"/>
          <w:kern w:val="2"/>
          <w:szCs w:val="24"/>
        </w:rPr>
        <w:fldChar w:fldCharType="separate"/>
      </w:r>
      <w:r>
        <w:rPr>
          <w:rFonts w:hint="eastAsia"/>
        </w:rPr>
        <w:t>（一）表单填写注意事项</w:t>
      </w:r>
      <w:r>
        <w:tab/>
      </w:r>
      <w:r>
        <w:fldChar w:fldCharType="begin"/>
      </w:r>
      <w:r>
        <w:instrText xml:space="preserve"> PAGEREF _Toc18229 \h </w:instrText>
      </w:r>
      <w:r>
        <w:fldChar w:fldCharType="separate"/>
      </w:r>
      <w:r>
        <w:t>22</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_Toc29956 </w:instrText>
      </w:r>
      <w:r>
        <w:rPr>
          <w:rFonts w:ascii="仿宋" w:hAnsi="仿宋" w:eastAsia="仿宋"/>
          <w:bCs w:val="0"/>
          <w:kern w:val="2"/>
          <w:szCs w:val="24"/>
        </w:rPr>
        <w:fldChar w:fldCharType="separate"/>
      </w:r>
      <w:r>
        <w:rPr>
          <w:rFonts w:hint="eastAsia"/>
        </w:rPr>
        <w:t>（二）上市申请材料</w:t>
      </w:r>
      <w:r>
        <w:tab/>
      </w:r>
      <w:r>
        <w:fldChar w:fldCharType="begin"/>
      </w:r>
      <w:r>
        <w:instrText xml:space="preserve"> PAGEREF _Toc29956 \h </w:instrText>
      </w:r>
      <w:r>
        <w:fldChar w:fldCharType="separate"/>
      </w:r>
      <w:r>
        <w:t>22</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_Toc4511 </w:instrText>
      </w:r>
      <w:r>
        <w:rPr>
          <w:rFonts w:ascii="仿宋" w:hAnsi="仿宋" w:eastAsia="仿宋"/>
          <w:bCs w:val="0"/>
          <w:kern w:val="2"/>
          <w:szCs w:val="24"/>
        </w:rPr>
        <w:fldChar w:fldCharType="separate"/>
      </w:r>
      <w:r>
        <w:rPr>
          <w:rFonts w:hint="eastAsia"/>
        </w:rPr>
        <w:t>（三）基金管理人更新、补充上市申请材料</w:t>
      </w:r>
      <w:r>
        <w:tab/>
      </w:r>
      <w:r>
        <w:fldChar w:fldCharType="begin"/>
      </w:r>
      <w:r>
        <w:instrText xml:space="preserve"> PAGEREF _Toc4511 \h </w:instrText>
      </w:r>
      <w:r>
        <w:fldChar w:fldCharType="separate"/>
      </w:r>
      <w:r>
        <w:t>23</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_Toc11685 </w:instrText>
      </w:r>
      <w:r>
        <w:rPr>
          <w:rFonts w:ascii="仿宋" w:hAnsi="仿宋" w:eastAsia="仿宋"/>
          <w:bCs w:val="0"/>
          <w:kern w:val="2"/>
          <w:szCs w:val="24"/>
        </w:rPr>
        <w:fldChar w:fldCharType="separate"/>
      </w:r>
      <w:r>
        <w:rPr>
          <w:rFonts w:hint="eastAsia"/>
        </w:rPr>
        <w:t>六、基金管理人收取《上市通知书》</w:t>
      </w:r>
      <w:r>
        <w:tab/>
      </w:r>
      <w:r>
        <w:fldChar w:fldCharType="begin"/>
      </w:r>
      <w:r>
        <w:instrText xml:space="preserve"> PAGEREF _Toc11685 \h </w:instrText>
      </w:r>
      <w:r>
        <w:fldChar w:fldCharType="separate"/>
      </w:r>
      <w:r>
        <w:t>23</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_Toc6205 </w:instrText>
      </w:r>
      <w:r>
        <w:rPr>
          <w:rFonts w:ascii="仿宋" w:hAnsi="仿宋" w:eastAsia="仿宋"/>
          <w:bCs w:val="0"/>
          <w:kern w:val="2"/>
          <w:szCs w:val="24"/>
        </w:rPr>
        <w:fldChar w:fldCharType="separate"/>
      </w:r>
      <w:r>
        <w:rPr>
          <w:rFonts w:hint="eastAsia"/>
        </w:rPr>
        <w:t>七、发起《基金上市交易公告书》信息披露流程</w:t>
      </w:r>
      <w:r>
        <w:tab/>
      </w:r>
      <w:r>
        <w:fldChar w:fldCharType="begin"/>
      </w:r>
      <w:r>
        <w:instrText xml:space="preserve"> PAGEREF _Toc6205 \h </w:instrText>
      </w:r>
      <w:r>
        <w:fldChar w:fldCharType="separate"/>
      </w:r>
      <w:r>
        <w:t>24</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_Toc8167 </w:instrText>
      </w:r>
      <w:r>
        <w:rPr>
          <w:rFonts w:ascii="仿宋" w:hAnsi="仿宋" w:eastAsia="仿宋"/>
          <w:bCs w:val="0"/>
          <w:kern w:val="2"/>
          <w:szCs w:val="24"/>
        </w:rPr>
        <w:fldChar w:fldCharType="separate"/>
      </w:r>
      <w:r>
        <w:rPr>
          <w:rFonts w:hint="eastAsia"/>
        </w:rPr>
        <w:t>八、发起《基金上市交易提示性公告》信息披露流程</w:t>
      </w:r>
      <w:r>
        <w:tab/>
      </w:r>
      <w:r>
        <w:fldChar w:fldCharType="begin"/>
      </w:r>
      <w:r>
        <w:instrText xml:space="preserve"> PAGEREF _Toc8167 \h </w:instrText>
      </w:r>
      <w:r>
        <w:fldChar w:fldCharType="separate"/>
      </w:r>
      <w:r>
        <w:t>24</w:t>
      </w:r>
      <w:r>
        <w:fldChar w:fldCharType="end"/>
      </w:r>
      <w:r>
        <w:rPr>
          <w:rFonts w:ascii="仿宋" w:hAnsi="仿宋" w:eastAsia="仿宋"/>
          <w:bCs w:val="0"/>
          <w:kern w:val="2"/>
          <w:szCs w:val="24"/>
        </w:rPr>
        <w:fldChar w:fldCharType="end"/>
      </w:r>
    </w:p>
    <w:p>
      <w:pPr>
        <w:pStyle w:val="13"/>
        <w:tabs>
          <w:tab w:val="right" w:leader="dot" w:pos="9070"/>
          <w:tab w:val="clear" w:pos="906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_Toc26693 </w:instrText>
      </w:r>
      <w:r>
        <w:rPr>
          <w:rFonts w:ascii="仿宋" w:hAnsi="仿宋" w:eastAsia="仿宋"/>
          <w:bCs w:val="0"/>
          <w:kern w:val="2"/>
          <w:szCs w:val="24"/>
        </w:rPr>
        <w:fldChar w:fldCharType="separate"/>
      </w:r>
      <w:r>
        <w:rPr>
          <w:rFonts w:hint="eastAsia"/>
        </w:rPr>
        <w:t>第三章 投资者适当性</w:t>
      </w:r>
      <w:r>
        <w:tab/>
      </w:r>
      <w:r>
        <w:fldChar w:fldCharType="begin"/>
      </w:r>
      <w:r>
        <w:instrText xml:space="preserve"> PAGEREF _Toc26693 \h </w:instrText>
      </w:r>
      <w:r>
        <w:fldChar w:fldCharType="separate"/>
      </w:r>
      <w:r>
        <w:t>26</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_Toc4107 </w:instrText>
      </w:r>
      <w:r>
        <w:rPr>
          <w:rFonts w:ascii="仿宋" w:hAnsi="仿宋" w:eastAsia="仿宋"/>
          <w:bCs w:val="0"/>
          <w:kern w:val="2"/>
          <w:szCs w:val="24"/>
        </w:rPr>
        <w:fldChar w:fldCharType="separate"/>
      </w:r>
      <w:r>
        <w:rPr>
          <w:rFonts w:hint="eastAsia"/>
        </w:rPr>
        <w:t>一、建立健全适当性管理制度</w:t>
      </w:r>
      <w:r>
        <w:tab/>
      </w:r>
      <w:r>
        <w:fldChar w:fldCharType="begin"/>
      </w:r>
      <w:r>
        <w:instrText xml:space="preserve"> PAGEREF _Toc4107 \h </w:instrText>
      </w:r>
      <w:r>
        <w:fldChar w:fldCharType="separate"/>
      </w:r>
      <w:r>
        <w:t>26</w:t>
      </w:r>
      <w:r>
        <w:fldChar w:fldCharType="end"/>
      </w:r>
      <w:r>
        <w:rPr>
          <w:rFonts w:ascii="仿宋" w:hAnsi="仿宋" w:eastAsia="仿宋"/>
          <w:bCs w:val="0"/>
          <w:kern w:val="2"/>
          <w:szCs w:val="24"/>
        </w:rPr>
        <w:fldChar w:fldCharType="end"/>
      </w:r>
    </w:p>
    <w:p>
      <w:pPr>
        <w:pStyle w:val="14"/>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_Toc31052 </w:instrText>
      </w:r>
      <w:r>
        <w:rPr>
          <w:rFonts w:ascii="仿宋" w:hAnsi="仿宋" w:eastAsia="仿宋"/>
          <w:bCs w:val="0"/>
          <w:kern w:val="2"/>
          <w:szCs w:val="24"/>
        </w:rPr>
        <w:fldChar w:fldCharType="separate"/>
      </w:r>
      <w:r>
        <w:rPr>
          <w:rFonts w:hint="eastAsia"/>
        </w:rPr>
        <w:t>二、充分揭示风险</w:t>
      </w:r>
      <w:r>
        <w:tab/>
      </w:r>
      <w:r>
        <w:fldChar w:fldCharType="begin"/>
      </w:r>
      <w:r>
        <w:instrText xml:space="preserve"> PAGEREF _Toc31052 \h </w:instrText>
      </w:r>
      <w:r>
        <w:fldChar w:fldCharType="separate"/>
      </w:r>
      <w:r>
        <w:t>26</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_Toc12864 </w:instrText>
      </w:r>
      <w:r>
        <w:rPr>
          <w:rFonts w:ascii="仿宋" w:hAnsi="仿宋" w:eastAsia="仿宋"/>
          <w:bCs w:val="0"/>
          <w:kern w:val="2"/>
          <w:szCs w:val="24"/>
        </w:rPr>
        <w:fldChar w:fldCharType="separate"/>
      </w:r>
      <w:r>
        <w:rPr>
          <w:rFonts w:hint="eastAsia"/>
        </w:rPr>
        <w:t>（一）制定风险揭示书</w:t>
      </w:r>
      <w:r>
        <w:tab/>
      </w:r>
      <w:r>
        <w:fldChar w:fldCharType="begin"/>
      </w:r>
      <w:r>
        <w:instrText xml:space="preserve"> PAGEREF _Toc12864 \h </w:instrText>
      </w:r>
      <w:r>
        <w:fldChar w:fldCharType="separate"/>
      </w:r>
      <w:r>
        <w:t>26</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_Toc9709 </w:instrText>
      </w:r>
      <w:r>
        <w:rPr>
          <w:rFonts w:ascii="仿宋" w:hAnsi="仿宋" w:eastAsia="仿宋"/>
          <w:bCs w:val="0"/>
          <w:kern w:val="2"/>
          <w:szCs w:val="24"/>
        </w:rPr>
        <w:fldChar w:fldCharType="separate"/>
      </w:r>
      <w:r>
        <w:rPr>
          <w:rFonts w:hint="eastAsia"/>
        </w:rPr>
        <w:t>（二）签署风险揭示书</w:t>
      </w:r>
      <w:r>
        <w:tab/>
      </w:r>
      <w:r>
        <w:fldChar w:fldCharType="begin"/>
      </w:r>
      <w:r>
        <w:instrText xml:space="preserve"> PAGEREF _Toc9709 \h </w:instrText>
      </w:r>
      <w:r>
        <w:fldChar w:fldCharType="separate"/>
      </w:r>
      <w:r>
        <w:t>26</w:t>
      </w:r>
      <w:r>
        <w:fldChar w:fldCharType="end"/>
      </w:r>
      <w:r>
        <w:rPr>
          <w:rFonts w:ascii="仿宋" w:hAnsi="仿宋" w:eastAsia="仿宋"/>
          <w:bCs w:val="0"/>
          <w:kern w:val="2"/>
          <w:szCs w:val="24"/>
        </w:rPr>
        <w:fldChar w:fldCharType="end"/>
      </w:r>
    </w:p>
    <w:p>
      <w:pPr>
        <w:pStyle w:val="13"/>
        <w:tabs>
          <w:tab w:val="right" w:leader="dot" w:pos="9070"/>
          <w:tab w:val="clear" w:pos="906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_Toc14649 </w:instrText>
      </w:r>
      <w:r>
        <w:rPr>
          <w:rFonts w:ascii="仿宋" w:hAnsi="仿宋" w:eastAsia="仿宋"/>
          <w:bCs w:val="0"/>
          <w:kern w:val="2"/>
          <w:szCs w:val="24"/>
        </w:rPr>
        <w:fldChar w:fldCharType="separate"/>
      </w:r>
      <w:r>
        <w:rPr>
          <w:rFonts w:hint="eastAsia"/>
        </w:rPr>
        <w:t>第</w:t>
      </w:r>
      <w:r>
        <w:rPr>
          <w:rFonts w:hint="eastAsia"/>
          <w:lang w:val="en-US" w:eastAsia="zh-CN"/>
        </w:rPr>
        <w:t>四</w:t>
      </w:r>
      <w:r>
        <w:rPr>
          <w:rFonts w:hint="eastAsia"/>
        </w:rPr>
        <w:t>章  附件</w:t>
      </w:r>
      <w:r>
        <w:tab/>
      </w:r>
      <w:r>
        <w:fldChar w:fldCharType="begin"/>
      </w:r>
      <w:r>
        <w:instrText xml:space="preserve"> PAGEREF _Toc14649 \h </w:instrText>
      </w:r>
      <w:r>
        <w:fldChar w:fldCharType="separate"/>
      </w:r>
      <w:r>
        <w:t>28</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_Toc5773 </w:instrText>
      </w:r>
      <w:r>
        <w:rPr>
          <w:rFonts w:ascii="仿宋" w:hAnsi="仿宋" w:eastAsia="仿宋"/>
          <w:bCs w:val="0"/>
          <w:kern w:val="2"/>
          <w:szCs w:val="24"/>
        </w:rPr>
        <w:fldChar w:fldCharType="separate"/>
      </w:r>
      <w:r>
        <w:rPr>
          <w:rFonts w:asciiTheme="minorEastAsia" w:hAnsiTheme="minorEastAsia" w:eastAsiaTheme="minorEastAsia"/>
        </w:rPr>
        <w:t>附件1：</w:t>
      </w:r>
      <w:r>
        <w:rPr>
          <w:rFonts w:hint="eastAsia" w:asciiTheme="minorEastAsia" w:hAnsiTheme="minorEastAsia" w:eastAsiaTheme="minorEastAsia"/>
          <w:lang w:eastAsia="zh-CN"/>
        </w:rPr>
        <w:t>不动产</w:t>
      </w:r>
      <w:r>
        <w:rPr>
          <w:rFonts w:hint="eastAsia" w:asciiTheme="minorEastAsia" w:hAnsiTheme="minorEastAsia" w:eastAsiaTheme="minorEastAsia"/>
        </w:rPr>
        <w:t>基金发售各业务完成时点要求</w:t>
      </w:r>
      <w:r>
        <w:tab/>
      </w:r>
      <w:r>
        <w:fldChar w:fldCharType="begin"/>
      </w:r>
      <w:r>
        <w:instrText xml:space="preserve"> PAGEREF _Toc5773 \h </w:instrText>
      </w:r>
      <w:r>
        <w:fldChar w:fldCharType="separate"/>
      </w:r>
      <w:r>
        <w:t>28</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_Toc21082 </w:instrText>
      </w:r>
      <w:r>
        <w:rPr>
          <w:rFonts w:ascii="仿宋" w:hAnsi="仿宋" w:eastAsia="仿宋"/>
          <w:bCs w:val="0"/>
          <w:kern w:val="2"/>
          <w:szCs w:val="24"/>
        </w:rPr>
        <w:fldChar w:fldCharType="separate"/>
      </w:r>
      <w:r>
        <w:rPr>
          <w:rFonts w:asciiTheme="minorEastAsia" w:hAnsiTheme="minorEastAsia" w:eastAsiaTheme="minorEastAsia"/>
        </w:rPr>
        <w:t>附件2：</w:t>
      </w:r>
      <w:r>
        <w:rPr>
          <w:rFonts w:hint="eastAsia" w:asciiTheme="minorEastAsia" w:hAnsiTheme="minorEastAsia" w:eastAsiaTheme="minorEastAsia"/>
          <w:lang w:eastAsia="zh-CN"/>
        </w:rPr>
        <w:t>不动产</w:t>
      </w:r>
      <w:r>
        <w:rPr>
          <w:rFonts w:hint="eastAsia" w:asciiTheme="minorEastAsia" w:hAnsiTheme="minorEastAsia" w:eastAsiaTheme="minorEastAsia"/>
        </w:rPr>
        <w:t>基金</w:t>
      </w:r>
      <w:r>
        <w:rPr>
          <w:rFonts w:asciiTheme="minorEastAsia" w:hAnsiTheme="minorEastAsia" w:eastAsiaTheme="minorEastAsia"/>
        </w:rPr>
        <w:t>EIPO平台操作时间节点</w:t>
      </w:r>
      <w:r>
        <w:tab/>
      </w:r>
      <w:r>
        <w:fldChar w:fldCharType="begin"/>
      </w:r>
      <w:r>
        <w:instrText xml:space="preserve"> PAGEREF _Toc21082 \h </w:instrText>
      </w:r>
      <w:r>
        <w:fldChar w:fldCharType="separate"/>
      </w:r>
      <w:r>
        <w:t>30</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_Toc5960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需上传系统的发售上市相关公告文件</w:t>
      </w:r>
      <w:r>
        <w:tab/>
      </w:r>
      <w:r>
        <w:fldChar w:fldCharType="begin"/>
      </w:r>
      <w:r>
        <w:instrText xml:space="preserve"> PAGEREF _Toc5960 \h </w:instrText>
      </w:r>
      <w:r>
        <w:fldChar w:fldCharType="separate"/>
      </w:r>
      <w:r>
        <w:t>31</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_Toc17519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4-1</w:t>
      </w:r>
      <w:r>
        <w:rPr>
          <w:rFonts w:asciiTheme="minorEastAsia" w:hAnsiTheme="minorEastAsia" w:eastAsiaTheme="minorEastAsia"/>
        </w:rPr>
        <w:t>：</w:t>
      </w:r>
      <w:r>
        <w:rPr>
          <w:rFonts w:hint="eastAsia" w:asciiTheme="minorEastAsia" w:hAnsiTheme="minorEastAsia" w:eastAsiaTheme="minorEastAsia"/>
        </w:rPr>
        <w:t>《询价公告》必备要素</w:t>
      </w:r>
      <w:r>
        <w:tab/>
      </w:r>
      <w:r>
        <w:fldChar w:fldCharType="begin"/>
      </w:r>
      <w:r>
        <w:instrText xml:space="preserve"> PAGEREF _Toc17519 \h </w:instrText>
      </w:r>
      <w:r>
        <w:fldChar w:fldCharType="separate"/>
      </w:r>
      <w:r>
        <w:t>32</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_Toc23122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4-2</w:t>
      </w:r>
      <w:r>
        <w:rPr>
          <w:rFonts w:asciiTheme="minorEastAsia" w:hAnsiTheme="minorEastAsia" w:eastAsiaTheme="minorEastAsia"/>
        </w:rPr>
        <w:t>：</w:t>
      </w:r>
      <w:r>
        <w:rPr>
          <w:rFonts w:hint="eastAsia" w:asciiTheme="minorEastAsia" w:hAnsiTheme="minorEastAsia" w:eastAsiaTheme="minorEastAsia"/>
        </w:rPr>
        <w:t>《发售公告》必备要素</w:t>
      </w:r>
      <w:r>
        <w:tab/>
      </w:r>
      <w:r>
        <w:fldChar w:fldCharType="begin"/>
      </w:r>
      <w:r>
        <w:instrText xml:space="preserve"> PAGEREF _Toc23122 \h </w:instrText>
      </w:r>
      <w:r>
        <w:fldChar w:fldCharType="separate"/>
      </w:r>
      <w:r>
        <w:t>34</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_Toc19730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4-3</w:t>
      </w:r>
      <w:r>
        <w:rPr>
          <w:rFonts w:asciiTheme="minorEastAsia" w:hAnsiTheme="minorEastAsia" w:eastAsiaTheme="minorEastAsia"/>
        </w:rPr>
        <w:t>：</w:t>
      </w:r>
      <w:r>
        <w:rPr>
          <w:rFonts w:hint="eastAsia" w:asciiTheme="minorEastAsia" w:hAnsiTheme="minorEastAsia" w:eastAsiaTheme="minorEastAsia"/>
        </w:rPr>
        <w:t>《基金合同生效公告》必备要素</w:t>
      </w:r>
      <w:r>
        <w:tab/>
      </w:r>
      <w:r>
        <w:fldChar w:fldCharType="begin"/>
      </w:r>
      <w:r>
        <w:instrText xml:space="preserve"> PAGEREF _Toc19730 \h </w:instrText>
      </w:r>
      <w:r>
        <w:fldChar w:fldCharType="separate"/>
      </w:r>
      <w:r>
        <w:t>36</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_Toc29260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4-4</w:t>
      </w:r>
      <w:r>
        <w:rPr>
          <w:rFonts w:asciiTheme="minorEastAsia" w:hAnsiTheme="minorEastAsia" w:eastAsiaTheme="minorEastAsia"/>
        </w:rPr>
        <w:t>：</w:t>
      </w:r>
      <w:r>
        <w:rPr>
          <w:rFonts w:hint="eastAsia" w:asciiTheme="minorEastAsia" w:hAnsiTheme="minorEastAsia" w:eastAsiaTheme="minorEastAsia"/>
        </w:rPr>
        <w:t>《限售公告》必备要素</w:t>
      </w:r>
      <w:r>
        <w:tab/>
      </w:r>
      <w:r>
        <w:fldChar w:fldCharType="begin"/>
      </w:r>
      <w:r>
        <w:instrText xml:space="preserve"> PAGEREF _Toc29260 \h </w:instrText>
      </w:r>
      <w:r>
        <w:fldChar w:fldCharType="separate"/>
      </w:r>
      <w:r>
        <w:t>37</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_Toc31260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4-5</w:t>
      </w:r>
      <w:r>
        <w:rPr>
          <w:rFonts w:asciiTheme="minorEastAsia" w:hAnsiTheme="minorEastAsia" w:eastAsiaTheme="minorEastAsia"/>
        </w:rPr>
        <w:t>：</w:t>
      </w:r>
      <w:r>
        <w:rPr>
          <w:rFonts w:hint="eastAsia" w:asciiTheme="minorEastAsia" w:hAnsiTheme="minorEastAsia" w:eastAsiaTheme="minorEastAsia"/>
        </w:rPr>
        <w:t>《上市交易公告书》必备要素</w:t>
      </w:r>
      <w:r>
        <w:tab/>
      </w:r>
      <w:r>
        <w:fldChar w:fldCharType="begin"/>
      </w:r>
      <w:r>
        <w:instrText xml:space="preserve"> PAGEREF _Toc31260 \h </w:instrText>
      </w:r>
      <w:r>
        <w:fldChar w:fldCharType="separate"/>
      </w:r>
      <w:r>
        <w:t>38</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_Toc27747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lang w:eastAsia="zh-CN"/>
        </w:rPr>
        <w:t>不动产</w:t>
      </w:r>
      <w:r>
        <w:rPr>
          <w:rFonts w:hint="eastAsia" w:asciiTheme="minorEastAsia" w:hAnsiTheme="minorEastAsia" w:eastAsiaTheme="minorEastAsia"/>
        </w:rPr>
        <w:t>基金场内份额限售申请</w:t>
      </w:r>
      <w:r>
        <w:tab/>
      </w:r>
      <w:r>
        <w:fldChar w:fldCharType="begin"/>
      </w:r>
      <w:r>
        <w:instrText xml:space="preserve"> PAGEREF _Toc27747 \h </w:instrText>
      </w:r>
      <w:r>
        <w:fldChar w:fldCharType="separate"/>
      </w:r>
      <w:r>
        <w:t>40</w:t>
      </w:r>
      <w:r>
        <w:fldChar w:fldCharType="end"/>
      </w:r>
      <w:r>
        <w:rPr>
          <w:rFonts w:ascii="仿宋" w:hAnsi="仿宋" w:eastAsia="仿宋"/>
          <w:bCs w:val="0"/>
          <w:kern w:val="2"/>
          <w:szCs w:val="24"/>
        </w:rPr>
        <w:fldChar w:fldCharType="end"/>
      </w:r>
    </w:p>
    <w:p>
      <w:pPr>
        <w:pStyle w:val="8"/>
        <w:tabs>
          <w:tab w:val="right" w:leader="dot" w:pos="9070"/>
        </w:tabs>
      </w:pPr>
      <w:r>
        <w:rPr>
          <w:rFonts w:ascii="仿宋" w:hAnsi="仿宋" w:eastAsia="仿宋"/>
          <w:bCs w:val="0"/>
          <w:kern w:val="2"/>
          <w:szCs w:val="24"/>
        </w:rPr>
        <w:fldChar w:fldCharType="begin"/>
      </w:r>
      <w:r>
        <w:rPr>
          <w:rFonts w:ascii="仿宋" w:hAnsi="仿宋" w:eastAsia="仿宋"/>
          <w:bCs w:val="0"/>
          <w:kern w:val="2"/>
          <w:szCs w:val="24"/>
        </w:rPr>
        <w:instrText xml:space="preserve"> HYPERLINK \l _Toc26590 </w:instrText>
      </w:r>
      <w:r>
        <w:rPr>
          <w:rFonts w:ascii="仿宋" w:hAnsi="仿宋" w:eastAsia="仿宋"/>
          <w:bCs w:val="0"/>
          <w:kern w:val="2"/>
          <w:szCs w:val="24"/>
        </w:rPr>
        <w:fldChar w:fldCharType="separate"/>
      </w:r>
      <w:r>
        <w:rPr>
          <w:rFonts w:asciiTheme="minorEastAsia" w:hAnsiTheme="minorEastAsia" w:eastAsiaTheme="minorEastAsia"/>
        </w:rPr>
        <w:t>附件</w:t>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lang w:eastAsia="zh-CN"/>
        </w:rPr>
        <w:t>不动产</w:t>
      </w:r>
      <w:r>
        <w:rPr>
          <w:rFonts w:hint="eastAsia" w:asciiTheme="minorEastAsia" w:hAnsiTheme="minorEastAsia" w:eastAsiaTheme="minorEastAsia"/>
        </w:rPr>
        <w:t>基金场外份额锁定申请表</w:t>
      </w:r>
      <w:r>
        <w:tab/>
      </w:r>
      <w:r>
        <w:fldChar w:fldCharType="begin"/>
      </w:r>
      <w:r>
        <w:instrText xml:space="preserve"> PAGEREF _Toc26590 \h </w:instrText>
      </w:r>
      <w:r>
        <w:fldChar w:fldCharType="separate"/>
      </w:r>
      <w:r>
        <w:t>41</w:t>
      </w:r>
      <w:r>
        <w:fldChar w:fldCharType="end"/>
      </w:r>
      <w:r>
        <w:rPr>
          <w:rFonts w:ascii="仿宋" w:hAnsi="仿宋" w:eastAsia="仿宋"/>
          <w:bCs w:val="0"/>
          <w:kern w:val="2"/>
          <w:szCs w:val="24"/>
        </w:rPr>
        <w:fldChar w:fldCharType="end"/>
      </w:r>
    </w:p>
    <w:p>
      <w:pPr>
        <w:pStyle w:val="4"/>
        <w:keepNext w:val="0"/>
        <w:keepLines w:val="0"/>
        <w:tabs>
          <w:tab w:val="center" w:pos="4535"/>
          <w:tab w:val="right" w:pos="9070"/>
        </w:tabs>
        <w:snapToGrid w:val="0"/>
        <w:spacing w:before="0" w:after="0" w:line="276" w:lineRule="auto"/>
        <w:jc w:val="left"/>
        <w:rPr>
          <w:rFonts w:ascii="仿宋" w:hAnsi="仿宋" w:eastAsia="仿宋"/>
          <w:b w:val="0"/>
          <w:bCs w:val="0"/>
          <w:kern w:val="2"/>
          <w:sz w:val="21"/>
          <w:szCs w:val="21"/>
        </w:rPr>
      </w:pPr>
      <w:r>
        <w:rPr>
          <w:rFonts w:ascii="仿宋" w:hAnsi="仿宋" w:eastAsia="仿宋"/>
          <w:b w:val="0"/>
          <w:bCs w:val="0"/>
          <w:kern w:val="2"/>
          <w:sz w:val="24"/>
          <w:szCs w:val="24"/>
        </w:rPr>
        <w:fldChar w:fldCharType="end"/>
      </w:r>
      <w:r>
        <w:rPr>
          <w:rFonts w:ascii="仿宋" w:hAnsi="仿宋" w:eastAsia="仿宋"/>
          <w:b w:val="0"/>
          <w:bCs w:val="0"/>
          <w:kern w:val="2"/>
          <w:sz w:val="24"/>
          <w:szCs w:val="24"/>
        </w:rPr>
        <w:tab/>
      </w:r>
    </w:p>
    <w:p>
      <w:pPr>
        <w:widowControl/>
        <w:spacing w:after="156" w:afterLines="50"/>
        <w:jc w:val="left"/>
        <w:rPr>
          <w:rFonts w:ascii="仿宋" w:hAnsi="仿宋" w:eastAsia="仿宋"/>
          <w:szCs w:val="21"/>
        </w:rPr>
      </w:pPr>
      <w:r>
        <w:rPr>
          <w:rFonts w:ascii="仿宋" w:hAnsi="仿宋" w:eastAsia="仿宋"/>
          <w:b/>
          <w:bCs/>
          <w:szCs w:val="21"/>
        </w:rPr>
        <w:br w:type="page"/>
      </w:r>
    </w:p>
    <w:p>
      <w:pPr>
        <w:pStyle w:val="4"/>
        <w:keepNext w:val="0"/>
        <w:keepLines w:val="0"/>
        <w:spacing w:before="0" w:after="156" w:afterLines="50"/>
        <w:jc w:val="center"/>
        <w:sectPr>
          <w:footerReference r:id="rId5" w:type="default"/>
          <w:pgSz w:w="11906" w:h="16838"/>
          <w:pgMar w:top="1440" w:right="1418" w:bottom="1440" w:left="1418" w:header="851" w:footer="850" w:gutter="0"/>
          <w:cols w:space="425" w:num="1"/>
          <w:formProt w:val="1"/>
          <w:docGrid w:type="lines" w:linePitch="312" w:charSpace="0"/>
        </w:sectPr>
      </w:pPr>
    </w:p>
    <w:p>
      <w:pPr>
        <w:pStyle w:val="4"/>
        <w:keepNext w:val="0"/>
        <w:keepLines w:val="0"/>
        <w:jc w:val="center"/>
        <w:rPr>
          <w:b w:val="0"/>
        </w:rPr>
      </w:pPr>
      <w:bookmarkStart w:id="1" w:name="_Toc32357"/>
      <w:bookmarkStart w:id="2" w:name="_Toc28668"/>
      <w:bookmarkStart w:id="3" w:name="_Toc19708"/>
      <w:bookmarkStart w:id="4" w:name="_Toc12635"/>
      <w:bookmarkStart w:id="5" w:name="_Toc70590165"/>
      <w:r>
        <w:rPr>
          <w:rFonts w:hint="eastAsia"/>
          <w:b w:val="0"/>
        </w:rPr>
        <w:t>第一章 发售</w:t>
      </w:r>
      <w:bookmarkEnd w:id="0"/>
      <w:bookmarkEnd w:id="1"/>
      <w:bookmarkEnd w:id="2"/>
      <w:bookmarkEnd w:id="3"/>
      <w:bookmarkEnd w:id="4"/>
      <w:bookmarkEnd w:id="5"/>
    </w:p>
    <w:p>
      <w:pPr>
        <w:pStyle w:val="2"/>
        <w:keepNext w:val="0"/>
        <w:keepLines w:val="0"/>
        <w:spacing w:before="0" w:after="156" w:afterLines="50"/>
        <w:ind w:firstLine="640"/>
      </w:pPr>
      <w:bookmarkStart w:id="6" w:name="_Toc28358"/>
      <w:bookmarkStart w:id="7" w:name="_Toc31849"/>
      <w:bookmarkStart w:id="8" w:name="_Toc70590166"/>
      <w:bookmarkStart w:id="9" w:name="_Toc18984"/>
      <w:bookmarkStart w:id="10" w:name="_Toc9877"/>
      <w:bookmarkStart w:id="11" w:name="_Toc59024547"/>
      <w:r>
        <w:rPr>
          <w:rFonts w:hint="eastAsia"/>
        </w:rPr>
        <w:t>一、发售前的工作</w:t>
      </w:r>
      <w:bookmarkEnd w:id="6"/>
      <w:bookmarkEnd w:id="7"/>
      <w:bookmarkEnd w:id="8"/>
      <w:bookmarkEnd w:id="9"/>
      <w:bookmarkEnd w:id="10"/>
    </w:p>
    <w:p>
      <w:pPr>
        <w:pStyle w:val="5"/>
        <w:keepNext w:val="0"/>
        <w:keepLines w:val="0"/>
        <w:spacing w:before="0" w:after="156" w:afterLines="50" w:line="560" w:lineRule="exact"/>
        <w:ind w:firstLine="640" w:firstLineChars="200"/>
      </w:pPr>
      <w:bookmarkStart w:id="12" w:name="_Toc12603"/>
      <w:bookmarkStart w:id="13" w:name="_Toc70590167"/>
      <w:bookmarkStart w:id="14" w:name="_Toc19047"/>
      <w:bookmarkStart w:id="15" w:name="_Toc4855"/>
      <w:bookmarkStart w:id="16" w:name="_Toc9541"/>
      <w:r>
        <w:rPr>
          <w:rFonts w:hint="eastAsia"/>
        </w:rPr>
        <w:t>（一）申请深圳证券数字证书（以下简称CA证书）</w:t>
      </w:r>
      <w:bookmarkEnd w:id="12"/>
      <w:bookmarkEnd w:id="13"/>
      <w:bookmarkEnd w:id="14"/>
      <w:bookmarkEnd w:id="15"/>
      <w:bookmarkEnd w:id="16"/>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1.基金管理人、财务顾问申请网下发行电子平台（以下简称EIPO平台）的CA证书</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基金管理人、财务顾问首次在深交所发售</w:t>
      </w:r>
      <w:r>
        <w:rPr>
          <w:rFonts w:hint="eastAsia" w:ascii="仿宋" w:hAnsi="仿宋" w:eastAsia="仿宋"/>
          <w:sz w:val="32"/>
          <w:szCs w:val="32"/>
          <w:lang w:eastAsia="zh-CN"/>
        </w:rPr>
        <w:t>REITs</w:t>
      </w:r>
      <w:r>
        <w:rPr>
          <w:rFonts w:hint="eastAsia" w:ascii="仿宋" w:hAnsi="仿宋" w:eastAsia="仿宋"/>
          <w:sz w:val="32"/>
          <w:szCs w:val="32"/>
        </w:rPr>
        <w:t>的，应于询价日前至少10个工作日办理CA证书（EIPO平台证书）。具体业务办理说明、联系方式等可通过深交所官网中的“市场服务—</w:t>
      </w:r>
      <w:r>
        <w:rPr>
          <w:rFonts w:ascii="仿宋" w:hAnsi="仿宋" w:eastAsia="仿宋"/>
          <w:sz w:val="32"/>
          <w:szCs w:val="32"/>
        </w:rPr>
        <w:t>&gt;</w:t>
      </w:r>
      <w:r>
        <w:rPr>
          <w:rFonts w:hint="eastAsia" w:ascii="仿宋" w:hAnsi="仿宋" w:eastAsia="仿宋"/>
          <w:sz w:val="32"/>
          <w:szCs w:val="32"/>
        </w:rPr>
        <w:t>信息服务—</w:t>
      </w:r>
      <w:r>
        <w:rPr>
          <w:rFonts w:ascii="仿宋" w:hAnsi="仿宋" w:eastAsia="仿宋"/>
          <w:sz w:val="32"/>
          <w:szCs w:val="32"/>
        </w:rPr>
        <w:t>&gt;</w:t>
      </w:r>
      <w:r>
        <w:rPr>
          <w:rFonts w:hint="eastAsia" w:ascii="仿宋" w:hAnsi="仿宋" w:eastAsia="仿宋"/>
          <w:sz w:val="32"/>
          <w:szCs w:val="32"/>
        </w:rPr>
        <w:t>CA服务”查阅。</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（1）若基金管理人聘请财务顾问办理</w:t>
      </w:r>
      <w:r>
        <w:rPr>
          <w:rFonts w:hint="eastAsia" w:ascii="仿宋" w:hAnsi="仿宋" w:eastAsia="仿宋"/>
          <w:sz w:val="32"/>
          <w:szCs w:val="32"/>
          <w:lang w:eastAsia="zh-CN"/>
        </w:rPr>
        <w:t>REITs</w:t>
      </w:r>
      <w:r>
        <w:rPr>
          <w:rFonts w:hint="eastAsia" w:ascii="仿宋" w:hAnsi="仿宋" w:eastAsia="仿宋"/>
          <w:sz w:val="32"/>
          <w:szCs w:val="32"/>
        </w:rPr>
        <w:t>发售业务的，财务顾问填写《深圳证券数字证书业务申请表》（单位用户专用）（以下简称《申请表》）的申请证书类型时，勾选“网下发行电子平台（EIPO平台单选）—</w:t>
      </w:r>
      <w:r>
        <w:rPr>
          <w:rFonts w:ascii="仿宋" w:hAnsi="仿宋" w:eastAsia="仿宋"/>
          <w:sz w:val="32"/>
          <w:szCs w:val="32"/>
        </w:rPr>
        <w:t>&gt;</w:t>
      </w:r>
      <w:r>
        <w:rPr>
          <w:rFonts w:hint="eastAsia" w:ascii="仿宋" w:hAnsi="仿宋" w:eastAsia="仿宋"/>
          <w:sz w:val="32"/>
          <w:szCs w:val="32"/>
        </w:rPr>
        <w:t>财务顾问”，用此证书在EIPO平台开展询价、网下发售等业务操作。财务顾问已有EIPO（主承销商）的CA证书，也需另行申请财务顾问CA证书。</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基金管理人填写《申请表》的申请证书类型时，勾选“网下发行电子平台（EIPO平台单选）—</w:t>
      </w:r>
      <w:r>
        <w:rPr>
          <w:rFonts w:ascii="仿宋" w:hAnsi="仿宋" w:eastAsia="仿宋"/>
          <w:sz w:val="32"/>
          <w:szCs w:val="32"/>
        </w:rPr>
        <w:t>&gt;</w:t>
      </w:r>
      <w:r>
        <w:rPr>
          <w:rFonts w:hint="eastAsia" w:ascii="仿宋" w:hAnsi="仿宋" w:eastAsia="仿宋"/>
          <w:sz w:val="32"/>
          <w:szCs w:val="32"/>
        </w:rPr>
        <w:t>基金管理人”,此类型的证书在EIPO平台仅有查询功能。基金管理人已有基金业务专区CA证书的，仍需申请EIPO平台的CA证书。</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（2）若基金管理人未聘请财务顾问办理</w:t>
      </w:r>
      <w:r>
        <w:rPr>
          <w:rFonts w:hint="eastAsia" w:ascii="仿宋" w:hAnsi="仿宋" w:eastAsia="仿宋"/>
          <w:sz w:val="32"/>
          <w:szCs w:val="32"/>
          <w:lang w:eastAsia="zh-CN"/>
        </w:rPr>
        <w:t>REITs</w:t>
      </w:r>
      <w:r>
        <w:rPr>
          <w:rFonts w:hint="eastAsia" w:ascii="仿宋" w:hAnsi="仿宋" w:eastAsia="仿宋"/>
          <w:sz w:val="32"/>
          <w:szCs w:val="32"/>
        </w:rPr>
        <w:t>发</w:t>
      </w:r>
      <w:r>
        <w:rPr>
          <w:rFonts w:hint="eastAsia" w:ascii="仿宋" w:hAnsi="仿宋" w:eastAsia="仿宋" w:cs="宋体"/>
          <w:sz w:val="32"/>
          <w:szCs w:val="32"/>
        </w:rPr>
        <w:t>售</w:t>
      </w:r>
      <w:r>
        <w:rPr>
          <w:rFonts w:hint="eastAsia" w:ascii="仿宋" w:hAnsi="仿宋" w:eastAsia="仿宋"/>
          <w:sz w:val="32"/>
          <w:szCs w:val="32"/>
        </w:rPr>
        <w:t>业务的，基金管理人填写《申请表》的申请证书类型时，勾选“网下发行电子平台（EIPO平台单选）—</w:t>
      </w:r>
      <w:r>
        <w:rPr>
          <w:rFonts w:ascii="仿宋" w:hAnsi="仿宋" w:eastAsia="仿宋"/>
          <w:sz w:val="32"/>
          <w:szCs w:val="32"/>
        </w:rPr>
        <w:t>&gt;</w:t>
      </w:r>
      <w:r>
        <w:rPr>
          <w:rFonts w:hint="eastAsia" w:ascii="仿宋" w:hAnsi="仿宋" w:eastAsia="仿宋"/>
          <w:sz w:val="32"/>
          <w:szCs w:val="32"/>
          <w:lang w:eastAsia="zh-CN"/>
        </w:rPr>
        <w:t>基金管理人</w:t>
      </w:r>
      <w:r>
        <w:rPr>
          <w:rFonts w:hint="eastAsia" w:ascii="仿宋" w:hAnsi="仿宋" w:eastAsia="仿宋"/>
          <w:sz w:val="32"/>
          <w:szCs w:val="32"/>
        </w:rPr>
        <w:t>”,用此证书在EIPO平台开展询价、网下发</w:t>
      </w:r>
      <w:r>
        <w:rPr>
          <w:rFonts w:hint="eastAsia" w:ascii="仿宋" w:hAnsi="仿宋" w:eastAsia="仿宋" w:cs="宋体"/>
          <w:sz w:val="32"/>
          <w:szCs w:val="32"/>
        </w:rPr>
        <w:t>售</w:t>
      </w:r>
      <w:r>
        <w:rPr>
          <w:rFonts w:hint="eastAsia" w:ascii="仿宋" w:hAnsi="仿宋" w:eastAsia="仿宋"/>
          <w:sz w:val="32"/>
          <w:szCs w:val="32"/>
        </w:rPr>
        <w:t>等业务操作。</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2.网下投资者申请EIPO平台的CA证书</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网下投资者首次参与深交所EIPO平台询价的，应于询价日前至少10个工作日办理CA证书（EIPO平台证书）。具体业务办理说明、联系方式等可通过深交所官网中的“市场服务—&gt;信息服务—&gt;CA服务”查阅。</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网下投资者填写《申请表》的申请证书类型时，勾选“网下发行电子平台（EIPO平台单选）—</w:t>
      </w:r>
      <w:r>
        <w:rPr>
          <w:rFonts w:ascii="仿宋" w:hAnsi="仿宋" w:eastAsia="仿宋"/>
          <w:sz w:val="32"/>
          <w:szCs w:val="32"/>
        </w:rPr>
        <w:t>&gt;</w:t>
      </w:r>
      <w:r>
        <w:rPr>
          <w:rFonts w:hint="eastAsia" w:ascii="仿宋" w:hAnsi="仿宋" w:eastAsia="仿宋"/>
          <w:sz w:val="32"/>
          <w:szCs w:val="32"/>
        </w:rPr>
        <w:t>投资者”，用此证书在</w:t>
      </w:r>
      <w:r>
        <w:rPr>
          <w:rFonts w:ascii="仿宋" w:hAnsi="仿宋" w:eastAsia="仿宋"/>
          <w:sz w:val="32"/>
          <w:szCs w:val="32"/>
        </w:rPr>
        <w:t>EIPO平台参与</w:t>
      </w:r>
      <w:r>
        <w:rPr>
          <w:rFonts w:hint="eastAsia" w:ascii="仿宋" w:hAnsi="仿宋" w:eastAsia="仿宋"/>
          <w:sz w:val="32"/>
          <w:szCs w:val="32"/>
          <w:lang w:eastAsia="zh-CN"/>
        </w:rPr>
        <w:t>REITs</w:t>
      </w:r>
      <w:r>
        <w:rPr>
          <w:rFonts w:hint="eastAsia" w:ascii="仿宋" w:hAnsi="仿宋" w:eastAsia="仿宋"/>
          <w:sz w:val="32"/>
          <w:szCs w:val="32"/>
        </w:rPr>
        <w:t>的询价和认购。网下投资者已有EIPO平台的</w:t>
      </w:r>
      <w:r>
        <w:rPr>
          <w:rFonts w:ascii="仿宋" w:hAnsi="仿宋" w:eastAsia="仿宋"/>
          <w:sz w:val="32"/>
          <w:szCs w:val="32"/>
        </w:rPr>
        <w:t>CA证书（投资者）</w:t>
      </w:r>
      <w:r>
        <w:rPr>
          <w:rFonts w:hint="eastAsia" w:ascii="仿宋" w:hAnsi="仿宋" w:eastAsia="仿宋"/>
          <w:sz w:val="32"/>
          <w:szCs w:val="32"/>
        </w:rPr>
        <w:t>，无需再申请此</w:t>
      </w:r>
      <w:r>
        <w:rPr>
          <w:rFonts w:ascii="仿宋" w:hAnsi="仿宋" w:eastAsia="仿宋"/>
          <w:sz w:val="32"/>
          <w:szCs w:val="32"/>
        </w:rPr>
        <w:t>CA证书</w:t>
      </w:r>
      <w:r>
        <w:rPr>
          <w:rFonts w:hint="eastAsia" w:ascii="仿宋" w:hAnsi="仿宋" w:eastAsia="仿宋"/>
          <w:sz w:val="32"/>
          <w:szCs w:val="32"/>
        </w:rPr>
        <w:t>，可用此证书在EIPO平台参与</w:t>
      </w:r>
      <w:r>
        <w:rPr>
          <w:rFonts w:hint="eastAsia" w:ascii="仿宋" w:hAnsi="仿宋" w:eastAsia="仿宋"/>
          <w:sz w:val="32"/>
          <w:szCs w:val="32"/>
          <w:lang w:eastAsia="zh-CN"/>
        </w:rPr>
        <w:t>REITs</w:t>
      </w:r>
      <w:r>
        <w:rPr>
          <w:rFonts w:hint="eastAsia" w:ascii="仿宋" w:hAnsi="仿宋" w:eastAsia="仿宋"/>
          <w:sz w:val="32"/>
          <w:szCs w:val="32"/>
        </w:rPr>
        <w:t>的报价和认购。</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注：已有EIPO平台的CA证书（投资者）的个人投资者不是</w:t>
      </w:r>
      <w:r>
        <w:rPr>
          <w:rFonts w:hint="eastAsia" w:ascii="仿宋" w:hAnsi="仿宋" w:eastAsia="仿宋"/>
          <w:sz w:val="32"/>
          <w:szCs w:val="32"/>
          <w:lang w:eastAsia="zh-CN"/>
        </w:rPr>
        <w:t>REITs</w:t>
      </w:r>
      <w:r>
        <w:rPr>
          <w:rFonts w:hint="eastAsia" w:ascii="仿宋" w:hAnsi="仿宋" w:eastAsia="仿宋"/>
          <w:sz w:val="32"/>
          <w:szCs w:val="32"/>
        </w:rPr>
        <w:t>的网下投资者范围，无权参与</w:t>
      </w:r>
      <w:r>
        <w:rPr>
          <w:rFonts w:hint="eastAsia" w:ascii="仿宋" w:hAnsi="仿宋" w:eastAsia="仿宋"/>
          <w:sz w:val="32"/>
          <w:szCs w:val="32"/>
          <w:lang w:eastAsia="zh-CN"/>
        </w:rPr>
        <w:t>REITs</w:t>
      </w:r>
      <w:r>
        <w:rPr>
          <w:rFonts w:hint="eastAsia" w:ascii="仿宋" w:hAnsi="仿宋" w:eastAsia="仿宋"/>
          <w:sz w:val="32"/>
          <w:szCs w:val="32"/>
        </w:rPr>
        <w:t>的询价和认购。商业银行和理财子公司因不能参与股票的询价和认购，需申请EIPO平台的CA证书（投资者），仅用于</w:t>
      </w:r>
      <w:r>
        <w:rPr>
          <w:rFonts w:hint="eastAsia" w:ascii="仿宋" w:hAnsi="仿宋" w:eastAsia="仿宋"/>
          <w:sz w:val="32"/>
          <w:szCs w:val="32"/>
          <w:lang w:eastAsia="zh-CN"/>
        </w:rPr>
        <w:t>REITs</w:t>
      </w:r>
      <w:r>
        <w:rPr>
          <w:rFonts w:hint="eastAsia" w:ascii="仿宋" w:hAnsi="仿宋" w:eastAsia="仿宋"/>
          <w:sz w:val="32"/>
          <w:szCs w:val="32"/>
        </w:rPr>
        <w:t>的询价和认购。</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3.基金管理人申请基金业务专区CA证书</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lang w:eastAsia="zh-CN"/>
        </w:rPr>
        <w:t>REITs</w:t>
      </w:r>
      <w:r>
        <w:rPr>
          <w:rFonts w:hint="eastAsia" w:ascii="仿宋" w:hAnsi="仿宋" w:eastAsia="仿宋"/>
          <w:sz w:val="32"/>
          <w:szCs w:val="32"/>
        </w:rPr>
        <w:t>为基金管理人首只在深交所上市基金产品的，基金管理人应于拟申请基金代码和简称前至少10个工作日办理CA证书（基金业务专区）。具体业务办理说明、联系方式等可通过深交所官网中的“市场服务—&gt;信息服务—&gt;CA服务”查阅。</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基金管理人填写《申请表》的申请证书类型时，勾选“基金业务专区”，用此证书在基金业务专区办理基金代码简称申请、发</w:t>
      </w:r>
      <w:r>
        <w:rPr>
          <w:rFonts w:hint="eastAsia" w:ascii="仿宋" w:hAnsi="仿宋" w:eastAsia="仿宋" w:cs="宋体"/>
          <w:sz w:val="32"/>
          <w:szCs w:val="32"/>
        </w:rPr>
        <w:t>售</w:t>
      </w:r>
      <w:r>
        <w:rPr>
          <w:rFonts w:hint="eastAsia" w:ascii="仿宋" w:hAnsi="仿宋" w:eastAsia="仿宋"/>
          <w:sz w:val="32"/>
          <w:szCs w:val="32"/>
        </w:rPr>
        <w:t>、上市、信息披露等相关业务。基金管理人已有EIPO平台的CA证书的，仍需申请基金业务专区CA证书。</w:t>
      </w:r>
    </w:p>
    <w:p>
      <w:pPr>
        <w:pStyle w:val="5"/>
        <w:keepNext w:val="0"/>
        <w:keepLines w:val="0"/>
        <w:spacing w:before="0" w:after="156" w:afterLines="50" w:line="560" w:lineRule="exact"/>
        <w:ind w:firstLine="640" w:firstLineChars="200"/>
      </w:pPr>
      <w:bookmarkStart w:id="17" w:name="_Toc7631"/>
      <w:bookmarkStart w:id="18" w:name="_Toc70590168"/>
      <w:bookmarkStart w:id="19" w:name="_Toc30034"/>
      <w:bookmarkStart w:id="20" w:name="_Toc26320"/>
      <w:bookmarkStart w:id="21" w:name="_Toc9005"/>
      <w:r>
        <w:rPr>
          <w:rFonts w:hint="eastAsia"/>
        </w:rPr>
        <w:t>（二）进行技术测试</w:t>
      </w:r>
      <w:bookmarkEnd w:id="17"/>
      <w:bookmarkEnd w:id="18"/>
      <w:bookmarkEnd w:id="19"/>
      <w:bookmarkEnd w:id="20"/>
      <w:bookmarkEnd w:id="21"/>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lang w:eastAsia="zh-CN"/>
        </w:rPr>
        <w:t>REITs</w:t>
      </w:r>
      <w:r>
        <w:rPr>
          <w:rFonts w:hint="eastAsia" w:ascii="仿宋" w:hAnsi="仿宋" w:eastAsia="仿宋"/>
          <w:sz w:val="32"/>
          <w:szCs w:val="32"/>
        </w:rPr>
        <w:t>基金管理人或财务顾问（如有）应在办理发售业务前联系深交所基金管理部进行发售上市测试（含EIPO平台的测试）。</w:t>
      </w:r>
    </w:p>
    <w:bookmarkEnd w:id="11"/>
    <w:p>
      <w:pPr>
        <w:pStyle w:val="5"/>
        <w:keepNext w:val="0"/>
        <w:keepLines w:val="0"/>
        <w:spacing w:before="0" w:after="156" w:afterLines="50" w:line="560" w:lineRule="exact"/>
        <w:ind w:firstLine="640" w:firstLineChars="200"/>
      </w:pPr>
      <w:bookmarkStart w:id="22" w:name="_Toc23662"/>
      <w:bookmarkStart w:id="23" w:name="_Toc29867"/>
      <w:bookmarkStart w:id="24" w:name="_Toc31208"/>
      <w:bookmarkStart w:id="25" w:name="_Toc59024549"/>
      <w:bookmarkStart w:id="26" w:name="_Toc7638"/>
      <w:bookmarkStart w:id="27" w:name="_Toc70590169"/>
      <w:r>
        <w:rPr>
          <w:rFonts w:hint="eastAsia"/>
        </w:rPr>
        <w:t>（三）基金代码简称申请</w:t>
      </w:r>
      <w:bookmarkEnd w:id="22"/>
      <w:bookmarkEnd w:id="23"/>
      <w:bookmarkEnd w:id="24"/>
      <w:bookmarkEnd w:id="25"/>
      <w:bookmarkEnd w:id="26"/>
      <w:bookmarkEnd w:id="27"/>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基金管理人通过基金业务专区的 “业务办理—</w:t>
      </w:r>
      <w:r>
        <w:rPr>
          <w:rFonts w:ascii="仿宋" w:hAnsi="仿宋" w:eastAsia="仿宋"/>
          <w:sz w:val="32"/>
          <w:szCs w:val="32"/>
        </w:rPr>
        <w:t>&gt;</w:t>
      </w:r>
      <w:r>
        <w:rPr>
          <w:rFonts w:hint="eastAsia" w:ascii="仿宋" w:hAnsi="仿宋" w:eastAsia="仿宋"/>
          <w:sz w:val="32"/>
          <w:szCs w:val="32"/>
        </w:rPr>
        <w:t>基金代码简称申请”提交基金代码、简称申请。</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1.表单填写注意事项：</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）基金业务类别的选择：</w:t>
      </w:r>
      <w:r>
        <w:rPr>
          <w:rFonts w:hint="eastAsia" w:ascii="仿宋" w:hAnsi="仿宋" w:eastAsia="仿宋"/>
          <w:sz w:val="32"/>
          <w:szCs w:val="32"/>
          <w:lang w:eastAsia="zh-CN"/>
        </w:rPr>
        <w:t>不动产</w:t>
      </w:r>
      <w:r>
        <w:rPr>
          <w:rFonts w:hint="eastAsia" w:ascii="仿宋" w:hAnsi="仿宋" w:eastAsia="仿宋"/>
          <w:sz w:val="32"/>
          <w:szCs w:val="32"/>
        </w:rPr>
        <w:t>基金；</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（2）基金投资类别的选择：ABS；</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（3）基金简称编制应参考基金全称；</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（4）基金代码编制：代码区间为180</w:t>
      </w:r>
      <w:r>
        <w:rPr>
          <w:rFonts w:hint="eastAsia" w:ascii="仿宋" w:hAnsi="仿宋" w:eastAsia="仿宋"/>
          <w:sz w:val="32"/>
          <w:szCs w:val="32"/>
          <w:lang w:val="en-US" w:eastAsia="zh-CN"/>
        </w:rPr>
        <w:t>1</w:t>
      </w:r>
      <w:r>
        <w:rPr>
          <w:rFonts w:hint="eastAsia" w:ascii="仿宋" w:hAnsi="仿宋" w:eastAsia="仿宋"/>
          <w:sz w:val="32"/>
          <w:szCs w:val="32"/>
        </w:rPr>
        <w:t>0</w:t>
      </w:r>
      <w:r>
        <w:rPr>
          <w:rFonts w:hint="eastAsia" w:ascii="仿宋" w:hAnsi="仿宋" w:eastAsia="仿宋"/>
          <w:sz w:val="32"/>
          <w:szCs w:val="32"/>
          <w:lang w:val="en-US" w:eastAsia="zh-CN"/>
        </w:rPr>
        <w:t>1</w:t>
      </w:r>
      <w:r>
        <w:rPr>
          <w:rFonts w:hint="eastAsia" w:ascii="仿宋" w:hAnsi="仿宋" w:eastAsia="仿宋"/>
          <w:sz w:val="32"/>
          <w:szCs w:val="32"/>
        </w:rPr>
        <w:t>-180999；</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（5）基金登记结算系统的选择：中登</w:t>
      </w:r>
      <w:r>
        <w:rPr>
          <w:rFonts w:ascii="仿宋" w:hAnsi="仿宋" w:eastAsia="仿宋"/>
          <w:sz w:val="32"/>
          <w:szCs w:val="32"/>
        </w:rPr>
        <w:t>TA</w:t>
      </w:r>
      <w:r>
        <w:rPr>
          <w:rFonts w:hint="eastAsia" w:ascii="仿宋" w:hAnsi="仿宋" w:eastAsia="仿宋"/>
          <w:sz w:val="32"/>
          <w:szCs w:val="32"/>
        </w:rPr>
        <w:t>系统；</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（6）后端基金：选择“否”；</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（7）中国证监会编码报送信息</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份额类别：</w:t>
      </w:r>
      <w:r>
        <w:rPr>
          <w:rFonts w:ascii="仿宋" w:hAnsi="仿宋" w:eastAsia="仿宋"/>
          <w:sz w:val="32"/>
          <w:szCs w:val="32"/>
        </w:rPr>
        <w:t xml:space="preserve"> </w:t>
      </w:r>
      <w:r>
        <w:rPr>
          <w:rFonts w:hint="eastAsia" w:ascii="仿宋" w:hAnsi="仿宋" w:eastAsia="仿宋"/>
          <w:sz w:val="32"/>
          <w:szCs w:val="32"/>
        </w:rPr>
        <w:t>选择“</w:t>
      </w:r>
      <w:r>
        <w:rPr>
          <w:rFonts w:ascii="仿宋" w:hAnsi="仿宋" w:eastAsia="仿宋"/>
          <w:sz w:val="32"/>
          <w:szCs w:val="32"/>
        </w:rPr>
        <w:t>1=</w:t>
      </w:r>
      <w:r>
        <w:rPr>
          <w:rFonts w:hint="eastAsia" w:ascii="仿宋" w:hAnsi="仿宋" w:eastAsia="仿宋"/>
          <w:sz w:val="32"/>
          <w:szCs w:val="32"/>
        </w:rPr>
        <w:t>非特殊份额类别”；</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收费方式：根据基金份额具体的收费方式进行相应选择；</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币种：根据基金份额具体的币种进行相应选择；</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交易场所：选择“3</w:t>
      </w:r>
      <w:r>
        <w:rPr>
          <w:rFonts w:ascii="仿宋" w:hAnsi="仿宋" w:eastAsia="仿宋"/>
          <w:sz w:val="32"/>
          <w:szCs w:val="32"/>
        </w:rPr>
        <w:t>=</w:t>
      </w:r>
      <w:r>
        <w:rPr>
          <w:rFonts w:hint="eastAsia" w:ascii="仿宋" w:hAnsi="仿宋" w:eastAsia="仿宋"/>
          <w:sz w:val="32"/>
          <w:szCs w:val="32"/>
        </w:rPr>
        <w:t>仅场内深市”；</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注册登记机构编码：</w:t>
      </w:r>
      <w:r>
        <w:rPr>
          <w:rFonts w:ascii="仿宋" w:hAnsi="仿宋" w:eastAsia="仿宋"/>
          <w:sz w:val="32"/>
          <w:szCs w:val="32"/>
        </w:rPr>
        <w:t>98</w:t>
      </w:r>
      <w:r>
        <w:rPr>
          <w:rFonts w:hint="eastAsia" w:ascii="仿宋" w:hAnsi="仿宋" w:eastAsia="仿宋"/>
          <w:sz w:val="32"/>
          <w:szCs w:val="32"/>
        </w:rPr>
        <w:t>；</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基金类别：选择“10.其他”；</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2.申请材料为：</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）中国证监会准予基金注册的批复（如延期募集，需同时提交原批复和准予延期募集的批复）；</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）关于证券代码和简称的申请（加盖公司公章）；</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）基金业务类别记录表（加盖公司公章）；</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）基金合同。</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3.基金简称命名规范：基金简称原则上应参考基金名称，含义清晰、指向明确。</w:t>
      </w:r>
    </w:p>
    <w:p>
      <w:pPr>
        <w:pStyle w:val="2"/>
        <w:keepNext w:val="0"/>
        <w:keepLines w:val="0"/>
        <w:spacing w:before="0" w:after="156" w:afterLines="50"/>
        <w:ind w:firstLine="640"/>
      </w:pPr>
      <w:bookmarkStart w:id="28" w:name="_Toc41551524"/>
      <w:bookmarkStart w:id="29" w:name="_Toc619"/>
      <w:bookmarkStart w:id="30" w:name="_Toc26866"/>
      <w:bookmarkStart w:id="31" w:name="_Toc1807"/>
      <w:bookmarkStart w:id="32" w:name="_Toc70590170"/>
      <w:bookmarkStart w:id="33" w:name="_Toc59024551"/>
      <w:bookmarkStart w:id="34" w:name="_Toc27798"/>
      <w:r>
        <w:t>二、</w:t>
      </w:r>
      <w:bookmarkEnd w:id="28"/>
      <w:r>
        <w:rPr>
          <w:rFonts w:hint="eastAsia"/>
        </w:rPr>
        <w:t>询价</w:t>
      </w:r>
      <w:bookmarkEnd w:id="29"/>
      <w:bookmarkEnd w:id="30"/>
      <w:bookmarkEnd w:id="31"/>
      <w:bookmarkEnd w:id="32"/>
      <w:bookmarkEnd w:id="33"/>
      <w:bookmarkEnd w:id="34"/>
    </w:p>
    <w:p>
      <w:pPr>
        <w:adjustRightInd w:val="0"/>
        <w:snapToGrid w:val="0"/>
        <w:spacing w:after="156" w:afterLines="50" w:line="560" w:lineRule="exact"/>
        <w:ind w:firstLine="640" w:firstLineChars="200"/>
        <w:rPr>
          <w:rFonts w:ascii="仿宋" w:hAnsi="仿宋" w:eastAsia="仿宋"/>
          <w:b/>
        </w:rPr>
      </w:pPr>
      <w:r>
        <w:rPr>
          <w:rFonts w:hint="eastAsia" w:ascii="仿宋" w:hAnsi="仿宋" w:eastAsia="仿宋"/>
          <w:sz w:val="32"/>
          <w:szCs w:val="32"/>
        </w:rPr>
        <w:t>注：X为询价日，T日为募集期首日</w:t>
      </w:r>
    </w:p>
    <w:p>
      <w:pPr>
        <w:pStyle w:val="5"/>
        <w:keepNext w:val="0"/>
        <w:keepLines w:val="0"/>
        <w:spacing w:before="0" w:after="156" w:afterLines="50" w:line="560" w:lineRule="exact"/>
        <w:ind w:firstLine="640" w:firstLineChars="200"/>
      </w:pPr>
      <w:bookmarkStart w:id="35" w:name="_Toc6949"/>
      <w:bookmarkStart w:id="36" w:name="_Toc9847"/>
      <w:bookmarkStart w:id="37" w:name="_Toc14403"/>
      <w:bookmarkStart w:id="38" w:name="_Toc70590171"/>
      <w:bookmarkStart w:id="39" w:name="_Toc10081"/>
      <w:bookmarkStart w:id="40" w:name="_Toc59024552"/>
      <w:r>
        <w:rPr>
          <w:rFonts w:hint="eastAsia"/>
        </w:rPr>
        <w:t>（一）报备发售方案</w:t>
      </w:r>
      <w:bookmarkEnd w:id="35"/>
      <w:bookmarkEnd w:id="36"/>
      <w:bookmarkEnd w:id="37"/>
      <w:bookmarkEnd w:id="38"/>
      <w:bookmarkEnd w:id="39"/>
      <w:r>
        <w:rPr>
          <w:rFonts w:hint="eastAsia"/>
        </w:rPr>
        <w:t xml:space="preserve"> </w:t>
      </w:r>
      <w:bookmarkEnd w:id="40"/>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基金管理人通过基金业务专区的“业务办理—&gt;发售方案报备（REITs）”提交以下材料：</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1.发售申请及发售方案（基金管理人、财务顾问</w:t>
      </w:r>
      <w:r>
        <w:rPr>
          <w:rFonts w:ascii="仿宋" w:hAnsi="仿宋" w:eastAsia="仿宋"/>
          <w:sz w:val="32"/>
          <w:szCs w:val="32"/>
        </w:rPr>
        <w:t>盖章</w:t>
      </w:r>
      <w:r>
        <w:rPr>
          <w:rFonts w:hint="eastAsia" w:ascii="仿宋" w:hAnsi="仿宋" w:eastAsia="仿宋"/>
          <w:sz w:val="32"/>
          <w:szCs w:val="32"/>
        </w:rPr>
        <w:t>扫描件）。</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cs="宋体"/>
          <w:sz w:val="32"/>
          <w:szCs w:val="32"/>
        </w:rPr>
        <w:t>发售方案包括但不限于项目公司基本情况、本次发售的要点（本次发售概况、重要时间安排、战略配售的相关安排、网下投资者的资格标准与核查、询价及确定发售价格、各类投资者认购及费用、回拨机制、配售原则及方式、认购不足的处理、中止发售情况、份额登记托管及上市工作、发售的相关费用）、本次发售前的准备工作（内部组织安排、外部协调工作安排、与监管机构的沟通协调、路演推介准备）、发售可能遇到的问题及拟采取的措施、发售有关中介机构</w:t>
      </w:r>
      <w:r>
        <w:rPr>
          <w:rFonts w:hint="eastAsia" w:ascii="仿宋" w:hAnsi="仿宋" w:eastAsia="仿宋"/>
          <w:sz w:val="32"/>
          <w:szCs w:val="32"/>
        </w:rPr>
        <w:t>。</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2.询价公告</w:t>
      </w:r>
      <w:r>
        <w:rPr>
          <w:rFonts w:hint="eastAsia" w:ascii="仿宋" w:eastAsia="仿宋" w:cs="仿宋"/>
          <w:kern w:val="0"/>
          <w:sz w:val="32"/>
          <w:szCs w:val="32"/>
        </w:rPr>
        <w:t>（必备要素参考附件4-1）</w:t>
      </w:r>
      <w:r>
        <w:rPr>
          <w:rFonts w:hint="eastAsia" w:ascii="仿宋" w:hAnsi="仿宋" w:eastAsia="仿宋"/>
          <w:sz w:val="32"/>
          <w:szCs w:val="32"/>
        </w:rPr>
        <w:t>、招募说明书、</w:t>
      </w:r>
      <w:r>
        <w:rPr>
          <w:rFonts w:hint="eastAsia" w:ascii="仿宋" w:hAnsi="仿宋" w:eastAsia="仿宋" w:cs="宋体"/>
          <w:kern w:val="0"/>
          <w:sz w:val="32"/>
          <w:szCs w:val="32"/>
        </w:rPr>
        <w:t>基金产品资料概要</w:t>
      </w:r>
      <w:r>
        <w:rPr>
          <w:rFonts w:hint="eastAsia" w:ascii="仿宋" w:hAnsi="仿宋" w:eastAsia="仿宋"/>
          <w:sz w:val="32"/>
          <w:szCs w:val="32"/>
        </w:rPr>
        <w:t>、基金合同、托管协议等公告文件。</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3.中国证监会准予基金注册的批文（扫描件）。</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eastAsia="仿宋" w:cs="仿宋"/>
          <w:kern w:val="0"/>
          <w:sz w:val="32"/>
          <w:szCs w:val="32"/>
        </w:rPr>
        <w:t>4.</w:t>
      </w:r>
      <w:r>
        <w:rPr>
          <w:rFonts w:hint="eastAsia" w:ascii="仿宋" w:hAnsi="仿宋" w:eastAsia="仿宋"/>
          <w:sz w:val="32"/>
          <w:szCs w:val="32"/>
        </w:rPr>
        <w:t>基金管理人、财务顾问对战略投资者的选取标准、配售资格，以及是否存在相关禁止性情形进行核查的文件以及律师事务所出具的相应法律意见书（</w:t>
      </w:r>
      <w:r>
        <w:rPr>
          <w:rFonts w:ascii="仿宋" w:hAnsi="仿宋" w:eastAsia="仿宋"/>
          <w:sz w:val="32"/>
          <w:szCs w:val="32"/>
        </w:rPr>
        <w:t>盖章</w:t>
      </w:r>
      <w:r>
        <w:rPr>
          <w:rFonts w:hint="eastAsia" w:ascii="仿宋" w:hAnsi="仿宋" w:eastAsia="仿宋"/>
          <w:sz w:val="32"/>
          <w:szCs w:val="32"/>
        </w:rPr>
        <w:t>扫描件）。</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hAnsi="仿宋" w:eastAsia="仿宋"/>
          <w:sz w:val="32"/>
          <w:szCs w:val="32"/>
        </w:rPr>
        <w:t>5.评估机构对</w:t>
      </w:r>
      <w:r>
        <w:rPr>
          <w:rFonts w:hint="eastAsia" w:ascii="仿宋" w:hAnsi="仿宋" w:eastAsia="仿宋"/>
          <w:sz w:val="32"/>
          <w:szCs w:val="32"/>
          <w:lang w:eastAsia="zh-CN"/>
        </w:rPr>
        <w:t>不动产</w:t>
      </w:r>
      <w:r>
        <w:rPr>
          <w:rFonts w:hint="eastAsia" w:ascii="仿宋" w:hAnsi="仿宋" w:eastAsia="仿宋"/>
          <w:sz w:val="32"/>
          <w:szCs w:val="32"/>
        </w:rPr>
        <w:t>项目出具的评估报告。</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hAnsi="仿宋" w:eastAsia="仿宋"/>
          <w:sz w:val="32"/>
          <w:szCs w:val="32"/>
        </w:rPr>
        <w:t>6</w:t>
      </w:r>
      <w:r>
        <w:rPr>
          <w:rFonts w:hint="eastAsia" w:ascii="仿宋" w:eastAsia="仿宋" w:cs="仿宋"/>
          <w:kern w:val="0"/>
          <w:sz w:val="32"/>
          <w:szCs w:val="32"/>
        </w:rPr>
        <w:t>.原始权益人与同一控制下关联方的董事、监事及高级管理人员设立专项资产管理计划参与战略配售的，应提交设立专项资产管理计划的合同、专项资产管理计划完成基金业协会或银保监会备案的证明文件（扫描件，如有）。</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eastAsia="仿宋" w:cs="仿宋"/>
          <w:kern w:val="0"/>
          <w:sz w:val="32"/>
          <w:szCs w:val="32"/>
        </w:rPr>
        <w:t>7</w:t>
      </w:r>
      <w:r>
        <w:rPr>
          <w:rFonts w:ascii="仿宋" w:eastAsia="仿宋" w:cs="仿宋"/>
          <w:kern w:val="0"/>
          <w:sz w:val="32"/>
          <w:szCs w:val="32"/>
        </w:rPr>
        <w:t>.发售上市期间报送文件的相关承诺，承诺内容应包括</w:t>
      </w:r>
      <w:r>
        <w:rPr>
          <w:rFonts w:hint="eastAsia" w:ascii="仿宋" w:eastAsia="仿宋" w:cs="仿宋"/>
          <w:kern w:val="0"/>
          <w:sz w:val="32"/>
          <w:szCs w:val="32"/>
        </w:rPr>
        <w:t>EIPO平台</w:t>
      </w:r>
      <w:r>
        <w:rPr>
          <w:rFonts w:ascii="仿宋" w:eastAsia="仿宋" w:cs="仿宋"/>
          <w:kern w:val="0"/>
          <w:sz w:val="32"/>
          <w:szCs w:val="32"/>
        </w:rPr>
        <w:t>上传的</w:t>
      </w:r>
      <w:r>
        <w:rPr>
          <w:rFonts w:hint="eastAsia" w:ascii="仿宋" w:eastAsia="仿宋" w:cs="仿宋"/>
          <w:kern w:val="0"/>
          <w:sz w:val="32"/>
          <w:szCs w:val="32"/>
        </w:rPr>
        <w:t>询价公告</w:t>
      </w:r>
      <w:r>
        <w:rPr>
          <w:rFonts w:ascii="仿宋" w:eastAsia="仿宋" w:cs="仿宋"/>
          <w:kern w:val="0"/>
          <w:sz w:val="32"/>
          <w:szCs w:val="32"/>
        </w:rPr>
        <w:t>和填报的网下发</w:t>
      </w:r>
      <w:r>
        <w:rPr>
          <w:rFonts w:hint="eastAsia" w:ascii="仿宋" w:eastAsia="仿宋" w:cs="仿宋"/>
          <w:kern w:val="0"/>
          <w:sz w:val="32"/>
          <w:szCs w:val="32"/>
        </w:rPr>
        <w:t>售</w:t>
      </w:r>
      <w:r>
        <w:rPr>
          <w:rFonts w:ascii="仿宋" w:eastAsia="仿宋" w:cs="仿宋"/>
          <w:kern w:val="0"/>
          <w:sz w:val="32"/>
          <w:szCs w:val="32"/>
        </w:rPr>
        <w:t>参数设置与</w:t>
      </w:r>
      <w:r>
        <w:rPr>
          <w:rFonts w:hint="eastAsia" w:ascii="仿宋" w:eastAsia="仿宋" w:cs="仿宋"/>
          <w:kern w:val="0"/>
          <w:sz w:val="32"/>
          <w:szCs w:val="32"/>
        </w:rPr>
        <w:t>发售方案相关内容一致、对外披露的公告与经本所审核的公告一致；公告内容与发</w:t>
      </w:r>
      <w:r>
        <w:rPr>
          <w:rFonts w:hint="eastAsia" w:ascii="仿宋" w:hAnsi="仿宋" w:eastAsia="仿宋" w:cs="宋体"/>
          <w:sz w:val="32"/>
          <w:szCs w:val="32"/>
        </w:rPr>
        <w:t>售</w:t>
      </w:r>
      <w:r>
        <w:rPr>
          <w:rFonts w:hint="eastAsia" w:ascii="仿宋" w:eastAsia="仿宋" w:cs="仿宋"/>
          <w:kern w:val="0"/>
          <w:sz w:val="32"/>
          <w:szCs w:val="32"/>
        </w:rPr>
        <w:t>方案一致（基金管理人、财务顾问盖章扫描件）。</w:t>
      </w:r>
    </w:p>
    <w:p>
      <w:pPr>
        <w:autoSpaceDE w:val="0"/>
        <w:autoSpaceDN w:val="0"/>
        <w:adjustRightInd w:val="0"/>
        <w:spacing w:after="156" w:afterLines="50" w:line="560" w:lineRule="exact"/>
        <w:ind w:firstLine="640" w:firstLineChars="200"/>
        <w:rPr>
          <w:rFonts w:ascii="仿宋" w:eastAsia="仿宋" w:cs="仿宋"/>
          <w:kern w:val="0"/>
          <w:sz w:val="32"/>
          <w:szCs w:val="32"/>
        </w:rPr>
      </w:pPr>
      <w:r>
        <w:rPr>
          <w:rFonts w:hint="eastAsia" w:ascii="仿宋" w:eastAsia="仿宋" w:cs="仿宋"/>
          <w:kern w:val="0"/>
          <w:sz w:val="32"/>
          <w:szCs w:val="32"/>
        </w:rPr>
        <w:t>8.基金管理人、原始权益人、财务顾问（如有）对</w:t>
      </w:r>
      <w:r>
        <w:rPr>
          <w:rFonts w:hint="eastAsia" w:ascii="仿宋" w:eastAsia="仿宋" w:cs="仿宋"/>
          <w:kern w:val="0"/>
          <w:sz w:val="32"/>
          <w:szCs w:val="32"/>
          <w:lang w:eastAsia="zh-CN"/>
        </w:rPr>
        <w:t>REITs</w:t>
      </w:r>
      <w:r>
        <w:rPr>
          <w:rFonts w:hint="eastAsia" w:ascii="仿宋" w:eastAsia="仿宋" w:cs="仿宋"/>
          <w:kern w:val="0"/>
          <w:sz w:val="32"/>
          <w:szCs w:val="32"/>
        </w:rPr>
        <w:t>获准注册至发</w:t>
      </w:r>
      <w:r>
        <w:rPr>
          <w:rFonts w:hint="eastAsia" w:ascii="仿宋" w:hAnsi="仿宋" w:eastAsia="仿宋" w:cs="宋体"/>
          <w:sz w:val="32"/>
          <w:szCs w:val="32"/>
        </w:rPr>
        <w:t>售</w:t>
      </w:r>
      <w:r>
        <w:rPr>
          <w:rFonts w:hint="eastAsia" w:ascii="仿宋" w:eastAsia="仿宋" w:cs="仿宋"/>
          <w:kern w:val="0"/>
          <w:sz w:val="32"/>
          <w:szCs w:val="32"/>
        </w:rPr>
        <w:t>前不存在可能对</w:t>
      </w:r>
      <w:r>
        <w:rPr>
          <w:rFonts w:hint="eastAsia" w:ascii="仿宋" w:eastAsia="仿宋" w:cs="仿宋"/>
          <w:kern w:val="0"/>
          <w:sz w:val="32"/>
          <w:szCs w:val="32"/>
          <w:lang w:eastAsia="zh-CN"/>
        </w:rPr>
        <w:t>REITs</w:t>
      </w:r>
      <w:r>
        <w:rPr>
          <w:rFonts w:hint="eastAsia" w:ascii="仿宋" w:eastAsia="仿宋" w:cs="仿宋"/>
          <w:kern w:val="0"/>
          <w:sz w:val="32"/>
          <w:szCs w:val="32"/>
        </w:rPr>
        <w:t>投资价值及投资决策判断有重大影响事项的</w:t>
      </w:r>
      <w:r>
        <w:rPr>
          <w:rFonts w:ascii="仿宋" w:eastAsia="仿宋" w:cs="仿宋"/>
          <w:kern w:val="0"/>
          <w:sz w:val="32"/>
          <w:szCs w:val="32"/>
        </w:rPr>
        <w:t>承诺</w:t>
      </w:r>
      <w:r>
        <w:rPr>
          <w:rFonts w:hint="eastAsia" w:ascii="仿宋" w:eastAsia="仿宋" w:cs="仿宋"/>
          <w:kern w:val="0"/>
          <w:sz w:val="32"/>
          <w:szCs w:val="32"/>
        </w:rPr>
        <w:t>（基金管理人、原始权益人、财务顾问盖章扫描件）。</w:t>
      </w:r>
    </w:p>
    <w:p>
      <w:pPr>
        <w:autoSpaceDE w:val="0"/>
        <w:autoSpaceDN w:val="0"/>
        <w:adjustRightInd w:val="0"/>
        <w:spacing w:after="156" w:afterLines="50" w:line="560" w:lineRule="exact"/>
        <w:ind w:firstLine="640" w:firstLineChars="200"/>
        <w:rPr>
          <w:rFonts w:ascii="仿宋" w:eastAsia="仿宋" w:cs="仿宋"/>
          <w:kern w:val="0"/>
          <w:sz w:val="32"/>
          <w:szCs w:val="32"/>
        </w:rPr>
      </w:pPr>
      <w:r>
        <w:rPr>
          <w:rFonts w:hint="eastAsia" w:ascii="仿宋" w:eastAsia="仿宋" w:cs="仿宋"/>
          <w:kern w:val="0"/>
          <w:sz w:val="32"/>
          <w:szCs w:val="32"/>
        </w:rPr>
        <w:t>本所收到基金管理人的发售方案</w:t>
      </w:r>
      <w:r>
        <w:rPr>
          <w:rFonts w:ascii="仿宋" w:eastAsia="仿宋" w:cs="仿宋"/>
          <w:kern w:val="0"/>
          <w:sz w:val="32"/>
          <w:szCs w:val="32"/>
        </w:rPr>
        <w:t>5</w:t>
      </w:r>
      <w:r>
        <w:rPr>
          <w:rFonts w:hint="eastAsia" w:ascii="仿宋" w:eastAsia="仿宋" w:cs="仿宋"/>
          <w:kern w:val="0"/>
          <w:sz w:val="32"/>
          <w:szCs w:val="32"/>
        </w:rPr>
        <w:t>个工作日内无异议的，基金管理人可正式启动发</w:t>
      </w:r>
      <w:r>
        <w:rPr>
          <w:rFonts w:hint="eastAsia" w:ascii="仿宋" w:hAnsi="仿宋" w:eastAsia="仿宋" w:cs="宋体"/>
          <w:sz w:val="32"/>
          <w:szCs w:val="32"/>
        </w:rPr>
        <w:t>售</w:t>
      </w:r>
      <w:r>
        <w:rPr>
          <w:rFonts w:hint="eastAsia" w:ascii="仿宋" w:eastAsia="仿宋" w:cs="仿宋"/>
          <w:kern w:val="0"/>
          <w:sz w:val="32"/>
          <w:szCs w:val="32"/>
        </w:rPr>
        <w:t>。基金管理人</w:t>
      </w:r>
      <w:r>
        <w:rPr>
          <w:rFonts w:hint="eastAsia" w:ascii="仿宋" w:hAnsi="仿宋" w:eastAsia="仿宋"/>
          <w:sz w:val="32"/>
          <w:szCs w:val="32"/>
        </w:rPr>
        <w:t>报送的发售方案不符合《深圳证券交易所公开募集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基金业务指引第2号——发售业务（试行）》（以下简称《发售指引》）规定</w:t>
      </w:r>
      <w:r>
        <w:rPr>
          <w:rFonts w:hint="eastAsia" w:ascii="仿宋" w:hAnsi="仿宋" w:eastAsia="仿宋" w:cs="宋体"/>
          <w:kern w:val="0"/>
          <w:sz w:val="32"/>
          <w:szCs w:val="32"/>
        </w:rPr>
        <w:t>或其他相关要求</w:t>
      </w:r>
      <w:r>
        <w:rPr>
          <w:rFonts w:hint="eastAsia" w:ascii="仿宋" w:hAnsi="仿宋" w:eastAsia="仿宋"/>
          <w:sz w:val="32"/>
          <w:szCs w:val="32"/>
        </w:rPr>
        <w:t>的，应当按照本所要求予以补正，补正时间不计入前述</w:t>
      </w:r>
      <w:r>
        <w:rPr>
          <w:rFonts w:ascii="仿宋" w:hAnsi="仿宋" w:eastAsia="仿宋"/>
          <w:sz w:val="32"/>
          <w:szCs w:val="32"/>
        </w:rPr>
        <w:t>5</w:t>
      </w:r>
      <w:r>
        <w:rPr>
          <w:rFonts w:hint="eastAsia" w:ascii="仿宋" w:hAnsi="仿宋" w:eastAsia="仿宋"/>
          <w:sz w:val="32"/>
          <w:szCs w:val="32"/>
        </w:rPr>
        <w:t>个工作日内。</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注：1.上述文件应在当日13:00前提交。如在当日13:00后提交的，当日不纳入《发售指引》规定的5个工作日内。</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2.上述材料需由基金管理人、财务顾问</w:t>
      </w:r>
      <w:r>
        <w:rPr>
          <w:rFonts w:ascii="仿宋" w:hAnsi="仿宋" w:eastAsia="仿宋"/>
          <w:sz w:val="32"/>
          <w:szCs w:val="32"/>
        </w:rPr>
        <w:t>盖章</w:t>
      </w:r>
      <w:r>
        <w:rPr>
          <w:rFonts w:hint="eastAsia" w:ascii="仿宋" w:hAnsi="仿宋" w:eastAsia="仿宋"/>
          <w:sz w:val="32"/>
          <w:szCs w:val="32"/>
        </w:rPr>
        <w:t>的，如未聘请财务顾问，由基金管理人盖章即可。</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正式启动发售后，基金管理人、财务顾问（如有）应按照发售方案中列明的时间表和相关工作安排推进发售上市工作。启动发售后，基金管理人不得再对发售方案作出修改。如因特殊情况需要对发售方案作出重大调整的，应当及时通知本所。</w:t>
      </w:r>
    </w:p>
    <w:p>
      <w:pPr>
        <w:pStyle w:val="5"/>
        <w:keepNext w:val="0"/>
        <w:keepLines w:val="0"/>
        <w:spacing w:before="0" w:after="156" w:afterLines="50" w:line="560" w:lineRule="exact"/>
        <w:ind w:firstLine="640" w:firstLineChars="200"/>
      </w:pPr>
      <w:bookmarkStart w:id="41" w:name="_Toc59024553"/>
      <w:bookmarkStart w:id="42" w:name="_Toc70590172"/>
      <w:bookmarkStart w:id="43" w:name="_Toc28945"/>
      <w:bookmarkStart w:id="44" w:name="_Toc29907"/>
      <w:bookmarkStart w:id="45" w:name="_Toc16907"/>
      <w:bookmarkStart w:id="46" w:name="_Toc12824"/>
      <w:r>
        <w:rPr>
          <w:rFonts w:hint="eastAsia"/>
        </w:rPr>
        <w:t>（二）披露《</w:t>
      </w:r>
      <w:r>
        <w:t>询价公告</w:t>
      </w:r>
      <w:r>
        <w:rPr>
          <w:rFonts w:hint="eastAsia"/>
        </w:rPr>
        <w:t>》</w:t>
      </w:r>
      <w:bookmarkEnd w:id="41"/>
      <w:bookmarkEnd w:id="42"/>
      <w:bookmarkEnd w:id="43"/>
      <w:bookmarkEnd w:id="44"/>
      <w:bookmarkEnd w:id="45"/>
      <w:bookmarkEnd w:id="46"/>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1.“发售方案报备（</w:t>
      </w:r>
      <w:r>
        <w:rPr>
          <w:rFonts w:hint="eastAsia" w:ascii="仿宋" w:hAnsi="仿宋" w:eastAsia="仿宋"/>
          <w:sz w:val="32"/>
          <w:szCs w:val="32"/>
          <w:lang w:eastAsia="zh-CN"/>
        </w:rPr>
        <w:t>REITs</w:t>
      </w:r>
      <w:r>
        <w:rPr>
          <w:rFonts w:hint="eastAsia" w:ascii="仿宋" w:hAnsi="仿宋" w:eastAsia="仿宋"/>
          <w:sz w:val="32"/>
          <w:szCs w:val="32"/>
        </w:rPr>
        <w:t>）”经本所通过后，基金管理人</w:t>
      </w:r>
      <w:r>
        <w:rPr>
          <w:rFonts w:hint="eastAsia" w:ascii="仿宋" w:eastAsia="仿宋" w:cs="仿宋"/>
          <w:kern w:val="0"/>
          <w:sz w:val="32"/>
          <w:szCs w:val="32"/>
        </w:rPr>
        <w:t>在</w:t>
      </w:r>
      <w:r>
        <w:rPr>
          <w:rFonts w:hint="eastAsia" w:ascii="仿宋" w:hAnsi="仿宋" w:eastAsia="仿宋"/>
          <w:sz w:val="32"/>
          <w:szCs w:val="32"/>
        </w:rPr>
        <w:t>刊登询价公告的1个交易日前（X-4日前），通过基金业务专区的“业务办理—&gt;信息披露—&gt;基金募集—&gt;询价公告（REITs）”提交询价公告信息披露申请（关联“发售方案报备（REITs）”），</w:t>
      </w:r>
      <w:r>
        <w:rPr>
          <w:rFonts w:hint="eastAsia" w:ascii="仿宋" w:eastAsia="仿宋" w:cs="仿宋"/>
          <w:kern w:val="0"/>
          <w:sz w:val="32"/>
          <w:szCs w:val="32"/>
        </w:rPr>
        <w:t xml:space="preserve"> 经本所核对后，基金管理人在</w:t>
      </w:r>
      <w:r>
        <w:rPr>
          <w:rFonts w:hint="eastAsia" w:ascii="仿宋" w:hAnsi="仿宋" w:eastAsia="仿宋"/>
          <w:sz w:val="32"/>
          <w:szCs w:val="32"/>
        </w:rPr>
        <w:t>询价日3个交易日前（X-3日前）在中国证监会规定的媒介及本所网站上刊登询价公告、基金合同、招募说明书、基金产品资料概要、托管协议。</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ascii="仿宋" w:hAnsi="仿宋" w:eastAsia="仿宋"/>
          <w:sz w:val="32"/>
          <w:szCs w:val="32"/>
        </w:rPr>
        <w:t>2.询价公告刊登后，网下投资者向基金管理人提交</w:t>
      </w:r>
      <w:r>
        <w:rPr>
          <w:rFonts w:hint="eastAsia" w:ascii="仿宋" w:hAnsi="仿宋" w:eastAsia="仿宋"/>
          <w:sz w:val="32"/>
          <w:szCs w:val="32"/>
        </w:rPr>
        <w:t>询价资格核查资料，基金管理人进行核查。若基金管理人聘请财务顾问的，网下投资者向财务顾问提交核查资料，财务顾问进行核查。</w:t>
      </w:r>
    </w:p>
    <w:p>
      <w:pPr>
        <w:pStyle w:val="5"/>
        <w:keepNext w:val="0"/>
        <w:keepLines w:val="0"/>
        <w:spacing w:before="0" w:after="156" w:afterLines="50" w:line="560" w:lineRule="exact"/>
        <w:ind w:firstLine="640" w:firstLineChars="200"/>
      </w:pPr>
      <w:bookmarkStart w:id="47" w:name="_Toc19019"/>
      <w:bookmarkStart w:id="48" w:name="_Toc22103"/>
      <w:bookmarkStart w:id="49" w:name="_Toc70590173"/>
      <w:bookmarkStart w:id="50" w:name="_Toc3697"/>
      <w:bookmarkStart w:id="51" w:name="_Toc14561"/>
      <w:r>
        <w:rPr>
          <w:rFonts w:hint="eastAsia"/>
        </w:rPr>
        <w:t>（三）提交网下发售申请</w:t>
      </w:r>
      <w:bookmarkEnd w:id="47"/>
      <w:bookmarkEnd w:id="48"/>
      <w:bookmarkEnd w:id="49"/>
      <w:bookmarkEnd w:id="50"/>
      <w:bookmarkEnd w:id="51"/>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网下询价日前1个交易日（X-1日）上午</w:t>
      </w:r>
      <w:r>
        <w:rPr>
          <w:rFonts w:ascii="仿宋" w:hAnsi="仿宋" w:eastAsia="仿宋"/>
          <w:sz w:val="32"/>
          <w:szCs w:val="32"/>
        </w:rPr>
        <w:t>10</w:t>
      </w:r>
      <w:r>
        <w:rPr>
          <w:rFonts w:hint="eastAsia" w:ascii="仿宋" w:hAnsi="仿宋" w:eastAsia="仿宋"/>
          <w:sz w:val="32"/>
          <w:szCs w:val="32"/>
        </w:rPr>
        <w:t>点前，基金管理人或财务顾问（若聘请财务顾问，由财务顾问办理，未聘请财务顾问的，由基金管理人办理，下同）需通过</w:t>
      </w:r>
      <w:r>
        <w:rPr>
          <w:rFonts w:ascii="仿宋" w:hAnsi="仿宋" w:eastAsia="仿宋"/>
          <w:sz w:val="32"/>
          <w:szCs w:val="32"/>
        </w:rPr>
        <w:t>EIPO</w:t>
      </w:r>
      <w:r>
        <w:rPr>
          <w:rFonts w:hint="eastAsia" w:ascii="仿宋" w:hAnsi="仿宋" w:eastAsia="仿宋"/>
          <w:sz w:val="32"/>
          <w:szCs w:val="32"/>
        </w:rPr>
        <w:t>平台录入网下发售基本信息（录入2次，且比对一致）并提交发售申请。</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X-1日21：00前，基金管理人或财务顾问需在EIPO平台</w:t>
      </w:r>
      <w:r>
        <w:rPr>
          <w:rFonts w:ascii="仿宋" w:hAnsi="仿宋" w:eastAsia="仿宋"/>
          <w:sz w:val="32"/>
          <w:szCs w:val="32"/>
        </w:rPr>
        <w:t>剔除不满足其要求的网下投资者及配售对象</w:t>
      </w:r>
      <w:r>
        <w:rPr>
          <w:rFonts w:hint="eastAsia" w:ascii="仿宋" w:hAnsi="仿宋" w:eastAsia="仿宋"/>
          <w:sz w:val="32"/>
          <w:szCs w:val="32"/>
        </w:rPr>
        <w:t>，剔除原始权益人及其关联方、基金管理人、财务顾问、战略投资者以及其他与定价存在利益冲突的主体</w:t>
      </w:r>
      <w:r>
        <w:rPr>
          <w:rFonts w:ascii="仿宋" w:hAnsi="仿宋" w:eastAsia="仿宋"/>
          <w:sz w:val="32"/>
          <w:szCs w:val="32"/>
        </w:rPr>
        <w:t>，</w:t>
      </w:r>
      <w:r>
        <w:rPr>
          <w:rFonts w:hint="eastAsia" w:ascii="仿宋" w:hAnsi="仿宋" w:eastAsia="仿宋"/>
          <w:sz w:val="32"/>
          <w:szCs w:val="32"/>
        </w:rPr>
        <w:t>确认可参与询价的网下投资者及配售对象相关信息。</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询价投资者确定完成后，询价开始前，基金管理人或财务顾问须启动询价，可以在询价启动页面上传询价公告、评估报告等相关文件。</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基金管理人或财务顾问</w:t>
      </w:r>
      <w:r>
        <w:rPr>
          <w:rFonts w:ascii="仿宋" w:hAnsi="仿宋" w:eastAsia="仿宋"/>
          <w:sz w:val="32"/>
          <w:szCs w:val="32"/>
        </w:rPr>
        <w:t>需要在EIPO平台上完成的操作请参考《</w:t>
      </w:r>
      <w:r>
        <w:rPr>
          <w:rFonts w:hint="eastAsia" w:ascii="仿宋" w:hAnsi="仿宋" w:eastAsia="仿宋"/>
          <w:sz w:val="32"/>
          <w:szCs w:val="32"/>
        </w:rPr>
        <w:t>发售指引</w:t>
      </w:r>
      <w:r>
        <w:rPr>
          <w:rFonts w:ascii="仿宋" w:hAnsi="仿宋" w:eastAsia="仿宋"/>
          <w:sz w:val="32"/>
          <w:szCs w:val="32"/>
        </w:rPr>
        <w:t>》</w:t>
      </w:r>
      <w:r>
        <w:rPr>
          <w:rFonts w:hint="eastAsia" w:ascii="仿宋" w:hAnsi="仿宋" w:eastAsia="仿宋"/>
          <w:sz w:val="32"/>
          <w:szCs w:val="32"/>
        </w:rPr>
        <w:t>《深圳证券交易所公开募集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基金业务指南第2号——网下发行电子平台用户手册》</w:t>
      </w:r>
      <w:r>
        <w:rPr>
          <w:rFonts w:ascii="仿宋" w:hAnsi="仿宋" w:eastAsia="仿宋"/>
          <w:sz w:val="32"/>
          <w:szCs w:val="32"/>
        </w:rPr>
        <w:t>和</w:t>
      </w:r>
      <w:r>
        <w:rPr>
          <w:rFonts w:hint="eastAsia" w:ascii="仿宋" w:hAnsi="仿宋" w:eastAsia="仿宋"/>
          <w:sz w:val="32"/>
          <w:szCs w:val="32"/>
          <w:lang w:eastAsia="zh-CN"/>
        </w:rPr>
        <w:t>不动产</w:t>
      </w:r>
      <w:r>
        <w:rPr>
          <w:rFonts w:hint="eastAsia" w:ascii="仿宋" w:hAnsi="仿宋" w:eastAsia="仿宋"/>
          <w:sz w:val="32"/>
          <w:szCs w:val="32"/>
        </w:rPr>
        <w:t>基金</w:t>
      </w:r>
      <w:r>
        <w:rPr>
          <w:rFonts w:ascii="仿宋" w:hAnsi="仿宋" w:eastAsia="仿宋"/>
          <w:sz w:val="32"/>
          <w:szCs w:val="32"/>
        </w:rPr>
        <w:t>EIPO平台操作时间节点</w:t>
      </w:r>
      <w:r>
        <w:rPr>
          <w:rFonts w:hint="eastAsia" w:ascii="仿宋" w:hAnsi="仿宋" w:eastAsia="仿宋"/>
          <w:sz w:val="32"/>
          <w:szCs w:val="32"/>
        </w:rPr>
        <w:t>（见附件2）</w:t>
      </w:r>
      <w:r>
        <w:rPr>
          <w:rFonts w:ascii="仿宋" w:hAnsi="仿宋" w:eastAsia="仿宋"/>
          <w:sz w:val="32"/>
          <w:szCs w:val="32"/>
        </w:rPr>
        <w:t>。</w:t>
      </w:r>
    </w:p>
    <w:p>
      <w:pPr>
        <w:pStyle w:val="5"/>
        <w:keepNext w:val="0"/>
        <w:keepLines w:val="0"/>
        <w:spacing w:before="0" w:after="156" w:afterLines="50" w:line="560" w:lineRule="exact"/>
        <w:ind w:firstLine="640" w:firstLineChars="200"/>
      </w:pPr>
      <w:bookmarkStart w:id="52" w:name="_Toc59024556"/>
      <w:bookmarkStart w:id="53" w:name="_Toc17951"/>
      <w:bookmarkStart w:id="54" w:name="_Toc70590174"/>
      <w:bookmarkStart w:id="55" w:name="_Toc18525"/>
      <w:bookmarkStart w:id="56" w:name="_Toc18450"/>
      <w:bookmarkStart w:id="57" w:name="_Toc6804"/>
      <w:r>
        <w:rPr>
          <w:rFonts w:hint="eastAsia"/>
        </w:rPr>
        <w:t>（四）网下投资者</w:t>
      </w:r>
      <w:bookmarkEnd w:id="52"/>
      <w:r>
        <w:rPr>
          <w:rFonts w:hint="eastAsia"/>
        </w:rPr>
        <w:t>询价</w:t>
      </w:r>
      <w:bookmarkEnd w:id="53"/>
      <w:bookmarkEnd w:id="54"/>
      <w:bookmarkEnd w:id="55"/>
      <w:bookmarkEnd w:id="56"/>
      <w:bookmarkEnd w:id="57"/>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网下投资者在EIPO平台参与询价</w:t>
      </w:r>
      <w:r>
        <w:rPr>
          <w:rFonts w:hint="eastAsia" w:ascii="仿宋" w:hAnsi="仿宋" w:eastAsia="仿宋"/>
          <w:sz w:val="32"/>
          <w:szCs w:val="32"/>
        </w:rPr>
        <w:t>，询价原则上为1个交易日。</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2.询价日9：30—15：00，网下投资者可为其管理的不同配售对象分别报价，每个配售对象报价不得超过1个，同一网下投资者全部报价中的不同拟认购价格不得超过3个。</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网下</w:t>
      </w:r>
      <w:r>
        <w:rPr>
          <w:rFonts w:ascii="仿宋" w:hAnsi="仿宋" w:eastAsia="仿宋"/>
          <w:sz w:val="32"/>
          <w:szCs w:val="32"/>
        </w:rPr>
        <w:t>投资者需要在</w:t>
      </w:r>
      <w:r>
        <w:rPr>
          <w:rFonts w:hint="eastAsia" w:ascii="仿宋" w:hAnsi="仿宋" w:eastAsia="仿宋"/>
          <w:sz w:val="32"/>
          <w:szCs w:val="32"/>
        </w:rPr>
        <w:t>EIPO平台</w:t>
      </w:r>
      <w:r>
        <w:rPr>
          <w:rFonts w:ascii="仿宋" w:hAnsi="仿宋" w:eastAsia="仿宋"/>
          <w:sz w:val="32"/>
          <w:szCs w:val="32"/>
        </w:rPr>
        <w:t>上完成的操作请参考《</w:t>
      </w:r>
      <w:r>
        <w:rPr>
          <w:rFonts w:hint="eastAsia" w:ascii="仿宋" w:hAnsi="仿宋" w:eastAsia="仿宋"/>
          <w:sz w:val="32"/>
          <w:szCs w:val="32"/>
        </w:rPr>
        <w:t>发售指引</w:t>
      </w:r>
      <w:r>
        <w:rPr>
          <w:rFonts w:ascii="仿宋" w:hAnsi="仿宋" w:eastAsia="仿宋"/>
          <w:sz w:val="32"/>
          <w:szCs w:val="32"/>
        </w:rPr>
        <w:t>》</w:t>
      </w:r>
      <w:r>
        <w:rPr>
          <w:rFonts w:hint="eastAsia" w:ascii="仿宋" w:hAnsi="仿宋" w:eastAsia="仿宋"/>
          <w:sz w:val="32"/>
          <w:szCs w:val="32"/>
        </w:rPr>
        <w:t>《深圳证券交易所公开募集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基金业务指南第2号——网下发行电子平台用户手册》</w:t>
      </w:r>
      <w:r>
        <w:rPr>
          <w:rFonts w:ascii="仿宋" w:hAnsi="仿宋" w:eastAsia="仿宋"/>
          <w:sz w:val="32"/>
          <w:szCs w:val="32"/>
        </w:rPr>
        <w:t>。</w:t>
      </w:r>
      <w:bookmarkStart w:id="58" w:name="_Toc59024557"/>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3.若出现中止发售情形，具体流程详见本章第五部分“特殊情形处理”。</w:t>
      </w:r>
    </w:p>
    <w:bookmarkEnd w:id="58"/>
    <w:p>
      <w:pPr>
        <w:pStyle w:val="2"/>
        <w:keepNext w:val="0"/>
        <w:keepLines w:val="0"/>
        <w:spacing w:before="0" w:after="156" w:afterLines="50"/>
        <w:ind w:firstLine="640"/>
      </w:pPr>
      <w:bookmarkStart w:id="59" w:name="_Toc59024558"/>
      <w:bookmarkStart w:id="60" w:name="_Toc70590175"/>
      <w:bookmarkStart w:id="61" w:name="_Toc2921"/>
      <w:bookmarkStart w:id="62" w:name="_Toc13031"/>
      <w:bookmarkStart w:id="63" w:name="_Toc17494"/>
      <w:bookmarkStart w:id="64" w:name="_Toc9939"/>
      <w:r>
        <w:rPr>
          <w:rFonts w:hint="eastAsia"/>
        </w:rPr>
        <w:t>三、认购</w:t>
      </w:r>
      <w:bookmarkEnd w:id="59"/>
      <w:bookmarkEnd w:id="60"/>
      <w:bookmarkEnd w:id="61"/>
      <w:bookmarkEnd w:id="62"/>
      <w:bookmarkEnd w:id="63"/>
      <w:bookmarkEnd w:id="64"/>
    </w:p>
    <w:p>
      <w:pPr>
        <w:pStyle w:val="5"/>
        <w:keepNext w:val="0"/>
        <w:keepLines w:val="0"/>
        <w:spacing w:before="0" w:after="156" w:afterLines="50" w:line="560" w:lineRule="exact"/>
        <w:ind w:firstLine="640" w:firstLineChars="200"/>
      </w:pPr>
      <w:bookmarkStart w:id="65" w:name="_Toc59024559"/>
      <w:bookmarkStart w:id="66" w:name="_Toc25720"/>
      <w:bookmarkStart w:id="67" w:name="_Toc70590176"/>
      <w:bookmarkStart w:id="68" w:name="_Toc11201"/>
      <w:bookmarkStart w:id="69" w:name="_Toc16152"/>
      <w:bookmarkStart w:id="70" w:name="_Toc28477"/>
      <w:r>
        <w:rPr>
          <w:rFonts w:hint="eastAsia"/>
        </w:rPr>
        <w:t>（一）</w:t>
      </w:r>
      <w:bookmarkEnd w:id="65"/>
      <w:r>
        <w:rPr>
          <w:rFonts w:hint="eastAsia"/>
        </w:rPr>
        <w:t>提交上网发售业务申请</w:t>
      </w:r>
      <w:bookmarkEnd w:id="66"/>
      <w:bookmarkEnd w:id="67"/>
      <w:bookmarkEnd w:id="68"/>
      <w:bookmarkEnd w:id="69"/>
      <w:bookmarkEnd w:id="70"/>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rPr>
        <w:t xml:space="preserve"> </w:t>
      </w:r>
      <w:r>
        <w:rPr>
          <w:rFonts w:hint="eastAsia" w:ascii="仿宋" w:hAnsi="仿宋" w:eastAsia="仿宋"/>
          <w:sz w:val="32"/>
          <w:szCs w:val="32"/>
        </w:rPr>
        <w:t>询价日次一交易日（X+1日），基金管理人、财务顾问（如有）根据</w:t>
      </w:r>
      <w:r>
        <w:rPr>
          <w:rFonts w:ascii="仿宋" w:hAnsi="仿宋" w:eastAsia="仿宋"/>
          <w:sz w:val="32"/>
          <w:szCs w:val="32"/>
        </w:rPr>
        <w:t>询价结果，确定发售价格</w:t>
      </w:r>
      <w:r>
        <w:rPr>
          <w:rFonts w:hint="eastAsia" w:ascii="仿宋" w:hAnsi="仿宋" w:eastAsia="仿宋"/>
          <w:sz w:val="32"/>
          <w:szCs w:val="32"/>
        </w:rPr>
        <w:t>、</w:t>
      </w:r>
      <w:r>
        <w:rPr>
          <w:rFonts w:ascii="仿宋" w:hAnsi="仿宋" w:eastAsia="仿宋"/>
          <w:sz w:val="32"/>
          <w:szCs w:val="32"/>
        </w:rPr>
        <w:t>有效报价配售对象名单及最终的</w:t>
      </w:r>
      <w:r>
        <w:rPr>
          <w:rFonts w:hint="eastAsia" w:ascii="仿宋" w:hAnsi="仿宋" w:eastAsia="仿宋"/>
          <w:sz w:val="32"/>
          <w:szCs w:val="32"/>
        </w:rPr>
        <w:t>网下发售份额</w:t>
      </w:r>
      <w:r>
        <w:rPr>
          <w:rFonts w:ascii="仿宋" w:hAnsi="仿宋" w:eastAsia="仿宋"/>
          <w:sz w:val="32"/>
          <w:szCs w:val="32"/>
        </w:rPr>
        <w:t>数量</w:t>
      </w:r>
      <w:r>
        <w:rPr>
          <w:rFonts w:hint="eastAsia" w:ascii="仿宋" w:hAnsi="仿宋" w:eastAsia="仿宋"/>
          <w:sz w:val="32"/>
          <w:szCs w:val="32"/>
        </w:rPr>
        <w:t>。若出现需要披露投资风险特别公告情形，具体流程详见本章第五部分“特殊情形处理”。</w:t>
      </w:r>
    </w:p>
    <w:p>
      <w:pPr>
        <w:spacing w:after="156" w:afterLines="50" w:line="560" w:lineRule="exact"/>
        <w:ind w:firstLine="640" w:firstLineChars="200"/>
        <w:rPr>
          <w:rFonts w:ascii="仿宋" w:hAnsi="仿宋" w:eastAsia="仿宋"/>
          <w:sz w:val="32"/>
          <w:szCs w:val="32"/>
        </w:rPr>
      </w:pPr>
      <w:r>
        <w:rPr>
          <w:rFonts w:hint="eastAsia" w:ascii="仿宋" w:eastAsia="仿宋" w:cs="仿宋"/>
          <w:kern w:val="0"/>
          <w:sz w:val="32"/>
          <w:szCs w:val="32"/>
        </w:rPr>
        <w:t>2.基金管理人</w:t>
      </w:r>
      <w:r>
        <w:rPr>
          <w:rFonts w:hint="eastAsia" w:ascii="仿宋" w:hAnsi="仿宋" w:eastAsia="仿宋"/>
          <w:sz w:val="32"/>
          <w:szCs w:val="32"/>
        </w:rPr>
        <w:t>通过基金业务专区中“业务办理—&gt;基础资料维护—&gt;基金基础资料”维护基金资料。</w:t>
      </w:r>
    </w:p>
    <w:p>
      <w:pPr>
        <w:spacing w:after="156" w:afterLines="50" w:line="560" w:lineRule="exact"/>
        <w:ind w:firstLine="640" w:firstLineChars="200"/>
        <w:rPr>
          <w:rFonts w:ascii="仿宋" w:hAnsi="仿宋" w:eastAsia="仿宋"/>
          <w:sz w:val="32"/>
          <w:szCs w:val="32"/>
        </w:rPr>
      </w:pPr>
      <w:r>
        <w:rPr>
          <w:rFonts w:hint="eastAsia" w:ascii="仿宋" w:eastAsia="仿宋" w:cs="仿宋"/>
          <w:kern w:val="0"/>
          <w:sz w:val="32"/>
          <w:szCs w:val="32"/>
        </w:rPr>
        <w:t>3.基金管理人在刊登发售公告2个交易日前，通过基金业务专区的“业务办理—&gt;基金发行”提交上网发售业务申请。</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eastAsia="仿宋" w:cs="仿宋"/>
          <w:kern w:val="0"/>
          <w:sz w:val="32"/>
          <w:szCs w:val="32"/>
        </w:rPr>
        <w:t>申请表单填报注意事项：</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eastAsia="仿宋" w:cs="仿宋"/>
          <w:kern w:val="0"/>
          <w:sz w:val="32"/>
          <w:szCs w:val="32"/>
        </w:rPr>
        <w:t>发售价格:填写通过询价后确定的认购价格；上网发售额度:填写询价后确定的公众投资者发售份额数量；基金管理人接收基金认购清算数据路径：选择“中国</w:t>
      </w:r>
      <w:r>
        <w:rPr>
          <w:rFonts w:hint="eastAsia" w:ascii="仿宋" w:hAnsi="仿宋" w:eastAsia="仿宋"/>
          <w:sz w:val="32"/>
          <w:szCs w:val="32"/>
        </w:rPr>
        <w:t>结算总公司TA系统”；每笔认购份额下限：填写1000份；</w:t>
      </w:r>
      <w:r>
        <w:rPr>
          <w:b/>
          <w:bCs/>
        </w:rPr>
        <w:t xml:space="preserve"> </w:t>
      </w:r>
      <w:r>
        <w:rPr>
          <w:rFonts w:ascii="仿宋" w:hAnsi="仿宋" w:eastAsia="仿宋"/>
          <w:sz w:val="32"/>
          <w:szCs w:val="32"/>
        </w:rPr>
        <w:t>是否末日比例配售</w:t>
      </w:r>
      <w:r>
        <w:rPr>
          <w:rFonts w:hint="eastAsia" w:ascii="仿宋" w:hAnsi="仿宋" w:eastAsia="仿宋"/>
          <w:sz w:val="32"/>
          <w:szCs w:val="32"/>
        </w:rPr>
        <w:t>：选择“是”；募集期：原则上不得超过5个交易日。</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4.上网发售业务所需的文件：</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（1）基金上网发售</w:t>
      </w:r>
      <w:r>
        <w:rPr>
          <w:rFonts w:hint="eastAsia" w:ascii="仿宋" w:hAnsi="仿宋" w:eastAsia="仿宋"/>
          <w:sz w:val="32"/>
          <w:szCs w:val="32"/>
          <w:lang w:eastAsia="zh-CN"/>
        </w:rPr>
        <w:t>业务</w:t>
      </w:r>
      <w:r>
        <w:rPr>
          <w:rFonts w:hint="eastAsia" w:ascii="仿宋" w:hAnsi="仿宋" w:eastAsia="仿宋"/>
          <w:sz w:val="32"/>
          <w:szCs w:val="32"/>
        </w:rPr>
        <w:t>申请（基金管理人盖章扫描件）</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（2）基金份额发售公告（</w:t>
      </w:r>
      <w:r>
        <w:rPr>
          <w:rFonts w:hint="eastAsia" w:ascii="仿宋" w:eastAsia="仿宋" w:cs="仿宋"/>
          <w:kern w:val="0"/>
          <w:sz w:val="32"/>
          <w:szCs w:val="32"/>
        </w:rPr>
        <w:t>必备要素参考附件4-2</w:t>
      </w:r>
      <w:r>
        <w:rPr>
          <w:rFonts w:hint="eastAsia" w:ascii="仿宋" w:hAnsi="仿宋" w:eastAsia="仿宋"/>
          <w:sz w:val="32"/>
          <w:szCs w:val="32"/>
        </w:rPr>
        <w:t>）；</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（3）基金管理人关于战略投资者配售资格的专项核查报告（与发售方案报备时提交的材料为同一份）；</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（4）律师事务所关于战略投资者核查事项的法律意见书（与发售方案报备时提交的材料为同一份）；</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（5）《基金认购、申购和赎回服务协议》（每家基金管理人签署并提交一次，须填写签订日期，如已经签订无须提交，盖章扫描件）。</w:t>
      </w:r>
    </w:p>
    <w:p>
      <w:pPr>
        <w:pStyle w:val="5"/>
        <w:keepNext w:val="0"/>
        <w:keepLines w:val="0"/>
        <w:spacing w:before="0" w:after="156" w:afterLines="50" w:line="560" w:lineRule="exact"/>
        <w:ind w:firstLine="640" w:firstLineChars="200"/>
      </w:pPr>
      <w:bookmarkStart w:id="71" w:name="_Toc24046"/>
      <w:bookmarkStart w:id="72" w:name="_Toc70590177"/>
      <w:bookmarkStart w:id="73" w:name="_Toc6619"/>
      <w:bookmarkStart w:id="74" w:name="_Toc5400"/>
      <w:bookmarkStart w:id="75" w:name="_Toc2797"/>
      <w:r>
        <w:rPr>
          <w:rFonts w:hint="eastAsia"/>
        </w:rPr>
        <w:t>（二）披露《发售公告》</w:t>
      </w:r>
      <w:bookmarkEnd w:id="71"/>
      <w:bookmarkEnd w:id="72"/>
      <w:bookmarkEnd w:id="73"/>
      <w:bookmarkEnd w:id="74"/>
      <w:bookmarkEnd w:id="75"/>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上网发售业务经本所确认通过后，基金管理人通过基金业务专区中的“业务办理—&gt;信息披露—&gt;基金募集—&gt;发售公告（REITs）”提交信息披露申请（关联“基金发行”），经本所核对后，基金管理人在基金募集期首日的3个自然日（T-3日）之前披露基金份额发售公告、基金管理人关于战略投资者配售资格的专项核查报告、律师事务所关于战略投资者核查事项的法律意见书</w:t>
      </w:r>
      <w:bookmarkStart w:id="76" w:name="_Toc59024561"/>
      <w:r>
        <w:rPr>
          <w:rFonts w:hint="eastAsia" w:ascii="仿宋" w:hAnsi="仿宋" w:eastAsia="仿宋"/>
          <w:sz w:val="32"/>
          <w:szCs w:val="32"/>
        </w:rPr>
        <w:t>。</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《发售公告》披露后，基金管理人或财务顾问应于基金份额募集期首日前，通过EIPO平台录入并提交确定的基金份额认购价格、网下发售基金份额数量等认购参数并启动网下认购。</w:t>
      </w:r>
    </w:p>
    <w:p>
      <w:pPr>
        <w:pStyle w:val="5"/>
        <w:keepNext w:val="0"/>
        <w:keepLines w:val="0"/>
        <w:spacing w:before="0" w:after="156" w:afterLines="50" w:line="560" w:lineRule="exact"/>
        <w:ind w:firstLine="640" w:firstLineChars="200"/>
      </w:pPr>
      <w:bookmarkStart w:id="77" w:name="_Toc25085"/>
      <w:bookmarkStart w:id="78" w:name="_Toc3293"/>
      <w:bookmarkStart w:id="79" w:name="_Toc12360"/>
      <w:bookmarkStart w:id="80" w:name="_Toc11052"/>
      <w:bookmarkStart w:id="81" w:name="_Toc70590178"/>
      <w:r>
        <w:rPr>
          <w:rFonts w:hint="eastAsia"/>
        </w:rPr>
        <w:t>（三）投资者认购</w:t>
      </w:r>
      <w:bookmarkEnd w:id="76"/>
      <w:bookmarkEnd w:id="77"/>
      <w:bookmarkEnd w:id="78"/>
      <w:bookmarkEnd w:id="79"/>
      <w:bookmarkEnd w:id="80"/>
      <w:bookmarkEnd w:id="81"/>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1.网下</w:t>
      </w:r>
      <w:r>
        <w:rPr>
          <w:rFonts w:ascii="仿宋" w:hAnsi="仿宋" w:eastAsia="仿宋"/>
          <w:sz w:val="32"/>
          <w:szCs w:val="32"/>
        </w:rPr>
        <w:t>投资者</w:t>
      </w:r>
      <w:r>
        <w:rPr>
          <w:rFonts w:hint="eastAsia" w:ascii="仿宋" w:hAnsi="仿宋" w:eastAsia="仿宋"/>
          <w:sz w:val="32"/>
          <w:szCs w:val="32"/>
        </w:rPr>
        <w:t>认</w:t>
      </w:r>
      <w:r>
        <w:rPr>
          <w:rFonts w:ascii="仿宋" w:hAnsi="仿宋" w:eastAsia="仿宋"/>
          <w:sz w:val="32"/>
          <w:szCs w:val="32"/>
        </w:rPr>
        <w:t>购</w:t>
      </w:r>
      <w:r>
        <w:rPr>
          <w:rFonts w:hint="eastAsia" w:ascii="仿宋" w:hAnsi="仿宋" w:eastAsia="仿宋"/>
          <w:sz w:val="32"/>
          <w:szCs w:val="32"/>
        </w:rPr>
        <w:t>：网下投资者通过</w:t>
      </w:r>
      <w:r>
        <w:rPr>
          <w:rFonts w:ascii="仿宋" w:hAnsi="仿宋" w:eastAsia="仿宋"/>
          <w:sz w:val="32"/>
          <w:szCs w:val="32"/>
        </w:rPr>
        <w:t>EIPO平台</w:t>
      </w:r>
      <w:r>
        <w:rPr>
          <w:rFonts w:hint="eastAsia" w:ascii="仿宋" w:hAnsi="仿宋" w:eastAsia="仿宋"/>
          <w:sz w:val="32"/>
          <w:szCs w:val="32"/>
        </w:rPr>
        <w:t>申报认购，其填报的认购数量不得低于询价阶段填报的“拟认购数量”，也不得高于基金管理人、财务顾问确定的每个配售对象认购数量上限，且不得高于网下发售份额数量。</w:t>
      </w:r>
    </w:p>
    <w:p>
      <w:pPr>
        <w:adjustRightInd w:val="0"/>
        <w:snapToGrid w:val="0"/>
        <w:spacing w:after="156" w:afterLines="50" w:line="560" w:lineRule="exact"/>
        <w:ind w:firstLine="640" w:firstLineChars="200"/>
        <w:rPr>
          <w:rFonts w:ascii="仿宋" w:hAnsi="仿宋" w:eastAsia="仿宋"/>
          <w:sz w:val="32"/>
          <w:szCs w:val="32"/>
          <w:highlight w:val="yellow"/>
        </w:rPr>
      </w:pPr>
      <w:r>
        <w:rPr>
          <w:rFonts w:hint="eastAsia" w:ascii="仿宋" w:hAnsi="仿宋" w:eastAsia="仿宋"/>
          <w:sz w:val="32"/>
          <w:szCs w:val="32"/>
        </w:rPr>
        <w:t>网下投资者在</w:t>
      </w:r>
      <w:r>
        <w:rPr>
          <w:rFonts w:ascii="仿宋" w:hAnsi="仿宋" w:eastAsia="仿宋"/>
          <w:sz w:val="32"/>
          <w:szCs w:val="32"/>
        </w:rPr>
        <w:t>EIPO平台</w:t>
      </w:r>
      <w:r>
        <w:rPr>
          <w:rFonts w:hint="eastAsia" w:ascii="仿宋" w:hAnsi="仿宋" w:eastAsia="仿宋"/>
          <w:sz w:val="32"/>
          <w:szCs w:val="32"/>
        </w:rPr>
        <w:t>申报认购后，在募集期向基金管理人缴纳认购款项。</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（1）投资者使用场内证券账户认购的，基金管理人参照“ETF网下现金认购”方式，完成资金交收，并按照深圳结算的相关规定办理该部分场内份额的初始登记。</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（2）投资者使用</w:t>
      </w:r>
      <w:r>
        <w:rPr>
          <w:rFonts w:hint="eastAsia" w:ascii="仿宋" w:hAnsi="仿宋" w:eastAsia="仿宋" w:cs="宋体"/>
          <w:sz w:val="32"/>
          <w:szCs w:val="32"/>
        </w:rPr>
        <w:t>场外基金账户认购的</w:t>
      </w:r>
      <w:r>
        <w:rPr>
          <w:rFonts w:hint="eastAsia" w:ascii="仿宋" w:hAnsi="仿宋" w:eastAsia="仿宋"/>
          <w:sz w:val="32"/>
          <w:szCs w:val="32"/>
        </w:rPr>
        <w:t>，基金管理人参照“深证LOF基金直销”相关业务规则办理；也可由基金管理人</w:t>
      </w:r>
      <w:r>
        <w:rPr>
          <w:rFonts w:hint="eastAsia" w:ascii="仿宋_GB2312" w:hAnsi="宋体" w:eastAsia="仿宋_GB2312"/>
          <w:sz w:val="32"/>
          <w:szCs w:val="32"/>
        </w:rPr>
        <w:t>完成资金交收，并将投资者认购所得份额等信息在募集结束后通过份额强制调增业务报送至中国结算TA系统，中国结算据此进行登记。该部分份额</w:t>
      </w:r>
      <w:r>
        <w:rPr>
          <w:rFonts w:hint="eastAsia" w:ascii="仿宋" w:hAnsi="仿宋" w:eastAsia="仿宋"/>
          <w:sz w:val="32"/>
          <w:szCs w:val="32"/>
        </w:rPr>
        <w:t>登记为场外份额。</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（3）基金管理人根据网下投资者认购的份额以及公告的网下发售份额数量进行比例配售，并根据配售结果将部分款项退还投资者。</w:t>
      </w:r>
    </w:p>
    <w:p>
      <w:pPr>
        <w:topLinePunct/>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2.公众投资者认</w:t>
      </w:r>
      <w:r>
        <w:rPr>
          <w:rFonts w:ascii="仿宋" w:hAnsi="仿宋" w:eastAsia="仿宋"/>
          <w:sz w:val="32"/>
          <w:szCs w:val="32"/>
        </w:rPr>
        <w:t>购</w:t>
      </w:r>
      <w:r>
        <w:rPr>
          <w:rFonts w:hint="eastAsia" w:ascii="仿宋" w:hAnsi="仿宋" w:eastAsia="仿宋"/>
          <w:sz w:val="32"/>
          <w:szCs w:val="32"/>
        </w:rPr>
        <w:t>：通过场内证券经营机构或者基金管理人及其委托的场外基金销售机构认购基金份额并缴纳认购款，基金管理人参照深证LOF相关业务规则办理。参与</w:t>
      </w:r>
      <w:r>
        <w:rPr>
          <w:rFonts w:ascii="仿宋" w:hAnsi="仿宋" w:eastAsia="仿宋"/>
          <w:sz w:val="32"/>
          <w:szCs w:val="32"/>
        </w:rPr>
        <w:t>网下</w:t>
      </w:r>
      <w:r>
        <w:rPr>
          <w:rFonts w:hint="eastAsia" w:ascii="仿宋" w:hAnsi="仿宋" w:eastAsia="仿宋"/>
          <w:sz w:val="32"/>
          <w:szCs w:val="32"/>
        </w:rPr>
        <w:t>询价</w:t>
      </w:r>
      <w:r>
        <w:rPr>
          <w:rFonts w:ascii="仿宋" w:hAnsi="仿宋" w:eastAsia="仿宋"/>
          <w:sz w:val="32"/>
          <w:szCs w:val="32"/>
        </w:rPr>
        <w:t>的配售对象及其关联账户不得</w:t>
      </w:r>
      <w:r>
        <w:rPr>
          <w:rFonts w:hint="eastAsia" w:ascii="仿宋" w:hAnsi="仿宋" w:eastAsia="仿宋"/>
          <w:sz w:val="32"/>
          <w:szCs w:val="32"/>
        </w:rPr>
        <w:t>再通过面向公众投资者发售部分认购基金份额。配售对象关联账户是指与配售对象场内证券账户或场外基金账户注册资料中的“账户持有人名称”“有效身份证明文件号码”均相同的账户。证券公司客户定向资产管理专用账户以及企业年金账户注册资料中“账户持有人名称”“有效身份证明文件号码”均相同的，不受上述限制。</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w:t>
      </w:r>
      <w:r>
        <w:rPr>
          <w:rFonts w:hint="eastAsia" w:ascii="仿宋" w:hAnsi="仿宋" w:eastAsia="仿宋" w:cs="宋体"/>
          <w:sz w:val="32"/>
          <w:szCs w:val="32"/>
        </w:rPr>
        <w:t>应当做好场外部分的认购管理工作，不向参与过询价的网下投资者发售份额</w:t>
      </w:r>
      <w:r>
        <w:rPr>
          <w:rFonts w:hint="eastAsia" w:ascii="仿宋" w:hAnsi="仿宋" w:eastAsia="仿宋"/>
          <w:sz w:val="32"/>
          <w:szCs w:val="32"/>
        </w:rPr>
        <w:t>。</w:t>
      </w:r>
    </w:p>
    <w:p>
      <w:pPr>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使用租用交易单元的投资者参与</w:t>
      </w:r>
      <w:r>
        <w:rPr>
          <w:rFonts w:hint="eastAsia" w:ascii="仿宋" w:hAnsi="仿宋" w:eastAsia="仿宋"/>
          <w:sz w:val="32"/>
          <w:szCs w:val="32"/>
          <w:lang w:eastAsia="zh-CN"/>
        </w:rPr>
        <w:t>REITs</w:t>
      </w:r>
      <w:r>
        <w:rPr>
          <w:rFonts w:hint="eastAsia" w:ascii="仿宋" w:hAnsi="仿宋" w:eastAsia="仿宋"/>
          <w:sz w:val="32"/>
          <w:szCs w:val="32"/>
        </w:rPr>
        <w:t>场内认购时，应事先确保已在本所开通了LOF认购权限，具体办理流程详见本所发布的《深圳证券交易所证券投资基金业务指南第</w:t>
      </w:r>
      <w:r>
        <w:rPr>
          <w:rFonts w:ascii="仿宋" w:hAnsi="仿宋" w:eastAsia="仿宋"/>
          <w:sz w:val="32"/>
          <w:szCs w:val="32"/>
        </w:rPr>
        <w:t>1号—相关业务办理</w:t>
      </w:r>
      <w:r>
        <w:rPr>
          <w:rFonts w:hint="eastAsia" w:ascii="仿宋" w:hAnsi="仿宋" w:eastAsia="仿宋"/>
          <w:sz w:val="32"/>
          <w:szCs w:val="32"/>
        </w:rPr>
        <w:t>》中“基金认购、申购赎回业务权限办理”。</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3.战略投资者认购：募集期内，战略投资者应当以认购价格认购其承诺认购的基金份额，并向基金管理人缴纳认购款项。</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（1）投资者使用场内证券账户认购的，基金管理人参照“ETF网下现金认购”方式，完成资金交收，并按照深圳结算的相关规定办理该部分场内份额的初始登记。</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（2）投资者使用</w:t>
      </w:r>
      <w:r>
        <w:rPr>
          <w:rFonts w:hint="eastAsia" w:ascii="仿宋" w:hAnsi="仿宋" w:eastAsia="仿宋" w:cs="宋体"/>
          <w:sz w:val="32"/>
          <w:szCs w:val="32"/>
        </w:rPr>
        <w:t>场外基金账户认购的</w:t>
      </w:r>
      <w:r>
        <w:rPr>
          <w:rFonts w:hint="eastAsia" w:ascii="仿宋" w:hAnsi="仿宋" w:eastAsia="仿宋"/>
          <w:sz w:val="32"/>
          <w:szCs w:val="32"/>
        </w:rPr>
        <w:t>，基金管理人参照“深证LOF基金直销”相关业务规则办理；也可由基金管理人</w:t>
      </w:r>
      <w:r>
        <w:rPr>
          <w:rFonts w:hint="eastAsia" w:ascii="仿宋_GB2312" w:hAnsi="宋体" w:eastAsia="仿宋_GB2312"/>
          <w:sz w:val="32"/>
          <w:szCs w:val="32"/>
        </w:rPr>
        <w:t>完成资金交收，并将投资者认购所得份额等信息在募集结束后通过份额强制调增业务报送至中国结算TA系统，中国结算据此进行登记。该部分份额</w:t>
      </w:r>
      <w:r>
        <w:rPr>
          <w:rFonts w:hint="eastAsia" w:ascii="仿宋" w:hAnsi="仿宋" w:eastAsia="仿宋"/>
          <w:sz w:val="32"/>
          <w:szCs w:val="32"/>
        </w:rPr>
        <w:t>登记为场外份额。</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（3）基金管理人根据与战略投资者签署的战略投资协议进行配售。</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4.基金管理人在募集期每日12：00前，通过基金业务专区中的“业务办理—&gt;基金发行—&gt;基金销售日报”上传前一交易日的认购数据及累计认购数据。</w:t>
      </w:r>
    </w:p>
    <w:p>
      <w:pPr>
        <w:pStyle w:val="5"/>
        <w:keepNext w:val="0"/>
        <w:keepLines w:val="0"/>
        <w:spacing w:before="0" w:after="156" w:afterLines="50" w:line="560" w:lineRule="exact"/>
        <w:ind w:firstLine="640" w:firstLineChars="200"/>
      </w:pPr>
      <w:bookmarkStart w:id="82" w:name="_Toc70590179"/>
      <w:bookmarkStart w:id="83" w:name="_Toc4450"/>
      <w:bookmarkStart w:id="84" w:name="_Toc4463"/>
      <w:bookmarkStart w:id="85" w:name="_Toc19015"/>
      <w:bookmarkStart w:id="86" w:name="_Toc29611"/>
      <w:bookmarkStart w:id="87" w:name="_Toc59024563"/>
      <w:r>
        <w:rPr>
          <w:rFonts w:hint="eastAsia"/>
        </w:rPr>
        <w:t>（四）基金截止认购日期变更</w:t>
      </w:r>
      <w:bookmarkEnd w:id="82"/>
      <w:bookmarkEnd w:id="83"/>
      <w:bookmarkEnd w:id="84"/>
      <w:bookmarkEnd w:id="85"/>
      <w:bookmarkEnd w:id="86"/>
    </w:p>
    <w:bookmarkEnd w:id="87"/>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1.基金截止认购日期变更业务申请</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基金管理人若需提前认购截止日期，须于新截止日当天通过基金业务专区中的“业务办理—&gt;基金发行—&gt;基金认购截止日期变更”提交基金认购截止日期变更业务申请，所需文件为：《XX基金提前结束募集期的公告》、《XX基金截止认购日期变更通知》（基金管理人盖章扫描件）。</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基金管理人若需延长认购截止日期，须于原截止日当天通过基金业务专区提交基金认购截止日期变更业务申请，所需文件为：《XX基金延长募集期的公告》、《XX基金截止认购日期变更通知》（基金管理人盖章扫描件）。</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2.发起基金截止认购日期变更信息披露</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认购截止日期变更业务经本所核对后,基金管理人应通过基金业务专区提交信息披露申请，所需文件包括：《XX基金提前结束募集/延长募集期的公告》、《XX基金截止认购日期变更通知》（基金管理人盖章扫描件）。次日，在中国证监会规定的媒介及本所网站上刊登公告。</w:t>
      </w:r>
    </w:p>
    <w:p>
      <w:pPr>
        <w:pStyle w:val="5"/>
        <w:keepNext w:val="0"/>
        <w:keepLines w:val="0"/>
        <w:spacing w:before="0" w:after="156" w:afterLines="50" w:line="560" w:lineRule="exact"/>
        <w:ind w:firstLine="640" w:firstLineChars="200"/>
      </w:pPr>
      <w:bookmarkStart w:id="88" w:name="_Toc59024564"/>
      <w:bookmarkStart w:id="89" w:name="_Toc2880"/>
      <w:bookmarkStart w:id="90" w:name="_Toc509"/>
      <w:bookmarkStart w:id="91" w:name="_Toc29827"/>
      <w:bookmarkStart w:id="92" w:name="_Toc70590180"/>
      <w:bookmarkStart w:id="93" w:name="_Toc22403"/>
      <w:r>
        <w:rPr>
          <w:rFonts w:hint="eastAsia"/>
        </w:rPr>
        <w:t>（五）</w:t>
      </w:r>
      <w:bookmarkEnd w:id="88"/>
      <w:r>
        <w:rPr>
          <w:rFonts w:hint="eastAsia"/>
        </w:rPr>
        <w:t>认购份额配售</w:t>
      </w:r>
      <w:bookmarkEnd w:id="89"/>
      <w:bookmarkEnd w:id="90"/>
      <w:bookmarkEnd w:id="91"/>
      <w:bookmarkEnd w:id="92"/>
      <w:bookmarkEnd w:id="93"/>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如需回拨，募集期届满后的次一交易日（或指定交易日）前，基金管理人或财务顾问应将公众投资者发售与网下发售之间的回拨份额通知本所，基金管理人通过基金业</w:t>
      </w:r>
      <w:r>
        <w:rPr>
          <w:rFonts w:hint="eastAsia" w:ascii="仿宋" w:eastAsia="仿宋" w:cs="仿宋"/>
          <w:kern w:val="0"/>
          <w:sz w:val="32"/>
          <w:szCs w:val="32"/>
        </w:rPr>
        <w:t>务专区“业务办理—&gt;信息披露—&gt;份额回拨公告（</w:t>
      </w:r>
      <w:r>
        <w:rPr>
          <w:rFonts w:hint="eastAsia" w:ascii="仿宋" w:hAnsi="仿宋" w:eastAsia="仿宋"/>
          <w:sz w:val="32"/>
          <w:szCs w:val="32"/>
          <w:lang w:eastAsia="zh-CN"/>
        </w:rPr>
        <w:t>REITs</w:t>
      </w:r>
      <w:r>
        <w:rPr>
          <w:rFonts w:hint="eastAsia" w:ascii="仿宋" w:eastAsia="仿宋" w:cs="仿宋"/>
          <w:kern w:val="0"/>
          <w:sz w:val="32"/>
          <w:szCs w:val="32"/>
        </w:rPr>
        <w:t>）”向本所提交信息披露申请，经</w:t>
      </w:r>
      <w:r>
        <w:rPr>
          <w:rFonts w:hint="eastAsia" w:ascii="仿宋" w:hAnsi="仿宋" w:eastAsia="仿宋"/>
          <w:sz w:val="32"/>
          <w:szCs w:val="32"/>
        </w:rPr>
        <w:t>本所核对后，次日在中国证监会规定的媒介和本所网站披露。</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2.基金管理人或财务顾问对网下投资者基金份额配售，并于募集期届满的次一个交易日（或指定交易日）</w:t>
      </w:r>
      <w:r>
        <w:rPr>
          <w:rFonts w:ascii="仿宋" w:hAnsi="仿宋" w:eastAsia="仿宋"/>
          <w:sz w:val="32"/>
          <w:szCs w:val="32"/>
        </w:rPr>
        <w:t>15</w:t>
      </w:r>
      <w:r>
        <w:rPr>
          <w:rFonts w:hint="eastAsia" w:ascii="仿宋" w:hAnsi="仿宋" w:eastAsia="仿宋"/>
          <w:sz w:val="32"/>
          <w:szCs w:val="32"/>
        </w:rPr>
        <w:t>：</w:t>
      </w:r>
      <w:r>
        <w:rPr>
          <w:rFonts w:ascii="仿宋" w:hAnsi="仿宋" w:eastAsia="仿宋"/>
          <w:sz w:val="32"/>
          <w:szCs w:val="32"/>
        </w:rPr>
        <w:t xml:space="preserve">00 </w:t>
      </w:r>
      <w:r>
        <w:rPr>
          <w:rFonts w:hint="eastAsia" w:ascii="仿宋" w:hAnsi="仿宋" w:eastAsia="仿宋"/>
          <w:sz w:val="32"/>
          <w:szCs w:val="32"/>
        </w:rPr>
        <w:t>前，将网下投资者各配售对象获配情况上传至</w:t>
      </w:r>
      <w:r>
        <w:rPr>
          <w:rFonts w:ascii="仿宋" w:hAnsi="仿宋" w:eastAsia="仿宋"/>
          <w:sz w:val="32"/>
          <w:szCs w:val="32"/>
        </w:rPr>
        <w:t>EIPO平台</w:t>
      </w:r>
      <w:r>
        <w:rPr>
          <w:rFonts w:hint="eastAsia" w:ascii="仿宋" w:hAnsi="仿宋" w:eastAsia="仿宋"/>
          <w:sz w:val="32"/>
          <w:szCs w:val="32"/>
        </w:rPr>
        <w:t>。</w:t>
      </w:r>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3.若出现募集失败情形，具体流程详见本章第五部分“特殊情形处理”。</w:t>
      </w:r>
    </w:p>
    <w:p>
      <w:pPr>
        <w:pStyle w:val="2"/>
        <w:keepNext w:val="0"/>
        <w:keepLines w:val="0"/>
        <w:spacing w:before="0" w:after="156" w:afterLines="50"/>
        <w:ind w:firstLine="640"/>
      </w:pPr>
      <w:bookmarkStart w:id="94" w:name="_Toc59024565"/>
      <w:bookmarkStart w:id="95" w:name="_Toc18947"/>
      <w:bookmarkStart w:id="96" w:name="_Toc70590181"/>
      <w:bookmarkStart w:id="97" w:name="_Toc12600"/>
      <w:bookmarkStart w:id="98" w:name="_Toc21525"/>
      <w:bookmarkStart w:id="99" w:name="_Toc7070"/>
      <w:r>
        <w:rPr>
          <w:rFonts w:hint="eastAsia"/>
        </w:rPr>
        <w:t>四、</w:t>
      </w:r>
      <w:bookmarkEnd w:id="94"/>
      <w:r>
        <w:rPr>
          <w:rFonts w:hint="eastAsia"/>
        </w:rPr>
        <w:t>基金合同生效</w:t>
      </w:r>
      <w:bookmarkEnd w:id="95"/>
      <w:bookmarkEnd w:id="96"/>
      <w:bookmarkEnd w:id="97"/>
      <w:bookmarkEnd w:id="98"/>
      <w:bookmarkEnd w:id="99"/>
    </w:p>
    <w:p>
      <w:pPr>
        <w:pStyle w:val="5"/>
        <w:keepNext w:val="0"/>
        <w:keepLines w:val="0"/>
        <w:spacing w:before="0" w:after="156" w:afterLines="50" w:line="560" w:lineRule="exact"/>
        <w:ind w:firstLine="640" w:firstLineChars="200"/>
      </w:pPr>
      <w:bookmarkStart w:id="100" w:name="_Toc3388"/>
      <w:bookmarkStart w:id="101" w:name="_Toc7768"/>
      <w:bookmarkStart w:id="102" w:name="_Toc70590182"/>
      <w:bookmarkStart w:id="103" w:name="_Toc8226"/>
      <w:bookmarkStart w:id="104" w:name="_Toc27768"/>
      <w:r>
        <w:rPr>
          <w:rFonts w:hint="eastAsia"/>
        </w:rPr>
        <w:t>（一）向深圳结算申请办理相关事项</w:t>
      </w:r>
      <w:bookmarkEnd w:id="100"/>
      <w:bookmarkEnd w:id="101"/>
      <w:bookmarkEnd w:id="102"/>
      <w:bookmarkEnd w:id="103"/>
      <w:bookmarkEnd w:id="104"/>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ascii="仿宋" w:eastAsia="仿宋" w:cs="仿宋"/>
          <w:kern w:val="0"/>
          <w:sz w:val="32"/>
          <w:szCs w:val="32"/>
        </w:rPr>
        <w:t>1</w:t>
      </w:r>
      <w:r>
        <w:rPr>
          <w:rFonts w:hint="eastAsia" w:ascii="仿宋" w:eastAsia="仿宋" w:cs="仿宋"/>
          <w:kern w:val="0"/>
          <w:sz w:val="32"/>
          <w:szCs w:val="32"/>
        </w:rPr>
        <w:t>．发售期间，基金管理人应当在深圳结算规定的时限前向深圳结算提交《基金网上发售认购资金划款申请表》。</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ascii="仿宋" w:eastAsia="仿宋" w:cs="仿宋"/>
          <w:kern w:val="0"/>
          <w:sz w:val="32"/>
          <w:szCs w:val="32"/>
        </w:rPr>
        <w:t>2</w:t>
      </w:r>
      <w:r>
        <w:rPr>
          <w:rFonts w:hint="eastAsia" w:ascii="仿宋" w:eastAsia="仿宋" w:cs="仿宋"/>
          <w:kern w:val="0"/>
          <w:sz w:val="32"/>
          <w:szCs w:val="32"/>
        </w:rPr>
        <w:t>．认购结束后，基金管理人应按深圳结算规定的时间，向深圳结算申请办理“基金网上发售末日确认比例”“基金募集登记”等业务。</w:t>
      </w:r>
    </w:p>
    <w:p>
      <w:pPr>
        <w:pStyle w:val="5"/>
        <w:keepNext w:val="0"/>
        <w:keepLines w:val="0"/>
        <w:spacing w:before="0" w:after="156" w:afterLines="50" w:line="560" w:lineRule="exact"/>
        <w:ind w:firstLine="640" w:firstLineChars="200"/>
      </w:pPr>
      <w:bookmarkStart w:id="105" w:name="_Toc7809"/>
      <w:bookmarkStart w:id="106" w:name="_Toc15298"/>
      <w:bookmarkStart w:id="107" w:name="_Toc70590183"/>
      <w:bookmarkStart w:id="108" w:name="_Toc19466"/>
      <w:bookmarkStart w:id="109" w:name="_Toc18462"/>
      <w:r>
        <w:rPr>
          <w:rFonts w:hint="eastAsia"/>
        </w:rPr>
        <w:t>（二）披露《基金合同生效公告》</w:t>
      </w:r>
      <w:bookmarkEnd w:id="105"/>
      <w:bookmarkEnd w:id="106"/>
      <w:bookmarkEnd w:id="107"/>
      <w:bookmarkEnd w:id="108"/>
      <w:bookmarkEnd w:id="109"/>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基金管理人将募集情况上报中国证监会证券基金机构监管部备案。获取《关于XX基金备案确认的函》后，通过基金业务专区中的“业务办理—&gt;信息披露—&gt;基金募集—&gt;基金合同生效”发起信息披露流程，提交基金合同生效公告（</w:t>
      </w:r>
      <w:r>
        <w:rPr>
          <w:rFonts w:hint="eastAsia" w:ascii="仿宋" w:eastAsia="仿宋" w:cs="仿宋"/>
          <w:kern w:val="0"/>
          <w:sz w:val="32"/>
          <w:szCs w:val="32"/>
        </w:rPr>
        <w:t>必备要素参考附件4-3</w:t>
      </w:r>
      <w:r>
        <w:rPr>
          <w:rFonts w:hint="eastAsia" w:ascii="仿宋" w:hAnsi="仿宋" w:eastAsia="仿宋"/>
          <w:sz w:val="32"/>
          <w:szCs w:val="32"/>
        </w:rPr>
        <w:t>），次日在中国证监会规定的媒介及本所网站上刊登基金合同生效公告。</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2.基金合同生效之日起</w:t>
      </w:r>
      <w:r>
        <w:rPr>
          <w:rFonts w:ascii="仿宋" w:hAnsi="仿宋" w:eastAsia="仿宋"/>
          <w:sz w:val="32"/>
          <w:szCs w:val="32"/>
        </w:rPr>
        <w:t>10</w:t>
      </w:r>
      <w:r>
        <w:rPr>
          <w:rFonts w:hint="eastAsia" w:ascii="仿宋" w:hAnsi="仿宋" w:eastAsia="仿宋"/>
          <w:sz w:val="32"/>
          <w:szCs w:val="32"/>
        </w:rPr>
        <w:t>个工作日内，基金管理人应当将法律意见书、发售总结报告等文件</w:t>
      </w:r>
      <w:r>
        <w:rPr>
          <w:rFonts w:hint="eastAsia" w:ascii="仿宋" w:eastAsia="仿宋" w:cs="仿宋"/>
          <w:kern w:val="0"/>
          <w:sz w:val="32"/>
          <w:szCs w:val="32"/>
        </w:rPr>
        <w:t>通过基金业务专区的“业务办理—</w:t>
      </w:r>
      <w:r>
        <w:rPr>
          <w:rFonts w:ascii="仿宋" w:eastAsia="仿宋" w:cs="仿宋"/>
          <w:kern w:val="0"/>
          <w:sz w:val="32"/>
          <w:szCs w:val="32"/>
        </w:rPr>
        <w:t>&gt;</w:t>
      </w:r>
      <w:r>
        <w:rPr>
          <w:rFonts w:hint="eastAsia" w:ascii="仿宋" w:eastAsia="仿宋" w:cs="仿宋"/>
          <w:kern w:val="0"/>
          <w:sz w:val="32"/>
          <w:szCs w:val="32"/>
        </w:rPr>
        <w:t>信息披露—</w:t>
      </w:r>
      <w:r>
        <w:rPr>
          <w:rFonts w:ascii="仿宋" w:eastAsia="仿宋" w:cs="仿宋"/>
          <w:kern w:val="0"/>
          <w:sz w:val="32"/>
          <w:szCs w:val="32"/>
        </w:rPr>
        <w:t>&gt;</w:t>
      </w:r>
      <w:r>
        <w:rPr>
          <w:rFonts w:hint="eastAsia" w:ascii="仿宋" w:eastAsia="仿宋" w:cs="仿宋"/>
          <w:kern w:val="0"/>
          <w:sz w:val="32"/>
          <w:szCs w:val="32"/>
        </w:rPr>
        <w:t>信息披露事后补充附件-基金合同生效”提交</w:t>
      </w:r>
      <w:r>
        <w:rPr>
          <w:rFonts w:hint="eastAsia" w:ascii="仿宋" w:hAnsi="仿宋" w:eastAsia="仿宋"/>
          <w:sz w:val="32"/>
          <w:szCs w:val="32"/>
        </w:rPr>
        <w:t>本所。</w:t>
      </w:r>
    </w:p>
    <w:p>
      <w:pPr>
        <w:pStyle w:val="5"/>
        <w:keepNext w:val="0"/>
        <w:keepLines w:val="0"/>
        <w:spacing w:before="0" w:after="156" w:afterLines="50" w:line="560" w:lineRule="exact"/>
        <w:ind w:firstLine="640" w:firstLineChars="200"/>
      </w:pPr>
      <w:bookmarkStart w:id="110" w:name="_Toc6296"/>
      <w:bookmarkStart w:id="111" w:name="_Toc15746"/>
      <w:bookmarkStart w:id="112" w:name="_Toc16188"/>
      <w:bookmarkStart w:id="113" w:name="_Toc30808"/>
      <w:bookmarkStart w:id="114" w:name="_Toc70590184"/>
      <w:r>
        <w:rPr>
          <w:rFonts w:hint="eastAsia"/>
        </w:rPr>
        <w:t>（三）基金份额限售管理</w:t>
      </w:r>
      <w:bookmarkEnd w:id="110"/>
      <w:bookmarkEnd w:id="111"/>
      <w:bookmarkEnd w:id="112"/>
      <w:bookmarkEnd w:id="113"/>
      <w:bookmarkEnd w:id="114"/>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通过基金业务专区中的“业务办理—&gt;信息披露—&gt;基金募集—&gt;限售公告（REITs）”发起信息披露流程，提交基金限售公告（必备要素参考附件4-4），并附场内份额限售申请（见附件5，盖章扫描件）、场外份额锁定申请表（见附件6，盖章扫描件）。其中场内份额限售申请中的《证券登记申报明细清单》为基金管理人向深圳结算申请办理基金初始登记时所取得的材料。</w:t>
      </w:r>
    </w:p>
    <w:p>
      <w:pPr>
        <w:adjustRightInd w:val="0"/>
        <w:snapToGri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限售业务办理完毕后，次日在中国证监会规定的媒介及本所网站上刊登公告。</w:t>
      </w:r>
    </w:p>
    <w:p>
      <w:pPr>
        <w:pStyle w:val="2"/>
        <w:keepNext w:val="0"/>
        <w:keepLines w:val="0"/>
        <w:spacing w:before="0" w:after="156" w:afterLines="50"/>
        <w:ind w:firstLine="640"/>
      </w:pPr>
      <w:bookmarkStart w:id="115" w:name="_Toc26612"/>
      <w:bookmarkStart w:id="116" w:name="_Toc20982"/>
      <w:bookmarkStart w:id="117" w:name="_Toc29424"/>
      <w:bookmarkStart w:id="118" w:name="_Toc70590185"/>
      <w:bookmarkStart w:id="119" w:name="_Toc2552"/>
      <w:r>
        <w:rPr>
          <w:rFonts w:hint="eastAsia"/>
        </w:rPr>
        <w:t>五、特殊情形处理</w:t>
      </w:r>
      <w:bookmarkEnd w:id="115"/>
      <w:bookmarkEnd w:id="116"/>
      <w:bookmarkEnd w:id="117"/>
      <w:bookmarkEnd w:id="118"/>
      <w:bookmarkEnd w:id="119"/>
    </w:p>
    <w:p>
      <w:pPr>
        <w:pStyle w:val="5"/>
        <w:keepNext w:val="0"/>
        <w:keepLines w:val="0"/>
        <w:spacing w:before="0" w:after="156" w:afterLines="50" w:line="560" w:lineRule="exact"/>
        <w:ind w:firstLine="640" w:firstLineChars="200"/>
        <w:rPr>
          <w:rFonts w:ascii="仿宋" w:hAnsi="仿宋" w:eastAsia="仿宋"/>
        </w:rPr>
      </w:pPr>
      <w:bookmarkStart w:id="120" w:name="_Toc70590186"/>
      <w:bookmarkStart w:id="121" w:name="_Toc25999"/>
      <w:bookmarkStart w:id="122" w:name="_Toc607"/>
      <w:bookmarkStart w:id="123" w:name="_Toc8633"/>
      <w:bookmarkStart w:id="124" w:name="_Toc24796"/>
      <w:r>
        <w:rPr>
          <w:rFonts w:hint="eastAsia"/>
        </w:rPr>
        <w:t>（一）中止发售</w:t>
      </w:r>
      <w:bookmarkEnd w:id="120"/>
      <w:bookmarkEnd w:id="121"/>
      <w:bookmarkEnd w:id="122"/>
      <w:bookmarkEnd w:id="123"/>
      <w:bookmarkEnd w:id="124"/>
    </w:p>
    <w:p>
      <w:pPr>
        <w:widowControl/>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若出现网下投资者提交的拟认购数量合计低于网下初始发售份额数量或约定的中止发售情形时，基金管理人应于询价日次一交易日前（含当日）通过基金业务专区的“业务办理—&gt;信息披露—&gt;基金募集—&gt;中止发售公告（REITs）” 向本所提交中止发售公告和申请，经本所核对后，次日在中国证监会规定的媒介及本所网站上刊登公告。</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eastAsia="仿宋" w:cs="仿宋"/>
          <w:kern w:val="0"/>
          <w:sz w:val="32"/>
          <w:szCs w:val="32"/>
        </w:rPr>
        <w:t>注：在中国证监会同意注册决定的有效期内，基金管理人可重新启动发售。</w:t>
      </w:r>
    </w:p>
    <w:p>
      <w:pPr>
        <w:pStyle w:val="5"/>
        <w:keepNext w:val="0"/>
        <w:keepLines w:val="0"/>
        <w:spacing w:before="0" w:after="156" w:afterLines="50" w:line="560" w:lineRule="exact"/>
        <w:ind w:firstLine="640" w:firstLineChars="200"/>
      </w:pPr>
      <w:bookmarkStart w:id="125" w:name="_Toc9866"/>
      <w:bookmarkStart w:id="126" w:name="_Toc28639"/>
      <w:bookmarkStart w:id="127" w:name="_Toc70590187"/>
      <w:bookmarkStart w:id="128" w:name="_Toc18179"/>
      <w:bookmarkStart w:id="129" w:name="_Toc944"/>
      <w:r>
        <w:rPr>
          <w:rFonts w:hint="eastAsia"/>
        </w:rPr>
        <w:t>（二）投资风险特别提示公告</w:t>
      </w:r>
      <w:bookmarkEnd w:id="125"/>
      <w:bookmarkEnd w:id="126"/>
      <w:bookmarkEnd w:id="127"/>
      <w:bookmarkEnd w:id="128"/>
      <w:bookmarkEnd w:id="129"/>
    </w:p>
    <w:p>
      <w:pPr>
        <w:autoSpaceDE w:val="0"/>
        <w:autoSpaceDN w:val="0"/>
        <w:adjustRightInd w:val="0"/>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若基金管理人和财务顾问（如有）确定的发售价格高于符合条件的所有网下投资者报价的中位数和加权平均数的孰低值的，基金管理人应在基金份额认购首日6个工作日（T-6）前通过基金业务专区“业务办理—&gt;信息披露—&gt;投资风险特别提示公告（REITs）” 向本所提交投资风险特别提示公告。</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eastAsia="仿宋" w:cs="仿宋"/>
          <w:kern w:val="0"/>
          <w:sz w:val="32"/>
          <w:szCs w:val="32"/>
        </w:rPr>
        <w:t>经本所核对后，基金管理人于</w:t>
      </w:r>
      <w:r>
        <w:rPr>
          <w:rFonts w:hint="eastAsia" w:ascii="仿宋" w:hAnsi="仿宋" w:eastAsia="仿宋"/>
          <w:sz w:val="32"/>
          <w:szCs w:val="32"/>
        </w:rPr>
        <w:t>基金份额认购首日前5个工作日</w:t>
      </w:r>
      <w:r>
        <w:rPr>
          <w:rFonts w:hint="eastAsia" w:ascii="仿宋" w:eastAsia="仿宋" w:cs="仿宋"/>
          <w:kern w:val="0"/>
          <w:sz w:val="32"/>
          <w:szCs w:val="32"/>
        </w:rPr>
        <w:t>在中国证监会规定的媒介及本所网站上刊登投资风险特别提示公告</w:t>
      </w:r>
      <w:r>
        <w:rPr>
          <w:rFonts w:hint="eastAsia" w:ascii="仿宋" w:hAnsi="仿宋" w:eastAsia="仿宋"/>
          <w:sz w:val="32"/>
          <w:szCs w:val="32"/>
        </w:rPr>
        <w:t>。</w:t>
      </w:r>
    </w:p>
    <w:p>
      <w:pPr>
        <w:pStyle w:val="5"/>
        <w:keepNext w:val="0"/>
        <w:keepLines w:val="0"/>
        <w:spacing w:before="0" w:after="156" w:afterLines="50" w:line="560" w:lineRule="exact"/>
        <w:ind w:firstLine="640" w:firstLineChars="200"/>
      </w:pPr>
      <w:bookmarkStart w:id="130" w:name="_Toc22523"/>
      <w:bookmarkStart w:id="131" w:name="_Toc23038"/>
      <w:bookmarkStart w:id="132" w:name="_Toc2449"/>
      <w:bookmarkStart w:id="133" w:name="_Toc70590188"/>
      <w:bookmarkStart w:id="134" w:name="_Toc12222"/>
      <w:r>
        <w:rPr>
          <w:rFonts w:hint="eastAsia"/>
        </w:rPr>
        <w:t>（三）募集失败</w:t>
      </w:r>
      <w:bookmarkEnd w:id="130"/>
      <w:bookmarkEnd w:id="131"/>
      <w:bookmarkEnd w:id="132"/>
      <w:bookmarkEnd w:id="133"/>
      <w:bookmarkEnd w:id="134"/>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eastAsia="仿宋" w:cs="仿宋"/>
          <w:kern w:val="0"/>
          <w:sz w:val="32"/>
          <w:szCs w:val="32"/>
        </w:rPr>
        <w:t>基金募集结束后，若出现募集失败情形的，基金管理人通过基金业务专区中的“业务办理—</w:t>
      </w:r>
      <w:r>
        <w:rPr>
          <w:rFonts w:ascii="仿宋" w:eastAsia="仿宋" w:cs="仿宋"/>
          <w:kern w:val="0"/>
          <w:sz w:val="32"/>
          <w:szCs w:val="32"/>
        </w:rPr>
        <w:t>&gt;</w:t>
      </w:r>
      <w:r>
        <w:rPr>
          <w:rFonts w:hint="eastAsia" w:ascii="仿宋" w:eastAsia="仿宋" w:cs="仿宋"/>
          <w:kern w:val="0"/>
          <w:sz w:val="32"/>
          <w:szCs w:val="32"/>
        </w:rPr>
        <w:t>信息披露—</w:t>
      </w:r>
      <w:r>
        <w:rPr>
          <w:rFonts w:ascii="仿宋" w:eastAsia="仿宋" w:cs="仿宋"/>
          <w:kern w:val="0"/>
          <w:sz w:val="32"/>
          <w:szCs w:val="32"/>
        </w:rPr>
        <w:t>&gt;</w:t>
      </w:r>
      <w:r>
        <w:rPr>
          <w:rFonts w:hint="eastAsia" w:ascii="仿宋" w:eastAsia="仿宋" w:cs="仿宋"/>
          <w:kern w:val="0"/>
          <w:sz w:val="32"/>
          <w:szCs w:val="32"/>
        </w:rPr>
        <w:t>基金份额募集失败”发起信息披露流程，提交基金募集失败公告和基金募集失败的情况说明。</w:t>
      </w:r>
    </w:p>
    <w:p>
      <w:pPr>
        <w:autoSpaceDE w:val="0"/>
        <w:autoSpaceDN w:val="0"/>
        <w:adjustRightInd w:val="0"/>
        <w:spacing w:after="156" w:afterLines="50" w:line="560" w:lineRule="exact"/>
        <w:ind w:firstLine="640" w:firstLineChars="200"/>
        <w:jc w:val="left"/>
        <w:rPr>
          <w:rFonts w:ascii="仿宋" w:eastAsia="仿宋" w:cs="仿宋"/>
          <w:kern w:val="0"/>
          <w:sz w:val="32"/>
          <w:szCs w:val="32"/>
        </w:rPr>
      </w:pPr>
      <w:r>
        <w:rPr>
          <w:rFonts w:hint="eastAsia" w:ascii="仿宋" w:eastAsia="仿宋" w:cs="仿宋"/>
          <w:kern w:val="0"/>
          <w:sz w:val="32"/>
          <w:szCs w:val="32"/>
        </w:rPr>
        <w:t>经本所核对后，次日在中国证监会规定的媒介及本所网站上刊登。</w:t>
      </w:r>
    </w:p>
    <w:p>
      <w:pPr>
        <w:autoSpaceDE w:val="0"/>
        <w:autoSpaceDN w:val="0"/>
        <w:adjustRightInd w:val="0"/>
        <w:spacing w:after="156" w:afterLines="50" w:line="560" w:lineRule="exact"/>
        <w:ind w:firstLine="640" w:firstLineChars="200"/>
        <w:jc w:val="left"/>
        <w:rPr>
          <w:rFonts w:ascii="仿宋" w:eastAsia="仿宋" w:cs="仿宋"/>
          <w:kern w:val="0"/>
          <w:sz w:val="32"/>
          <w:szCs w:val="32"/>
        </w:rPr>
        <w:sectPr>
          <w:type w:val="continuous"/>
          <w:pgSz w:w="11906" w:h="16838"/>
          <w:pgMar w:top="1440" w:right="1418" w:bottom="1440" w:left="1418" w:header="851" w:footer="850" w:gutter="0"/>
          <w:cols w:space="425" w:num="1"/>
          <w:formProt w:val="1"/>
          <w:docGrid w:type="lines" w:linePitch="312" w:charSpace="0"/>
        </w:sectPr>
      </w:pPr>
      <w:r>
        <w:rPr>
          <w:rFonts w:hint="eastAsia" w:ascii="仿宋" w:eastAsia="仿宋" w:cs="仿宋"/>
          <w:kern w:val="0"/>
          <w:sz w:val="32"/>
          <w:szCs w:val="32"/>
        </w:rPr>
        <w:t>基金管理人还应按照中国结算的规定办理认购资金退款等相关业务。</w:t>
      </w:r>
    </w:p>
    <w:p>
      <w:pPr>
        <w:widowControl/>
        <w:spacing w:after="156" w:afterLines="50" w:line="560" w:lineRule="exact"/>
        <w:jc w:val="center"/>
        <w:rPr>
          <w:rFonts w:ascii="黑体" w:hAnsi="黑体" w:eastAsia="黑体" w:cs="仿宋"/>
          <w:kern w:val="0"/>
          <w:sz w:val="30"/>
          <w:szCs w:val="30"/>
        </w:rPr>
      </w:pPr>
      <w:r>
        <w:rPr>
          <w:rFonts w:ascii="仿宋" w:eastAsia="仿宋" w:cs="仿宋"/>
          <w:kern w:val="0"/>
          <w:sz w:val="32"/>
          <w:szCs w:val="32"/>
        </w:rPr>
        <w:drawing>
          <wp:anchor distT="0" distB="0" distL="114300" distR="114300" simplePos="0" relativeHeight="251660288" behindDoc="0" locked="0" layoutInCell="1" allowOverlap="1">
            <wp:simplePos x="0" y="0"/>
            <wp:positionH relativeFrom="column">
              <wp:posOffset>356870</wp:posOffset>
            </wp:positionH>
            <wp:positionV relativeFrom="paragraph">
              <wp:posOffset>533400</wp:posOffset>
            </wp:positionV>
            <wp:extent cx="5127625" cy="7829550"/>
            <wp:effectExtent l="0" t="0" r="0" b="0"/>
            <wp:wrapTopAndBottom/>
            <wp:docPr id="2" name="图片 2" descr="D:\Users\ayb.dybk\Desktop\发售流程图20210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s\ayb.dybk\Desktop\发售流程图202104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27625" cy="7829550"/>
                    </a:xfrm>
                    <a:prstGeom prst="rect">
                      <a:avLst/>
                    </a:prstGeom>
                    <a:noFill/>
                    <a:ln>
                      <a:noFill/>
                    </a:ln>
                  </pic:spPr>
                </pic:pic>
              </a:graphicData>
            </a:graphic>
          </wp:anchor>
        </w:drawing>
      </w:r>
      <w:r>
        <w:rPr>
          <w:rFonts w:hint="eastAsia" w:ascii="黑体" w:hAnsi="黑体" w:eastAsia="黑体" w:cs="仿宋"/>
          <w:kern w:val="0"/>
          <w:sz w:val="30"/>
          <w:szCs w:val="30"/>
        </w:rPr>
        <w:t>发售流程图</w:t>
      </w:r>
    </w:p>
    <w:p>
      <w:pPr>
        <w:widowControl/>
        <w:spacing w:after="156" w:afterLines="50"/>
        <w:ind w:firstLine="640" w:firstLineChars="200"/>
        <w:jc w:val="left"/>
        <w:rPr>
          <w:rFonts w:ascii="仿宋" w:eastAsia="仿宋" w:cs="仿宋"/>
          <w:kern w:val="0"/>
          <w:sz w:val="32"/>
          <w:szCs w:val="32"/>
        </w:rPr>
      </w:pPr>
      <w:r>
        <w:rPr>
          <w:rFonts w:ascii="仿宋" w:eastAsia="仿宋" w:cs="仿宋"/>
          <w:kern w:val="0"/>
          <w:sz w:val="32"/>
          <w:szCs w:val="32"/>
        </w:rPr>
        <w:br w:type="page"/>
      </w:r>
    </w:p>
    <w:p>
      <w:pPr>
        <w:pStyle w:val="4"/>
        <w:keepNext w:val="0"/>
        <w:keepLines w:val="0"/>
        <w:spacing w:before="0" w:after="156" w:afterLines="50" w:line="560" w:lineRule="exact"/>
        <w:ind w:firstLine="643" w:firstLineChars="200"/>
        <w:jc w:val="center"/>
        <w:sectPr>
          <w:pgSz w:w="11906" w:h="16838"/>
          <w:pgMar w:top="1440" w:right="1418" w:bottom="1440" w:left="1418" w:header="851" w:footer="850" w:gutter="0"/>
          <w:cols w:space="425" w:num="1"/>
          <w:formProt w:val="1"/>
          <w:docGrid w:type="lines" w:linePitch="312" w:charSpace="0"/>
        </w:sectPr>
      </w:pPr>
      <w:bookmarkStart w:id="135" w:name="_Toc59024566"/>
    </w:p>
    <w:p>
      <w:pPr>
        <w:pStyle w:val="4"/>
        <w:keepNext w:val="0"/>
        <w:keepLines w:val="0"/>
        <w:jc w:val="center"/>
        <w:rPr>
          <w:b w:val="0"/>
        </w:rPr>
      </w:pPr>
      <w:bookmarkStart w:id="136" w:name="_Toc32516"/>
      <w:bookmarkStart w:id="137" w:name="_Toc70590189"/>
      <w:bookmarkStart w:id="138" w:name="_Toc28524"/>
      <w:bookmarkStart w:id="139" w:name="_Toc7918"/>
      <w:bookmarkStart w:id="140" w:name="_Toc3192"/>
      <w:r>
        <w:rPr>
          <w:rFonts w:hint="eastAsia"/>
          <w:b w:val="0"/>
        </w:rPr>
        <w:t>第二章 上市</w:t>
      </w:r>
      <w:bookmarkEnd w:id="135"/>
      <w:bookmarkEnd w:id="136"/>
      <w:bookmarkEnd w:id="137"/>
      <w:bookmarkEnd w:id="138"/>
      <w:bookmarkEnd w:id="139"/>
      <w:bookmarkEnd w:id="140"/>
    </w:p>
    <w:p>
      <w:pPr>
        <w:pStyle w:val="2"/>
        <w:keepNext w:val="0"/>
        <w:keepLines w:val="0"/>
        <w:spacing w:before="0" w:after="156" w:afterLines="50"/>
        <w:ind w:firstLine="640"/>
      </w:pPr>
      <w:bookmarkStart w:id="141" w:name="_Toc59024567"/>
      <w:bookmarkStart w:id="142" w:name="_Toc13312"/>
      <w:bookmarkStart w:id="143" w:name="_Toc9086"/>
      <w:bookmarkStart w:id="144" w:name="_Toc26425"/>
      <w:bookmarkStart w:id="145" w:name="_Toc70590190"/>
      <w:bookmarkStart w:id="146" w:name="_Toc9025"/>
      <w:r>
        <w:rPr>
          <w:rFonts w:hint="eastAsia"/>
        </w:rPr>
        <w:t>一、协商确定上市时间</w:t>
      </w:r>
      <w:bookmarkEnd w:id="141"/>
      <w:bookmarkEnd w:id="142"/>
      <w:bookmarkEnd w:id="143"/>
      <w:bookmarkEnd w:id="144"/>
      <w:bookmarkEnd w:id="145"/>
      <w:bookmarkEnd w:id="146"/>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合同生效且完成全部战略配售投资者份额锁定后，基金管理人应根据《基金合同》的约定与本所协商确定上市时间（T日）。确定上市时间后，应及时与中国结算、深圳结算和基金托管人沟通，确定所需的上市材料，预留充分的准备时间。</w:t>
      </w:r>
    </w:p>
    <w:p>
      <w:pPr>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上市前，基金管理人应办理完成发售总结报告等报备，并按照《深圳证券交易所证券投资基金业务指南第</w:t>
      </w:r>
      <w:r>
        <w:rPr>
          <w:rFonts w:ascii="仿宋" w:hAnsi="仿宋" w:eastAsia="仿宋"/>
          <w:sz w:val="32"/>
          <w:szCs w:val="32"/>
        </w:rPr>
        <w:t>1号</w:t>
      </w:r>
      <w:r>
        <w:rPr>
          <w:rFonts w:hint="eastAsia" w:ascii="仿宋" w:hAnsi="仿宋" w:eastAsia="仿宋"/>
          <w:sz w:val="32"/>
          <w:szCs w:val="32"/>
        </w:rPr>
        <w:t>——</w:t>
      </w:r>
      <w:r>
        <w:rPr>
          <w:rFonts w:ascii="仿宋" w:hAnsi="仿宋" w:eastAsia="仿宋"/>
          <w:sz w:val="32"/>
          <w:szCs w:val="32"/>
        </w:rPr>
        <w:t>相关业务办理</w:t>
      </w:r>
      <w:r>
        <w:rPr>
          <w:rFonts w:hint="eastAsia" w:ascii="仿宋" w:hAnsi="仿宋" w:eastAsia="仿宋"/>
          <w:sz w:val="32"/>
          <w:szCs w:val="32"/>
        </w:rPr>
        <w:t>》“基金流动性服务业务”办理</w:t>
      </w:r>
      <w:r>
        <w:rPr>
          <w:rFonts w:hint="eastAsia" w:ascii="仿宋" w:hAnsi="仿宋" w:eastAsia="仿宋"/>
          <w:sz w:val="32"/>
          <w:szCs w:val="32"/>
          <w:lang w:eastAsia="zh-CN"/>
        </w:rPr>
        <w:t>REITs</w:t>
      </w:r>
      <w:r>
        <w:rPr>
          <w:rFonts w:hint="eastAsia" w:ascii="仿宋" w:hAnsi="仿宋" w:eastAsia="仿宋"/>
          <w:sz w:val="32"/>
          <w:szCs w:val="32"/>
        </w:rPr>
        <w:t>流动性服务商新增业务。</w:t>
      </w:r>
    </w:p>
    <w:p>
      <w:pPr>
        <w:pStyle w:val="2"/>
        <w:keepNext w:val="0"/>
        <w:keepLines w:val="0"/>
        <w:spacing w:before="0" w:after="156" w:afterLines="50"/>
        <w:ind w:firstLine="640"/>
      </w:pPr>
      <w:bookmarkStart w:id="147" w:name="_Toc23765"/>
      <w:bookmarkStart w:id="148" w:name="_Toc24329"/>
      <w:bookmarkStart w:id="149" w:name="_Toc29255"/>
      <w:bookmarkStart w:id="150" w:name="_Toc12055"/>
      <w:bookmarkStart w:id="151" w:name="_Toc59024568"/>
      <w:bookmarkStart w:id="152" w:name="_Toc70590191"/>
      <w:r>
        <w:rPr>
          <w:rFonts w:hint="eastAsia"/>
        </w:rPr>
        <w:t>二、签署上市协议（适用于基金管理人首只上市基金）</w:t>
      </w:r>
      <w:bookmarkEnd w:id="147"/>
      <w:bookmarkEnd w:id="148"/>
      <w:bookmarkEnd w:id="149"/>
      <w:bookmarkEnd w:id="150"/>
      <w:bookmarkEnd w:id="151"/>
      <w:bookmarkEnd w:id="152"/>
    </w:p>
    <w:p>
      <w:pPr>
        <w:adjustRightInd w:val="0"/>
        <w:snapToGri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若</w:t>
      </w:r>
      <w:r>
        <w:rPr>
          <w:rFonts w:hint="eastAsia" w:ascii="仿宋" w:hAnsi="仿宋" w:eastAsia="仿宋"/>
          <w:sz w:val="32"/>
          <w:szCs w:val="32"/>
          <w:lang w:eastAsia="zh-CN"/>
        </w:rPr>
        <w:t>REITs</w:t>
      </w:r>
      <w:r>
        <w:rPr>
          <w:rFonts w:hint="eastAsia" w:ascii="仿宋" w:hAnsi="仿宋" w:eastAsia="仿宋"/>
          <w:sz w:val="32"/>
          <w:szCs w:val="32"/>
        </w:rPr>
        <w:t>为基金管理人在深交所的首只上市基金，上市时间确定后（T-7日之前），基金管理人应与本所基金管理部联系签订《基金上市协议》，并于上市前将盖章的协议一式四份邮寄至本所基金管理部，本所盖章后回寄基金管理人两份。</w:t>
      </w:r>
    </w:p>
    <w:p>
      <w:pPr>
        <w:adjustRightInd w:val="0"/>
        <w:snapToGri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若基金管理人在深交所已有上市基金，不需要再次签署上市协议。</w:t>
      </w:r>
    </w:p>
    <w:p>
      <w:pPr>
        <w:pStyle w:val="2"/>
        <w:keepNext w:val="0"/>
        <w:keepLines w:val="0"/>
        <w:spacing w:before="0" w:after="156" w:afterLines="50"/>
        <w:ind w:firstLine="640"/>
      </w:pPr>
      <w:bookmarkStart w:id="153" w:name="_Toc70590192"/>
      <w:bookmarkStart w:id="154" w:name="_Toc26596"/>
      <w:bookmarkStart w:id="155" w:name="_Toc28191"/>
      <w:bookmarkStart w:id="156" w:name="_Toc7452"/>
      <w:bookmarkStart w:id="157" w:name="_Toc59024569"/>
      <w:bookmarkStart w:id="158" w:name="_Toc4181"/>
      <w:r>
        <w:rPr>
          <w:rFonts w:hint="eastAsia"/>
        </w:rPr>
        <w:t>三、维护基金基础资料</w:t>
      </w:r>
      <w:bookmarkEnd w:id="153"/>
      <w:bookmarkEnd w:id="154"/>
      <w:bookmarkEnd w:id="155"/>
      <w:bookmarkEnd w:id="156"/>
      <w:bookmarkEnd w:id="157"/>
      <w:bookmarkEnd w:id="158"/>
    </w:p>
    <w:p>
      <w:pPr>
        <w:adjustRightInd w:val="0"/>
        <w:snapToGri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提交上市申请前，基金管理人应通过基金业务专区中的“业务办理—&gt;基础资料维护—&gt;基金基础资料”维护基金当前规模等基础信息。</w:t>
      </w:r>
    </w:p>
    <w:p>
      <w:pPr>
        <w:pStyle w:val="2"/>
        <w:keepNext w:val="0"/>
        <w:keepLines w:val="0"/>
        <w:spacing w:before="0" w:after="156" w:afterLines="50"/>
        <w:ind w:firstLine="640"/>
      </w:pPr>
      <w:bookmarkStart w:id="159" w:name="_Toc20251"/>
      <w:bookmarkStart w:id="160" w:name="_Toc5822"/>
      <w:bookmarkStart w:id="161" w:name="_Toc27871"/>
      <w:bookmarkStart w:id="162" w:name="_Toc59024570"/>
      <w:bookmarkStart w:id="163" w:name="_Toc15620"/>
      <w:bookmarkStart w:id="164" w:name="_Toc70590193"/>
      <w:r>
        <w:rPr>
          <w:rFonts w:hint="eastAsia"/>
        </w:rPr>
        <w:t>四、填报基金ISIN码申请</w:t>
      </w:r>
      <w:bookmarkEnd w:id="159"/>
      <w:bookmarkEnd w:id="160"/>
      <w:bookmarkEnd w:id="161"/>
      <w:bookmarkEnd w:id="162"/>
      <w:bookmarkEnd w:id="163"/>
      <w:bookmarkEnd w:id="164"/>
    </w:p>
    <w:p>
      <w:pPr>
        <w:adjustRightInd w:val="0"/>
        <w:snapToGri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基金基础资料维护后，基金管理人通过基金业务专区中的“业务办理—&gt;基金上市—&gt;ISIN码申请”提交基金ISIN码申请。 </w:t>
      </w:r>
    </w:p>
    <w:p>
      <w:pPr>
        <w:adjustRightInd w:val="0"/>
        <w:snapToGri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表单填写注意事项：</w:t>
      </w:r>
    </w:p>
    <w:p>
      <w:pPr>
        <w:adjustRightInd w:val="0"/>
        <w:snapToGri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（1）“是否为非交易业务”选择“否”；（2）“是否需要人工审核”选择“需要人工审核”；（3）“WM公司是否分配ISIN编码”，不用选择；（4）“WM公司已分配的ISIN编码”选择“未分配”。</w:t>
      </w:r>
    </w:p>
    <w:p>
      <w:pPr>
        <w:pStyle w:val="2"/>
        <w:keepNext w:val="0"/>
        <w:keepLines w:val="0"/>
        <w:spacing w:before="0" w:after="156" w:afterLines="50"/>
        <w:ind w:firstLine="640"/>
      </w:pPr>
      <w:bookmarkStart w:id="165" w:name="_Toc24445"/>
      <w:bookmarkStart w:id="166" w:name="_Toc59024571"/>
      <w:bookmarkStart w:id="167" w:name="_Toc16812"/>
      <w:bookmarkStart w:id="168" w:name="_Toc18706"/>
      <w:bookmarkStart w:id="169" w:name="_Toc11995"/>
      <w:bookmarkStart w:id="170" w:name="_Toc70590194"/>
      <w:r>
        <w:rPr>
          <w:rFonts w:hint="eastAsia"/>
        </w:rPr>
        <w:t>五、提交上市业务申请</w:t>
      </w:r>
      <w:bookmarkEnd w:id="165"/>
      <w:bookmarkEnd w:id="166"/>
      <w:bookmarkEnd w:id="167"/>
      <w:bookmarkEnd w:id="168"/>
      <w:bookmarkEnd w:id="169"/>
      <w:bookmarkEnd w:id="170"/>
    </w:p>
    <w:p>
      <w:pPr>
        <w:adjustRightInd w:val="0"/>
        <w:snapToGri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上市时间（T日为上市首日）确定后，基金管理人应在T-7交易日前，通过基金业务专区中的“</w:t>
      </w:r>
      <w:r>
        <w:rPr>
          <w:rFonts w:hint="eastAsia" w:ascii="仿宋" w:eastAsia="仿宋" w:cs="仿宋"/>
          <w:kern w:val="0"/>
          <w:sz w:val="32"/>
          <w:szCs w:val="32"/>
        </w:rPr>
        <w:t>业务办理—&gt;</w:t>
      </w:r>
      <w:r>
        <w:rPr>
          <w:rFonts w:hint="eastAsia" w:ascii="仿宋" w:hAnsi="仿宋" w:eastAsia="仿宋"/>
          <w:sz w:val="32"/>
          <w:szCs w:val="32"/>
        </w:rPr>
        <w:t>基金上市—&gt;基金上市”提交上市业务申请。</w:t>
      </w:r>
    </w:p>
    <w:p>
      <w:pPr>
        <w:pStyle w:val="5"/>
        <w:keepNext w:val="0"/>
        <w:keepLines w:val="0"/>
        <w:spacing w:before="0" w:after="156" w:afterLines="50" w:line="560" w:lineRule="exact"/>
        <w:ind w:firstLine="640" w:firstLineChars="200"/>
      </w:pPr>
      <w:bookmarkStart w:id="171" w:name="_Toc13002"/>
      <w:bookmarkStart w:id="172" w:name="_Toc14890"/>
      <w:bookmarkStart w:id="173" w:name="_Toc70590195"/>
      <w:bookmarkStart w:id="174" w:name="_Toc59024572"/>
      <w:bookmarkStart w:id="175" w:name="_Toc18229"/>
      <w:bookmarkStart w:id="176" w:name="_Toc15683"/>
      <w:r>
        <w:rPr>
          <w:rFonts w:hint="eastAsia"/>
        </w:rPr>
        <w:t>（一）表单填写注意事项</w:t>
      </w:r>
      <w:bookmarkEnd w:id="171"/>
      <w:bookmarkEnd w:id="172"/>
      <w:bookmarkEnd w:id="173"/>
      <w:bookmarkEnd w:id="174"/>
      <w:bookmarkEnd w:id="175"/>
      <w:bookmarkEnd w:id="176"/>
    </w:p>
    <w:p>
      <w:pPr>
        <w:adjustRightInd w:val="0"/>
        <w:snapToGrid w:val="0"/>
        <w:spacing w:after="156" w:afterLines="50" w:line="560" w:lineRule="exact"/>
        <w:ind w:firstLine="640" w:firstLineChars="200"/>
        <w:jc w:val="left"/>
        <w:rPr>
          <w:rFonts w:ascii="仿宋" w:hAnsi="仿宋" w:eastAsia="仿宋"/>
          <w:sz w:val="32"/>
          <w:szCs w:val="32"/>
        </w:rPr>
      </w:pPr>
      <w:bookmarkStart w:id="177" w:name="_Toc59024573"/>
      <w:r>
        <w:rPr>
          <w:rFonts w:hint="eastAsia" w:ascii="仿宋" w:hAnsi="仿宋" w:eastAsia="仿宋"/>
          <w:sz w:val="32"/>
          <w:szCs w:val="32"/>
        </w:rPr>
        <w:t>基金代码、简称、基金业务类别、基金总规模（单位：份，含所有份额）、基金规模（份）、本次流通份额（份）、上市日期、前收盘价等参数应确保与上市申请材料（含上市申请书、上市申报材料表和上市交易公告书等）保持一致。</w:t>
      </w:r>
    </w:p>
    <w:p>
      <w:pPr>
        <w:pStyle w:val="5"/>
        <w:keepNext w:val="0"/>
        <w:keepLines w:val="0"/>
        <w:spacing w:before="0" w:after="156" w:afterLines="50" w:line="560" w:lineRule="exact"/>
        <w:ind w:firstLine="640" w:firstLineChars="200"/>
      </w:pPr>
      <w:bookmarkStart w:id="178" w:name="_Toc162"/>
      <w:bookmarkStart w:id="179" w:name="_Toc29956"/>
      <w:bookmarkStart w:id="180" w:name="_Toc10179"/>
      <w:bookmarkStart w:id="181" w:name="_Toc28884"/>
      <w:bookmarkStart w:id="182" w:name="_Toc70590196"/>
      <w:r>
        <w:rPr>
          <w:rFonts w:hint="eastAsia"/>
        </w:rPr>
        <w:t>（二）上市申请材料</w:t>
      </w:r>
      <w:bookmarkEnd w:id="177"/>
      <w:bookmarkEnd w:id="178"/>
      <w:bookmarkEnd w:id="179"/>
      <w:bookmarkEnd w:id="180"/>
      <w:bookmarkEnd w:id="181"/>
      <w:bookmarkEnd w:id="182"/>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1.《上市申请书》（基金管理人盖章扫描件）；</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《上市申请书》是对满足上市条件的描述，应包括基金募集金额及持有人户数；募集情况数据须和验资报告一致；流动性服务商情况说明。</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2.基金募集资金验资报告（扫描件）；</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3.中国证监会对基金备案的确认文件（扫描件）；</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4.基金上市交易公告书（</w:t>
      </w:r>
      <w:r>
        <w:rPr>
          <w:rFonts w:hint="eastAsia" w:ascii="仿宋" w:eastAsia="仿宋" w:cs="仿宋"/>
          <w:kern w:val="0"/>
          <w:sz w:val="32"/>
          <w:szCs w:val="32"/>
        </w:rPr>
        <w:t>必备要素参考附件4-5</w:t>
      </w:r>
      <w:r>
        <w:rPr>
          <w:rFonts w:hint="eastAsia" w:ascii="仿宋" w:hAnsi="仿宋" w:eastAsia="仿宋"/>
          <w:sz w:val="32"/>
          <w:szCs w:val="32"/>
        </w:rPr>
        <w:t>）；</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5.T-5日基金持有人结构申报表（中国结算盖章扫描件）；</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6.深圳结算出具的T-5日基金场内证券持有人名册；</w:t>
      </w:r>
    </w:p>
    <w:p>
      <w:pPr>
        <w:spacing w:after="156" w:afterLines="50" w:line="560" w:lineRule="exact"/>
        <w:ind w:firstLine="640" w:firstLineChars="200"/>
        <w:rPr>
          <w:rFonts w:ascii="仿宋" w:hAnsi="仿宋" w:eastAsia="仿宋"/>
          <w:sz w:val="32"/>
          <w:szCs w:val="32"/>
        </w:rPr>
      </w:pPr>
      <w:r>
        <w:rPr>
          <w:rFonts w:ascii="仿宋" w:hAnsi="仿宋" w:eastAsia="仿宋"/>
          <w:sz w:val="32"/>
          <w:szCs w:val="32"/>
        </w:rPr>
        <w:t>7.上市交易公告书中财务部分</w:t>
      </w:r>
      <w:r>
        <w:rPr>
          <w:rFonts w:hint="eastAsia" w:ascii="仿宋" w:hAnsi="仿宋" w:eastAsia="仿宋"/>
          <w:sz w:val="32"/>
          <w:szCs w:val="32"/>
        </w:rPr>
        <w:t>（含投资组合）（</w:t>
      </w:r>
      <w:r>
        <w:rPr>
          <w:rFonts w:ascii="仿宋" w:hAnsi="仿宋" w:eastAsia="仿宋"/>
          <w:sz w:val="32"/>
          <w:szCs w:val="32"/>
        </w:rPr>
        <w:t>经托管人确认的盖章件</w:t>
      </w:r>
      <w:r>
        <w:rPr>
          <w:rFonts w:hint="eastAsia" w:ascii="仿宋" w:hAnsi="仿宋" w:eastAsia="仿宋"/>
          <w:sz w:val="32"/>
          <w:szCs w:val="32"/>
        </w:rPr>
        <w:t>）</w:t>
      </w:r>
      <w:r>
        <w:rPr>
          <w:rFonts w:ascii="仿宋" w:hAnsi="仿宋" w:eastAsia="仿宋"/>
          <w:sz w:val="32"/>
          <w:szCs w:val="32"/>
        </w:rPr>
        <w:t>；</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8.已生效的</w:t>
      </w:r>
      <w:r>
        <w:rPr>
          <w:rFonts w:hint="eastAsia" w:ascii="仿宋" w:hAnsi="仿宋" w:eastAsia="仿宋"/>
          <w:sz w:val="32"/>
          <w:szCs w:val="32"/>
          <w:lang w:eastAsia="zh-CN"/>
        </w:rPr>
        <w:t>REITs</w:t>
      </w:r>
      <w:r>
        <w:rPr>
          <w:rFonts w:hint="eastAsia" w:ascii="仿宋" w:hAnsi="仿宋" w:eastAsia="仿宋"/>
          <w:sz w:val="32"/>
          <w:szCs w:val="32"/>
        </w:rPr>
        <w:t>认购</w:t>
      </w:r>
      <w:r>
        <w:rPr>
          <w:rFonts w:hint="eastAsia" w:ascii="仿宋" w:hAnsi="仿宋" w:eastAsia="仿宋"/>
          <w:sz w:val="32"/>
          <w:szCs w:val="32"/>
          <w:lang w:eastAsia="zh-CN"/>
        </w:rPr>
        <w:t>不动产</w:t>
      </w:r>
      <w:r>
        <w:rPr>
          <w:rFonts w:hint="eastAsia" w:ascii="仿宋" w:hAnsi="仿宋" w:eastAsia="仿宋"/>
          <w:sz w:val="32"/>
          <w:szCs w:val="32"/>
        </w:rPr>
        <w:t>资产支持证券的认购协议（基金管理人盖章扫描件）；</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eastAsia="zh-CN"/>
        </w:rPr>
        <w:t>REITs</w:t>
      </w:r>
      <w:r>
        <w:rPr>
          <w:rFonts w:hint="eastAsia" w:ascii="仿宋" w:hAnsi="仿宋" w:eastAsia="仿宋"/>
          <w:sz w:val="32"/>
          <w:szCs w:val="32"/>
        </w:rPr>
        <w:t>所投资专项计划的成立公告；</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eastAsia="zh-CN"/>
        </w:rPr>
        <w:t>REITs</w:t>
      </w:r>
      <w:r>
        <w:rPr>
          <w:rFonts w:hint="eastAsia" w:ascii="仿宋" w:hAnsi="仿宋" w:eastAsia="仿宋"/>
          <w:sz w:val="32"/>
          <w:szCs w:val="32"/>
        </w:rPr>
        <w:t>所投资专项计划已生效的基础资产买卖协议（基金管理人盖章扫描件）;</w:t>
      </w:r>
    </w:p>
    <w:p>
      <w:pPr>
        <w:spacing w:after="156" w:afterLines="50" w:line="56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持有份额</w:t>
      </w:r>
      <w:r>
        <w:rPr>
          <w:rFonts w:ascii="仿宋" w:hAnsi="仿宋" w:eastAsia="仿宋"/>
          <w:sz w:val="32"/>
          <w:szCs w:val="32"/>
        </w:rPr>
        <w:t>10%及以上基金持有人情况表</w:t>
      </w:r>
      <w:r>
        <w:rPr>
          <w:rFonts w:hint="eastAsia" w:ascii="仿宋" w:hAnsi="仿宋" w:eastAsia="仿宋"/>
          <w:sz w:val="32"/>
          <w:szCs w:val="32"/>
        </w:rPr>
        <w:t>；</w:t>
      </w:r>
    </w:p>
    <w:p>
      <w:pPr>
        <w:spacing w:after="156" w:afterLines="50" w:line="560" w:lineRule="exact"/>
        <w:ind w:firstLine="640" w:firstLineChars="200"/>
        <w:rPr>
          <w:rFonts w:ascii="仿宋" w:hAnsi="仿宋" w:eastAsia="仿宋"/>
          <w:sz w:val="32"/>
          <w:szCs w:val="32"/>
        </w:rPr>
      </w:pPr>
      <w:bookmarkStart w:id="183" w:name="_Toc59024574"/>
      <w:r>
        <w:rPr>
          <w:rFonts w:hint="eastAsia" w:ascii="仿宋" w:hAnsi="仿宋" w:eastAsia="仿宋"/>
          <w:sz w:val="32"/>
          <w:szCs w:val="32"/>
        </w:rPr>
        <w:t>12.发售后至上市前发生的可能对</w:t>
      </w:r>
      <w:r>
        <w:rPr>
          <w:rFonts w:hint="eastAsia" w:ascii="仿宋" w:hAnsi="仿宋" w:eastAsia="仿宋"/>
          <w:sz w:val="32"/>
          <w:szCs w:val="32"/>
          <w:lang w:eastAsia="zh-CN"/>
        </w:rPr>
        <w:t>不动产</w:t>
      </w:r>
      <w:r>
        <w:rPr>
          <w:rFonts w:hint="eastAsia" w:ascii="仿宋" w:hAnsi="仿宋" w:eastAsia="仿宋"/>
          <w:sz w:val="32"/>
          <w:szCs w:val="32"/>
        </w:rPr>
        <w:t>基金投资价值及投资决策判断有重大影响事项的说明（如适用）。</w:t>
      </w:r>
    </w:p>
    <w:p>
      <w:pPr>
        <w:pStyle w:val="5"/>
        <w:keepNext w:val="0"/>
        <w:keepLines w:val="0"/>
        <w:spacing w:before="0" w:after="156" w:afterLines="50" w:line="560" w:lineRule="exact"/>
        <w:ind w:firstLine="640" w:firstLineChars="200"/>
      </w:pPr>
      <w:bookmarkStart w:id="184" w:name="_Toc4511"/>
      <w:bookmarkStart w:id="185" w:name="_Toc70590197"/>
      <w:bookmarkStart w:id="186" w:name="_Toc31283"/>
      <w:bookmarkStart w:id="187" w:name="_Toc6478"/>
      <w:bookmarkStart w:id="188" w:name="_Toc6198"/>
      <w:r>
        <w:rPr>
          <w:rFonts w:hint="eastAsia"/>
        </w:rPr>
        <w:t>（三）</w:t>
      </w:r>
      <w:bookmarkEnd w:id="183"/>
      <w:r>
        <w:rPr>
          <w:rFonts w:hint="eastAsia"/>
        </w:rPr>
        <w:t>基金管理人更新、补充上市申请材料</w:t>
      </w:r>
      <w:bookmarkEnd w:id="184"/>
      <w:bookmarkEnd w:id="185"/>
      <w:bookmarkEnd w:id="186"/>
      <w:bookmarkEnd w:id="187"/>
      <w:bookmarkEnd w:id="188"/>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在T-4日前，本所对基金管理人提交的上市申请材料进行审核，基金管理人根据审核意见对上市申请材料进行修改、更正或补充。</w:t>
      </w:r>
    </w:p>
    <w:p>
      <w:pPr>
        <w:pStyle w:val="2"/>
        <w:keepNext w:val="0"/>
        <w:keepLines w:val="0"/>
        <w:spacing w:before="0" w:after="156" w:afterLines="50"/>
        <w:ind w:firstLine="640"/>
      </w:pPr>
      <w:bookmarkStart w:id="189" w:name="_Toc70590198"/>
      <w:bookmarkStart w:id="190" w:name="_Toc24597"/>
      <w:bookmarkStart w:id="191" w:name="_Toc6906"/>
      <w:bookmarkStart w:id="192" w:name="_Toc4532"/>
      <w:bookmarkStart w:id="193" w:name="_Toc59024576"/>
      <w:bookmarkStart w:id="194" w:name="_Toc11685"/>
      <w:r>
        <w:rPr>
          <w:rFonts w:hint="eastAsia"/>
        </w:rPr>
        <w:t>六、基金管理人收取《上市通知书》</w:t>
      </w:r>
      <w:bookmarkEnd w:id="189"/>
      <w:bookmarkEnd w:id="190"/>
      <w:bookmarkEnd w:id="191"/>
      <w:bookmarkEnd w:id="192"/>
      <w:bookmarkEnd w:id="193"/>
      <w:bookmarkEnd w:id="194"/>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T-4日，上市业务审核通过后，基金管理人通过基金业务专区收取《上市通知书》。</w:t>
      </w:r>
    </w:p>
    <w:p>
      <w:pPr>
        <w:pStyle w:val="2"/>
        <w:keepNext w:val="0"/>
        <w:keepLines w:val="0"/>
        <w:spacing w:before="0" w:after="156" w:afterLines="50"/>
        <w:ind w:firstLine="640"/>
      </w:pPr>
      <w:bookmarkStart w:id="195" w:name="_Toc70590199"/>
      <w:bookmarkStart w:id="196" w:name="_Toc15684"/>
      <w:bookmarkStart w:id="197" w:name="_Toc22025"/>
      <w:bookmarkStart w:id="198" w:name="_Toc6205"/>
      <w:bookmarkStart w:id="199" w:name="_Toc59024577"/>
      <w:bookmarkStart w:id="200" w:name="_Toc26321"/>
      <w:r>
        <w:rPr>
          <w:rFonts w:hint="eastAsia"/>
        </w:rPr>
        <w:t>七、发起《基金上市交易公告书》信息披露流程</w:t>
      </w:r>
      <w:bookmarkEnd w:id="195"/>
      <w:bookmarkEnd w:id="196"/>
      <w:bookmarkEnd w:id="197"/>
      <w:bookmarkEnd w:id="198"/>
      <w:bookmarkEnd w:id="199"/>
      <w:bookmarkEnd w:id="200"/>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T-4日，上市业务审核通过后，基金管理人通过本所基金业务专区中的“业务办理—</w:t>
      </w:r>
      <w:r>
        <w:rPr>
          <w:rFonts w:ascii="仿宋" w:hAnsi="仿宋" w:eastAsia="仿宋"/>
          <w:sz w:val="32"/>
          <w:szCs w:val="32"/>
        </w:rPr>
        <w:t>&gt;</w:t>
      </w:r>
      <w:r>
        <w:rPr>
          <w:rFonts w:hint="eastAsia" w:ascii="仿宋" w:hAnsi="仿宋" w:eastAsia="仿宋"/>
          <w:sz w:val="32"/>
          <w:szCs w:val="32"/>
        </w:rPr>
        <w:t>信息披露—</w:t>
      </w:r>
      <w:r>
        <w:rPr>
          <w:rFonts w:ascii="仿宋" w:hAnsi="仿宋" w:eastAsia="仿宋"/>
          <w:sz w:val="32"/>
          <w:szCs w:val="32"/>
        </w:rPr>
        <w:t>&gt;</w:t>
      </w:r>
      <w:r>
        <w:rPr>
          <w:rFonts w:hint="eastAsia" w:ascii="仿宋" w:hAnsi="仿宋" w:eastAsia="仿宋"/>
          <w:sz w:val="32"/>
          <w:szCs w:val="32"/>
        </w:rPr>
        <w:t>基金运作—</w:t>
      </w:r>
      <w:r>
        <w:rPr>
          <w:rFonts w:ascii="仿宋" w:hAnsi="仿宋" w:eastAsia="仿宋"/>
          <w:sz w:val="32"/>
          <w:szCs w:val="32"/>
        </w:rPr>
        <w:t>&gt;</w:t>
      </w:r>
      <w:r>
        <w:rPr>
          <w:rFonts w:hint="eastAsia" w:ascii="仿宋" w:hAnsi="仿宋" w:eastAsia="仿宋"/>
          <w:sz w:val="32"/>
          <w:szCs w:val="32"/>
        </w:rPr>
        <w:t>上市交易公告书”发起信息披露流程。</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T-3日，基金管理人在中国证监会规定的媒介及本所网站刊登《基金上市交易公告书》。</w:t>
      </w:r>
    </w:p>
    <w:p>
      <w:pPr>
        <w:pStyle w:val="2"/>
        <w:keepNext w:val="0"/>
        <w:keepLines w:val="0"/>
        <w:spacing w:before="0" w:after="156" w:afterLines="50"/>
        <w:ind w:firstLine="640"/>
      </w:pPr>
      <w:bookmarkStart w:id="201" w:name="_Toc59024578"/>
      <w:bookmarkStart w:id="202" w:name="_Toc8596"/>
      <w:bookmarkStart w:id="203" w:name="_Toc22784"/>
      <w:bookmarkStart w:id="204" w:name="_Toc70590200"/>
      <w:bookmarkStart w:id="205" w:name="_Toc32135"/>
      <w:bookmarkStart w:id="206" w:name="_Toc8167"/>
      <w:r>
        <w:rPr>
          <w:rFonts w:hint="eastAsia"/>
        </w:rPr>
        <w:t>八、</w:t>
      </w:r>
      <w:bookmarkEnd w:id="201"/>
      <w:r>
        <w:rPr>
          <w:rFonts w:hint="eastAsia"/>
        </w:rPr>
        <w:t>发起《基金上市交易提示性公告》信息披露流程</w:t>
      </w:r>
      <w:bookmarkEnd w:id="202"/>
      <w:bookmarkEnd w:id="203"/>
      <w:bookmarkEnd w:id="204"/>
      <w:bookmarkEnd w:id="205"/>
      <w:bookmarkEnd w:id="206"/>
    </w:p>
    <w:p>
      <w:pPr>
        <w:autoSpaceDE w:val="0"/>
        <w:autoSpaceDN w:val="0"/>
        <w:adjustRightInd w:val="0"/>
        <w:spacing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T-1日，基金管理人通过基金业务专区的“业务办理—</w:t>
      </w:r>
      <w:r>
        <w:rPr>
          <w:rFonts w:ascii="仿宋" w:hAnsi="仿宋" w:eastAsia="仿宋"/>
          <w:sz w:val="32"/>
          <w:szCs w:val="32"/>
        </w:rPr>
        <w:t>&gt;</w:t>
      </w:r>
      <w:r>
        <w:rPr>
          <w:rFonts w:hint="eastAsia" w:ascii="仿宋" w:hAnsi="仿宋" w:eastAsia="仿宋"/>
          <w:sz w:val="32"/>
          <w:szCs w:val="32"/>
        </w:rPr>
        <w:t>信息披露—</w:t>
      </w:r>
      <w:r>
        <w:rPr>
          <w:rFonts w:ascii="仿宋" w:hAnsi="仿宋" w:eastAsia="仿宋"/>
          <w:sz w:val="32"/>
          <w:szCs w:val="32"/>
        </w:rPr>
        <w:t>&gt;</w:t>
      </w:r>
      <w:r>
        <w:rPr>
          <w:rFonts w:hint="eastAsia" w:ascii="仿宋" w:hAnsi="仿宋" w:eastAsia="仿宋"/>
          <w:sz w:val="32"/>
          <w:szCs w:val="32"/>
        </w:rPr>
        <w:t>基金运作—</w:t>
      </w:r>
      <w:r>
        <w:rPr>
          <w:rFonts w:ascii="仿宋" w:hAnsi="仿宋" w:eastAsia="仿宋"/>
          <w:sz w:val="32"/>
          <w:szCs w:val="32"/>
        </w:rPr>
        <w:t>&gt;</w:t>
      </w:r>
      <w:r>
        <w:rPr>
          <w:rFonts w:hint="eastAsia" w:ascii="仿宋" w:hAnsi="仿宋" w:eastAsia="仿宋"/>
          <w:sz w:val="32"/>
          <w:szCs w:val="32"/>
        </w:rPr>
        <w:t>上市交易提示性公告”发起信息披露流程。</w:t>
      </w:r>
    </w:p>
    <w:p>
      <w:pPr>
        <w:autoSpaceDE w:val="0"/>
        <w:autoSpaceDN w:val="0"/>
        <w:adjustRightInd w:val="0"/>
        <w:spacing w:after="156" w:afterLines="50" w:line="560" w:lineRule="exact"/>
        <w:ind w:firstLine="640" w:firstLineChars="200"/>
        <w:jc w:val="left"/>
        <w:rPr>
          <w:rFonts w:hint="eastAsia" w:ascii="仿宋" w:hAnsi="仿宋" w:eastAsia="仿宋"/>
          <w:sz w:val="32"/>
          <w:szCs w:val="32"/>
          <w:lang w:eastAsia="zh-CN"/>
        </w:rPr>
      </w:pPr>
      <w:r>
        <w:rPr>
          <w:rFonts w:hint="eastAsia" w:ascii="仿宋" w:hAnsi="仿宋" w:eastAsia="仿宋"/>
          <w:sz w:val="32"/>
          <w:szCs w:val="32"/>
        </w:rPr>
        <w:t>上市交易提示性公告应包含基金代码、场内简称、最新交易份额数量、上市首日涨跌幅、涨跌幅</w:t>
      </w:r>
      <w:r>
        <w:rPr>
          <w:rFonts w:hint="eastAsia" w:ascii="仿宋" w:hAnsi="仿宋" w:eastAsia="仿宋"/>
          <w:sz w:val="32"/>
          <w:szCs w:val="32"/>
          <w:lang w:eastAsia="zh-CN"/>
        </w:rPr>
        <w:t>。</w:t>
      </w:r>
    </w:p>
    <w:p>
      <w:pPr>
        <w:spacing w:after="156" w:afterLines="50" w:line="560" w:lineRule="exact"/>
        <w:ind w:firstLine="640" w:firstLineChars="200"/>
        <w:rPr>
          <w:rFonts w:ascii="仿宋" w:hAnsi="仿宋" w:eastAsia="仿宋"/>
          <w:sz w:val="32"/>
          <w:szCs w:val="32"/>
        </w:rPr>
      </w:pPr>
      <w:r>
        <w:rPr>
          <w:rFonts w:ascii="仿宋" w:hAnsi="仿宋" w:eastAsia="仿宋"/>
          <w:sz w:val="32"/>
          <w:szCs w:val="32"/>
        </w:rPr>
        <w:t>T</w:t>
      </w:r>
      <w:r>
        <w:rPr>
          <w:rFonts w:hint="eastAsia" w:ascii="仿宋" w:hAnsi="仿宋" w:eastAsia="仿宋"/>
          <w:sz w:val="32"/>
          <w:szCs w:val="32"/>
        </w:rPr>
        <w:t>日，在中国证监会规定的媒介及本所网站刊登《基金上市交易提示性公告》。</w:t>
      </w:r>
    </w:p>
    <w:p>
      <w:pPr>
        <w:widowControl/>
        <w:spacing w:after="156" w:afterLines="50" w:line="560" w:lineRule="exact"/>
        <w:jc w:val="center"/>
        <w:rPr>
          <w:rFonts w:ascii="黑体" w:hAnsi="黑体" w:eastAsia="黑体" w:cs="Times New Roman"/>
          <w:bCs/>
          <w:sz w:val="32"/>
          <w:szCs w:val="32"/>
        </w:rPr>
      </w:pPr>
      <w:r>
        <w:rPr>
          <w:rFonts w:ascii="黑体" w:hAnsi="黑体" w:eastAsia="黑体" w:cs="Times New Roman"/>
          <w:bCs/>
          <w:sz w:val="32"/>
          <w:szCs w:val="32"/>
        </w:rPr>
        <w:drawing>
          <wp:anchor distT="0" distB="0" distL="114300" distR="114300" simplePos="0" relativeHeight="251659264" behindDoc="0" locked="0" layoutInCell="1" allowOverlap="1">
            <wp:simplePos x="0" y="0"/>
            <wp:positionH relativeFrom="column">
              <wp:posOffset>1145540</wp:posOffset>
            </wp:positionH>
            <wp:positionV relativeFrom="paragraph">
              <wp:posOffset>622935</wp:posOffset>
            </wp:positionV>
            <wp:extent cx="3390900" cy="5759450"/>
            <wp:effectExtent l="0" t="0" r="0" b="0"/>
            <wp:wrapTopAndBottom/>
            <wp:docPr id="7" name="图片 7" descr="D:\Users\ayb.dybk\Desktop\20210122流程图\20210122上市流程图（指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Users\ayb.dybk\Desktop\20210122流程图\20210122上市流程图（指南）.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390900" cy="5759450"/>
                    </a:xfrm>
                    <a:prstGeom prst="rect">
                      <a:avLst/>
                    </a:prstGeom>
                    <a:noFill/>
                    <a:ln>
                      <a:noFill/>
                    </a:ln>
                  </pic:spPr>
                </pic:pic>
              </a:graphicData>
            </a:graphic>
          </wp:anchor>
        </w:drawing>
      </w:r>
      <w:r>
        <w:rPr>
          <w:rFonts w:hint="eastAsia" w:ascii="黑体" w:hAnsi="黑体" w:eastAsia="黑体" w:cs="Times New Roman"/>
          <w:bCs/>
          <w:sz w:val="32"/>
          <w:szCs w:val="32"/>
        </w:rPr>
        <w:t>上市流程图</w:t>
      </w:r>
    </w:p>
    <w:p>
      <w:pPr>
        <w:widowControl/>
        <w:spacing w:after="156" w:afterLines="50" w:line="560" w:lineRule="exact"/>
        <w:ind w:firstLine="640" w:firstLineChars="200"/>
        <w:jc w:val="center"/>
        <w:rPr>
          <w:rFonts w:ascii="黑体" w:hAnsi="黑体" w:eastAsia="黑体" w:cs="Times New Roman"/>
          <w:bCs/>
          <w:sz w:val="32"/>
          <w:szCs w:val="32"/>
        </w:rPr>
      </w:pPr>
    </w:p>
    <w:p>
      <w:pPr>
        <w:widowControl/>
        <w:spacing w:after="156" w:afterLines="50" w:line="560" w:lineRule="exact"/>
        <w:ind w:firstLine="640" w:firstLineChars="200"/>
        <w:jc w:val="center"/>
        <w:rPr>
          <w:rFonts w:ascii="黑体" w:hAnsi="黑体" w:eastAsia="黑体" w:cs="Times New Roman"/>
          <w:bCs/>
          <w:sz w:val="32"/>
          <w:szCs w:val="32"/>
        </w:rPr>
        <w:sectPr>
          <w:pgSz w:w="11906" w:h="16838"/>
          <w:pgMar w:top="1440" w:right="1418" w:bottom="1440" w:left="1418" w:header="851" w:footer="850" w:gutter="0"/>
          <w:cols w:space="425" w:num="1"/>
          <w:formProt w:val="1"/>
          <w:docGrid w:type="lines" w:linePitch="312" w:charSpace="0"/>
        </w:sectPr>
      </w:pPr>
    </w:p>
    <w:p>
      <w:pPr>
        <w:pStyle w:val="4"/>
        <w:keepNext w:val="0"/>
        <w:keepLines w:val="0"/>
        <w:jc w:val="center"/>
        <w:rPr>
          <w:b w:val="0"/>
        </w:rPr>
      </w:pPr>
      <w:bookmarkStart w:id="207" w:name="_Toc19194"/>
      <w:bookmarkStart w:id="208" w:name="_Toc32543"/>
      <w:bookmarkStart w:id="209" w:name="_Toc26713"/>
      <w:bookmarkStart w:id="210" w:name="_Toc26693"/>
      <w:bookmarkStart w:id="211" w:name="_Toc70590201"/>
      <w:bookmarkStart w:id="212" w:name="_Toc68612174"/>
      <w:bookmarkStart w:id="213" w:name="_Toc65592411"/>
      <w:bookmarkStart w:id="214" w:name="_Toc59024605"/>
      <w:bookmarkStart w:id="215" w:name="_Toc41551545"/>
      <w:r>
        <w:rPr>
          <w:rFonts w:hint="eastAsia"/>
          <w:b w:val="0"/>
        </w:rPr>
        <w:t>第三章 投资者适当性</w:t>
      </w:r>
      <w:bookmarkEnd w:id="207"/>
      <w:bookmarkEnd w:id="208"/>
      <w:bookmarkEnd w:id="209"/>
      <w:bookmarkEnd w:id="210"/>
      <w:bookmarkEnd w:id="211"/>
    </w:p>
    <w:p>
      <w:pPr>
        <w:pStyle w:val="2"/>
        <w:keepNext w:val="0"/>
        <w:keepLines w:val="0"/>
        <w:spacing w:before="0" w:after="156" w:afterLines="50"/>
        <w:ind w:firstLine="640"/>
      </w:pPr>
      <w:bookmarkStart w:id="216" w:name="_Toc70590202"/>
      <w:bookmarkStart w:id="217" w:name="_Toc4107"/>
      <w:bookmarkStart w:id="218" w:name="_Toc18538"/>
      <w:bookmarkStart w:id="219" w:name="_Toc1992"/>
      <w:bookmarkStart w:id="220" w:name="_Toc20651"/>
      <w:r>
        <w:rPr>
          <w:rFonts w:hint="eastAsia"/>
        </w:rPr>
        <w:t>一、建立健全适当性管理制度</w:t>
      </w:r>
      <w:bookmarkEnd w:id="212"/>
      <w:bookmarkEnd w:id="213"/>
      <w:bookmarkEnd w:id="216"/>
      <w:bookmarkEnd w:id="217"/>
      <w:bookmarkEnd w:id="218"/>
      <w:bookmarkEnd w:id="219"/>
      <w:bookmarkEnd w:id="220"/>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基金管理人和证券公司等基金销售机构应当根据《证券期货投资者适当性管理办法》《公开募集基础设施证券投资基金指引（试行）》《深圳证券交易所公开募集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基金业务办法（试行）》等规定，制定</w:t>
      </w:r>
      <w:r>
        <w:rPr>
          <w:rFonts w:hint="eastAsia" w:ascii="仿宋" w:hAnsi="仿宋" w:eastAsia="仿宋"/>
          <w:sz w:val="32"/>
          <w:szCs w:val="32"/>
          <w:lang w:eastAsia="zh-CN"/>
        </w:rPr>
        <w:t>REITs</w:t>
      </w:r>
      <w:r>
        <w:rPr>
          <w:rFonts w:hint="eastAsia" w:ascii="仿宋" w:hAnsi="仿宋" w:eastAsia="仿宋"/>
          <w:sz w:val="32"/>
          <w:szCs w:val="32"/>
        </w:rPr>
        <w:t>投资者适当性管理的相关工作制度，对投资者进行适当性管理。</w:t>
      </w:r>
    </w:p>
    <w:p>
      <w:pPr>
        <w:pStyle w:val="2"/>
        <w:keepNext w:val="0"/>
        <w:keepLines w:val="0"/>
        <w:spacing w:before="0" w:after="156" w:afterLines="50"/>
        <w:ind w:firstLine="640"/>
      </w:pPr>
      <w:bookmarkStart w:id="221" w:name="_Toc65592413"/>
      <w:bookmarkStart w:id="222" w:name="_Toc3890"/>
      <w:bookmarkStart w:id="223" w:name="_Toc31052"/>
      <w:bookmarkStart w:id="224" w:name="_Toc8634"/>
      <w:bookmarkStart w:id="225" w:name="_Toc70590203"/>
      <w:bookmarkStart w:id="226" w:name="_Toc68612176"/>
      <w:bookmarkStart w:id="227" w:name="_Toc23915"/>
      <w:r>
        <w:rPr>
          <w:rFonts w:hint="eastAsia"/>
        </w:rPr>
        <w:t>二、充分揭示风险</w:t>
      </w:r>
      <w:bookmarkEnd w:id="221"/>
      <w:bookmarkEnd w:id="222"/>
      <w:bookmarkEnd w:id="223"/>
      <w:bookmarkEnd w:id="224"/>
      <w:bookmarkEnd w:id="225"/>
      <w:bookmarkEnd w:id="226"/>
      <w:bookmarkEnd w:id="227"/>
    </w:p>
    <w:p>
      <w:pPr>
        <w:pStyle w:val="5"/>
        <w:keepNext w:val="0"/>
        <w:keepLines w:val="0"/>
        <w:spacing w:before="0" w:after="156" w:afterLines="50" w:line="560" w:lineRule="exact"/>
        <w:ind w:firstLine="640" w:firstLineChars="200"/>
      </w:pPr>
      <w:bookmarkStart w:id="228" w:name="_Toc65592414"/>
      <w:bookmarkStart w:id="229" w:name="_Toc68612177"/>
      <w:bookmarkStart w:id="230" w:name="_Toc4604"/>
      <w:bookmarkStart w:id="231" w:name="_Toc70590204"/>
      <w:bookmarkStart w:id="232" w:name="_Toc25428"/>
      <w:bookmarkStart w:id="233" w:name="_Toc13108"/>
      <w:bookmarkStart w:id="234" w:name="_Toc12864"/>
      <w:r>
        <w:rPr>
          <w:rFonts w:hint="eastAsia"/>
        </w:rPr>
        <w:t>（一）制定风险揭示书</w:t>
      </w:r>
      <w:bookmarkEnd w:id="228"/>
      <w:bookmarkEnd w:id="229"/>
      <w:bookmarkEnd w:id="230"/>
      <w:bookmarkEnd w:id="231"/>
      <w:bookmarkEnd w:id="232"/>
      <w:bookmarkEnd w:id="233"/>
      <w:bookmarkEnd w:id="234"/>
    </w:p>
    <w:p>
      <w:pPr>
        <w:spacing w:after="156" w:afterLines="50" w:line="560" w:lineRule="exact"/>
        <w:ind w:firstLine="640" w:firstLineChars="200"/>
        <w:rPr>
          <w:rFonts w:ascii="仿宋" w:hAnsi="仿宋" w:eastAsia="仿宋"/>
          <w:sz w:val="32"/>
          <w:szCs w:val="32"/>
        </w:rPr>
      </w:pPr>
      <w:bookmarkStart w:id="235" w:name="_Toc68612178"/>
      <w:bookmarkStart w:id="236" w:name="_Toc65592415"/>
      <w:r>
        <w:rPr>
          <w:rFonts w:hint="eastAsia" w:ascii="仿宋" w:hAnsi="仿宋" w:eastAsia="仿宋"/>
          <w:sz w:val="32"/>
          <w:szCs w:val="32"/>
        </w:rPr>
        <w:t>基金管理人和证券公司等基金销售机构应当对照《深圳证券交易所公开募集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基金业务办法（试行）》的附件《公开募集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基金风险揭示书必备条款》，制定《公开募集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基金相关业务风险揭示书》（以下简称《风险揭示书》）。</w:t>
      </w:r>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除《公开募集</w:t>
      </w:r>
      <w:r>
        <w:rPr>
          <w:rFonts w:hint="eastAsia" w:ascii="仿宋" w:hAnsi="仿宋" w:eastAsia="仿宋"/>
          <w:sz w:val="32"/>
          <w:szCs w:val="32"/>
          <w:lang w:eastAsia="zh-CN"/>
        </w:rPr>
        <w:t>不动产</w:t>
      </w:r>
      <w:r>
        <w:rPr>
          <w:rFonts w:hint="eastAsia" w:ascii="仿宋" w:hAnsi="仿宋" w:eastAsia="仿宋"/>
          <w:sz w:val="32"/>
          <w:szCs w:val="32"/>
        </w:rPr>
        <w:t>投资</w:t>
      </w:r>
      <w:r>
        <w:rPr>
          <w:rFonts w:hint="eastAsia" w:ascii="仿宋" w:hAnsi="仿宋" w:eastAsia="仿宋"/>
          <w:sz w:val="32"/>
          <w:szCs w:val="32"/>
          <w:lang w:val="en-US" w:eastAsia="zh-CN"/>
        </w:rPr>
        <w:t>信托</w:t>
      </w:r>
      <w:r>
        <w:rPr>
          <w:rFonts w:hint="eastAsia" w:ascii="仿宋" w:hAnsi="仿宋" w:eastAsia="仿宋"/>
          <w:sz w:val="32"/>
          <w:szCs w:val="32"/>
        </w:rPr>
        <w:t>基金风险揭示书必备条款》规定的风险事项以外，基金管理人和证券公司等基金销售机构还可以根据具体情况在本公司制定的《风险揭示书》中对</w:t>
      </w:r>
      <w:r>
        <w:rPr>
          <w:rFonts w:hint="eastAsia" w:ascii="仿宋" w:hAnsi="仿宋" w:eastAsia="仿宋"/>
          <w:sz w:val="32"/>
          <w:szCs w:val="32"/>
          <w:lang w:eastAsia="zh-CN"/>
        </w:rPr>
        <w:t>REITs</w:t>
      </w:r>
      <w:r>
        <w:rPr>
          <w:rFonts w:hint="eastAsia" w:ascii="仿宋" w:hAnsi="仿宋" w:eastAsia="仿宋"/>
          <w:sz w:val="32"/>
          <w:szCs w:val="32"/>
        </w:rPr>
        <w:t>投资的相关风险做进一步列举。</w:t>
      </w:r>
    </w:p>
    <w:p>
      <w:pPr>
        <w:pStyle w:val="5"/>
        <w:keepNext w:val="0"/>
        <w:keepLines w:val="0"/>
        <w:spacing w:before="0" w:after="156" w:afterLines="50" w:line="560" w:lineRule="exact"/>
        <w:ind w:firstLine="640" w:firstLineChars="200"/>
      </w:pPr>
      <w:bookmarkStart w:id="237" w:name="_Toc18343"/>
      <w:bookmarkStart w:id="238" w:name="_Toc1771"/>
      <w:bookmarkStart w:id="239" w:name="_Toc70590205"/>
      <w:bookmarkStart w:id="240" w:name="_Toc9709"/>
      <w:bookmarkStart w:id="241" w:name="_Toc32044"/>
      <w:r>
        <w:rPr>
          <w:rFonts w:hint="eastAsia"/>
        </w:rPr>
        <w:t>（二）签署风险揭示书</w:t>
      </w:r>
      <w:bookmarkEnd w:id="235"/>
      <w:bookmarkEnd w:id="236"/>
      <w:bookmarkEnd w:id="237"/>
      <w:bookmarkEnd w:id="238"/>
      <w:bookmarkEnd w:id="239"/>
      <w:bookmarkEnd w:id="240"/>
      <w:bookmarkEnd w:id="241"/>
    </w:p>
    <w:p>
      <w:pPr>
        <w:spacing w:after="156" w:afterLines="50" w:line="560" w:lineRule="exact"/>
        <w:ind w:firstLine="640" w:firstLineChars="200"/>
        <w:rPr>
          <w:rFonts w:ascii="仿宋" w:hAnsi="仿宋" w:eastAsia="仿宋"/>
          <w:sz w:val="32"/>
          <w:szCs w:val="32"/>
        </w:rPr>
      </w:pPr>
      <w:r>
        <w:rPr>
          <w:rFonts w:hint="eastAsia" w:ascii="仿宋" w:hAnsi="仿宋" w:eastAsia="仿宋"/>
          <w:sz w:val="32"/>
          <w:szCs w:val="32"/>
        </w:rPr>
        <w:t>基金管理人和证券公司等基金销售机构应当加强</w:t>
      </w:r>
      <w:r>
        <w:rPr>
          <w:rFonts w:hint="eastAsia" w:ascii="仿宋" w:hAnsi="仿宋" w:eastAsia="仿宋"/>
          <w:sz w:val="32"/>
          <w:szCs w:val="32"/>
          <w:lang w:eastAsia="zh-CN"/>
        </w:rPr>
        <w:t>REITs</w:t>
      </w:r>
      <w:r>
        <w:rPr>
          <w:rFonts w:hint="eastAsia" w:ascii="仿宋" w:hAnsi="仿宋" w:eastAsia="仿宋"/>
          <w:sz w:val="32"/>
          <w:szCs w:val="32"/>
        </w:rPr>
        <w:t>产品的投资者教育，引导投资者充分认识</w:t>
      </w:r>
      <w:r>
        <w:rPr>
          <w:rFonts w:hint="eastAsia" w:ascii="仿宋" w:hAnsi="仿宋" w:eastAsia="仿宋"/>
          <w:sz w:val="32"/>
          <w:szCs w:val="32"/>
          <w:lang w:eastAsia="zh-CN"/>
        </w:rPr>
        <w:t>REITs</w:t>
      </w:r>
      <w:r>
        <w:rPr>
          <w:rFonts w:hint="eastAsia" w:ascii="仿宋" w:hAnsi="仿宋" w:eastAsia="仿宋"/>
          <w:sz w:val="32"/>
          <w:szCs w:val="32"/>
        </w:rPr>
        <w:t>的风险特征，要求普通投资者在首次购买</w:t>
      </w:r>
      <w:r>
        <w:rPr>
          <w:rFonts w:hint="eastAsia" w:ascii="仿宋" w:hAnsi="仿宋" w:eastAsia="仿宋"/>
          <w:sz w:val="32"/>
          <w:szCs w:val="32"/>
          <w:lang w:eastAsia="zh-CN"/>
        </w:rPr>
        <w:t>REITs</w:t>
      </w:r>
      <w:r>
        <w:rPr>
          <w:rFonts w:hint="eastAsia" w:ascii="仿宋" w:hAnsi="仿宋" w:eastAsia="仿宋"/>
          <w:sz w:val="32"/>
          <w:szCs w:val="32"/>
        </w:rPr>
        <w:t>份额前，以纸质或电子形式签署风险揭示书，确认其了解</w:t>
      </w:r>
      <w:r>
        <w:rPr>
          <w:rFonts w:hint="eastAsia" w:ascii="仿宋" w:hAnsi="仿宋" w:eastAsia="仿宋"/>
          <w:sz w:val="32"/>
          <w:szCs w:val="32"/>
          <w:lang w:eastAsia="zh-CN"/>
        </w:rPr>
        <w:t>REITs</w:t>
      </w:r>
      <w:r>
        <w:rPr>
          <w:rFonts w:hint="eastAsia" w:ascii="仿宋" w:hAnsi="仿宋" w:eastAsia="仿宋"/>
          <w:sz w:val="32"/>
          <w:szCs w:val="32"/>
        </w:rPr>
        <w:t>产品特征及主要风险。普通投资者未签署《风险揭示书》的，基金管理人、证券公司等基金销售机构不得接受其购买委托。</w:t>
      </w:r>
    </w:p>
    <w:p>
      <w:pPr>
        <w:spacing w:after="156" w:afterLines="50" w:line="560" w:lineRule="exact"/>
        <w:ind w:firstLine="640" w:firstLineChars="200"/>
        <w:rPr>
          <w:rFonts w:ascii="仿宋" w:hAnsi="仿宋" w:eastAsia="仿宋"/>
          <w:sz w:val="32"/>
          <w:szCs w:val="32"/>
        </w:rPr>
        <w:sectPr>
          <w:headerReference r:id="rId6" w:type="default"/>
          <w:headerReference r:id="rId7" w:type="even"/>
          <w:pgSz w:w="11906" w:h="16838"/>
          <w:pgMar w:top="1440" w:right="1800" w:bottom="1440" w:left="1800" w:header="851" w:footer="992" w:gutter="0"/>
          <w:cols w:space="720" w:num="1"/>
          <w:formProt w:val="1"/>
          <w:docGrid w:type="lines" w:linePitch="312" w:charSpace="0"/>
        </w:sectPr>
      </w:pPr>
      <w:r>
        <w:rPr>
          <w:rFonts w:hint="eastAsia" w:ascii="仿宋" w:hAnsi="仿宋" w:eastAsia="仿宋"/>
          <w:sz w:val="32"/>
          <w:szCs w:val="32"/>
        </w:rPr>
        <w:t>普通投资者，即符合《证券期货投资者适当性管理办法》第十条规定的投资者。</w:t>
      </w:r>
    </w:p>
    <w:p>
      <w:pPr>
        <w:pStyle w:val="4"/>
        <w:keepNext w:val="0"/>
        <w:keepLines w:val="0"/>
        <w:jc w:val="center"/>
        <w:rPr>
          <w:b w:val="0"/>
        </w:rPr>
      </w:pPr>
      <w:bookmarkStart w:id="242" w:name="_Toc22775"/>
      <w:bookmarkStart w:id="243" w:name="_Toc16118"/>
      <w:bookmarkStart w:id="244" w:name="_Toc26663"/>
      <w:bookmarkStart w:id="245" w:name="_Toc14649"/>
      <w:bookmarkStart w:id="246" w:name="_Toc70590207"/>
      <w:r>
        <w:rPr>
          <w:rFonts w:hint="eastAsia"/>
          <w:b w:val="0"/>
        </w:rPr>
        <w:t>第</w:t>
      </w:r>
      <w:r>
        <w:rPr>
          <w:rFonts w:hint="eastAsia"/>
          <w:b w:val="0"/>
          <w:lang w:val="en-US" w:eastAsia="zh-CN"/>
        </w:rPr>
        <w:t>四</w:t>
      </w:r>
      <w:r>
        <w:rPr>
          <w:rFonts w:hint="eastAsia"/>
          <w:b w:val="0"/>
        </w:rPr>
        <w:t>章  附件</w:t>
      </w:r>
      <w:bookmarkEnd w:id="214"/>
      <w:bookmarkEnd w:id="242"/>
      <w:bookmarkEnd w:id="243"/>
      <w:bookmarkEnd w:id="244"/>
      <w:bookmarkEnd w:id="245"/>
      <w:bookmarkEnd w:id="246"/>
    </w:p>
    <w:p>
      <w:pPr>
        <w:pStyle w:val="5"/>
        <w:keepNext w:val="0"/>
        <w:keepLines w:val="0"/>
        <w:rPr>
          <w:rFonts w:asciiTheme="minorEastAsia" w:hAnsiTheme="minorEastAsia" w:eastAsiaTheme="minorEastAsia"/>
          <w:b/>
        </w:rPr>
      </w:pPr>
      <w:bookmarkStart w:id="247" w:name="_Toc59024606"/>
      <w:bookmarkStart w:id="248" w:name="_Toc32031"/>
      <w:bookmarkStart w:id="249" w:name="_Toc5773"/>
      <w:bookmarkStart w:id="250" w:name="_Toc21874"/>
      <w:bookmarkStart w:id="251" w:name="_Toc7307"/>
      <w:bookmarkStart w:id="252" w:name="_Toc70590208"/>
      <w:r>
        <w:rPr>
          <w:rFonts w:asciiTheme="minorEastAsia" w:hAnsiTheme="minorEastAsia" w:eastAsiaTheme="minorEastAsia"/>
          <w:b/>
        </w:rPr>
        <w:t>附件1：</w:t>
      </w:r>
      <w:bookmarkEnd w:id="215"/>
      <w:bookmarkEnd w:id="247"/>
      <w:r>
        <w:rPr>
          <w:rFonts w:hint="eastAsia" w:asciiTheme="minorEastAsia" w:hAnsiTheme="minorEastAsia" w:eastAsiaTheme="minorEastAsia"/>
          <w:b/>
          <w:lang w:eastAsia="zh-CN"/>
        </w:rPr>
        <w:t>不动产</w:t>
      </w:r>
      <w:r>
        <w:rPr>
          <w:rFonts w:hint="eastAsia" w:asciiTheme="minorEastAsia" w:hAnsiTheme="minorEastAsia" w:eastAsiaTheme="minorEastAsia"/>
          <w:b/>
        </w:rPr>
        <w:t>基金发售各业务完成时点要求</w:t>
      </w:r>
      <w:bookmarkEnd w:id="248"/>
      <w:bookmarkEnd w:id="249"/>
      <w:bookmarkEnd w:id="250"/>
      <w:bookmarkEnd w:id="251"/>
      <w:bookmarkEnd w:id="252"/>
    </w:p>
    <w:p>
      <w:pPr>
        <w:jc w:val="left"/>
        <w:rPr>
          <w:rFonts w:ascii="方正小标宋简体" w:hAnsi="仿宋" w:eastAsia="方正小标宋简体"/>
          <w:sz w:val="44"/>
          <w:szCs w:val="44"/>
        </w:rPr>
      </w:pPr>
      <w:r>
        <w:rPr>
          <w:rFonts w:hint="eastAsia" w:ascii="仿宋" w:hAnsi="仿宋" w:eastAsia="仿宋" w:cs="宋体"/>
          <w:color w:val="000000"/>
          <w:kern w:val="0"/>
          <w:sz w:val="24"/>
          <w:szCs w:val="24"/>
        </w:rPr>
        <w:t>（X日为询价日，T日为募集期首日，L日为募集期最后一日。其中，募集期首日（T日）至少应在发售公告发布三个自然日后。如无特殊说明，均为交易日）</w:t>
      </w:r>
    </w:p>
    <w:tbl>
      <w:tblPr>
        <w:tblStyle w:val="18"/>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期限</w:t>
            </w:r>
          </w:p>
        </w:tc>
        <w:tc>
          <w:tcPr>
            <w:tcW w:w="5245" w:type="dxa"/>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Merge w:val="restart"/>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经证监会注册，启动发售前</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申请基金简称及代码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Merge w:val="continue"/>
            <w:vAlign w:val="center"/>
          </w:tcPr>
          <w:p>
            <w:pPr>
              <w:widowControl/>
              <w:spacing w:line="360" w:lineRule="auto"/>
              <w:jc w:val="center"/>
              <w:rPr>
                <w:rFonts w:ascii="仿宋" w:hAnsi="仿宋" w:eastAsia="仿宋" w:cs="宋体"/>
                <w:color w:val="000000"/>
                <w:kern w:val="0"/>
                <w:sz w:val="24"/>
                <w:szCs w:val="24"/>
              </w:rPr>
            </w:pP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通过基金业务专区报备发售方案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询价日3个交易日前（X-3日前）</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披露询价公告、招募说明书等信息披露文件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询价日1个交易日前（X-1日前）</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在EIPO平台录入并提交询价参数，确定可参与询价的网下投资者及配售对象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询价</w:t>
            </w:r>
            <w:r>
              <w:rPr>
                <w:rFonts w:ascii="仿宋" w:hAnsi="仿宋" w:eastAsia="仿宋" w:cs="宋体"/>
                <w:color w:val="000000"/>
                <w:kern w:val="0"/>
                <w:sz w:val="24"/>
                <w:szCs w:val="24"/>
              </w:rPr>
              <w:t>日</w:t>
            </w:r>
            <w:r>
              <w:rPr>
                <w:rFonts w:hint="eastAsia" w:ascii="仿宋" w:hAnsi="仿宋" w:eastAsia="仿宋" w:cs="宋体"/>
                <w:color w:val="000000"/>
                <w:kern w:val="0"/>
                <w:sz w:val="24"/>
                <w:szCs w:val="24"/>
              </w:rPr>
              <w:t>（X日）</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询价日下一交易日（X+1日）</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根据询价结果，</w:t>
            </w:r>
            <w:r>
              <w:rPr>
                <w:rFonts w:ascii="仿宋" w:hAnsi="仿宋" w:eastAsia="仿宋" w:cs="宋体"/>
                <w:color w:val="000000"/>
                <w:kern w:val="0"/>
                <w:sz w:val="24"/>
                <w:szCs w:val="24"/>
              </w:rPr>
              <w:t>确定有效报价配售对象名单、发售价格及最终的</w:t>
            </w:r>
            <w:r>
              <w:rPr>
                <w:rFonts w:hint="eastAsia" w:ascii="仿宋" w:hAnsi="仿宋" w:eastAsia="仿宋" w:cs="宋体"/>
                <w:color w:val="000000"/>
                <w:kern w:val="0"/>
                <w:sz w:val="24"/>
                <w:szCs w:val="24"/>
              </w:rPr>
              <w:t>网下发售份额</w:t>
            </w:r>
            <w:r>
              <w:rPr>
                <w:rFonts w:ascii="仿宋" w:hAnsi="仿宋" w:eastAsia="仿宋" w:cs="宋体"/>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刊登发售公告2个交易日前</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在基金业务专区提交发售公告、战略投资者专项核查报告和专项法律意见书，T-3日（自然日）在指定媒体披露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募集期首日前一交易日（T-1日）</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T-1日</w:t>
            </w:r>
            <w:r>
              <w:rPr>
                <w:rFonts w:ascii="仿宋" w:hAnsi="仿宋" w:eastAsia="仿宋" w:cs="宋体"/>
                <w:color w:val="000000"/>
                <w:kern w:val="0"/>
                <w:sz w:val="24"/>
                <w:szCs w:val="24"/>
              </w:rPr>
              <w:t>15:00前在EIPO平台录入发售参数，并启动</w:t>
            </w:r>
            <w:r>
              <w:rPr>
                <w:rFonts w:hint="eastAsia" w:ascii="仿宋" w:hAnsi="仿宋" w:eastAsia="仿宋" w:cs="宋体"/>
                <w:color w:val="000000"/>
                <w:kern w:val="0"/>
                <w:sz w:val="24"/>
                <w:szCs w:val="24"/>
              </w:rPr>
              <w:t>认</w:t>
            </w:r>
            <w:r>
              <w:rPr>
                <w:rFonts w:ascii="仿宋" w:hAnsi="仿宋" w:eastAsia="仿宋" w:cs="宋体"/>
                <w:color w:val="000000"/>
                <w:kern w:val="0"/>
                <w:sz w:val="24"/>
                <w:szCs w:val="24"/>
              </w:rPr>
              <w:t>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募集期（</w:t>
            </w:r>
            <w:r>
              <w:rPr>
                <w:rFonts w:ascii="仿宋" w:hAnsi="仿宋" w:eastAsia="仿宋" w:cs="宋体"/>
                <w:color w:val="000000"/>
                <w:kern w:val="0"/>
                <w:sz w:val="24"/>
                <w:szCs w:val="24"/>
              </w:rPr>
              <w:t>T日</w:t>
            </w:r>
            <w:r>
              <w:rPr>
                <w:rFonts w:hint="eastAsia" w:ascii="仿宋" w:hAnsi="仿宋" w:eastAsia="仿宋" w:cs="宋体"/>
                <w:color w:val="000000"/>
                <w:kern w:val="0"/>
                <w:sz w:val="24"/>
                <w:szCs w:val="24"/>
              </w:rPr>
              <w:t>至L日），基金募集</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1.网下</w:t>
            </w:r>
            <w:r>
              <w:rPr>
                <w:rFonts w:ascii="仿宋" w:hAnsi="仿宋" w:eastAsia="仿宋" w:cs="宋体"/>
                <w:color w:val="000000"/>
                <w:kern w:val="0"/>
                <w:sz w:val="24"/>
                <w:szCs w:val="24"/>
              </w:rPr>
              <w:t>投资者</w:t>
            </w:r>
            <w:r>
              <w:rPr>
                <w:rFonts w:hint="eastAsia" w:ascii="仿宋" w:hAnsi="仿宋" w:eastAsia="仿宋" w:cs="宋体"/>
                <w:color w:val="000000"/>
                <w:kern w:val="0"/>
                <w:sz w:val="24"/>
                <w:szCs w:val="24"/>
              </w:rPr>
              <w:t>、公众投资者、战略投资者认</w:t>
            </w:r>
            <w:r>
              <w:rPr>
                <w:rFonts w:ascii="仿宋" w:hAnsi="仿宋" w:eastAsia="仿宋" w:cs="宋体"/>
                <w:color w:val="000000"/>
                <w:kern w:val="0"/>
                <w:sz w:val="24"/>
                <w:szCs w:val="24"/>
              </w:rPr>
              <w:t>购</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2.基金管理人在募集期每日12：00前，通过基金业务专区上传前一交易日的认购数据</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3.若需变更基金认购期限，按本指南规定的时限提交业务，并在EIPO平台修改募集期相关参数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募集期结束的次一交易日（</w:t>
            </w:r>
            <w:r>
              <w:rPr>
                <w:rFonts w:ascii="仿宋" w:hAnsi="仿宋" w:eastAsia="仿宋" w:cs="宋体"/>
                <w:color w:val="000000"/>
                <w:kern w:val="0"/>
                <w:sz w:val="24"/>
                <w:szCs w:val="24"/>
              </w:rPr>
              <w:t>L</w:t>
            </w:r>
            <w:r>
              <w:rPr>
                <w:rFonts w:hint="eastAsia" w:ascii="仿宋" w:hAnsi="仿宋" w:eastAsia="仿宋" w:cs="宋体"/>
                <w:color w:val="000000"/>
                <w:kern w:val="0"/>
                <w:sz w:val="24"/>
                <w:szCs w:val="24"/>
              </w:rPr>
              <w:t>+1日）或指定交易日</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1.基金管理人、财务顾问确认是否启动回拨机制，如回拨通知本所并公告</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2.基金管理人进行网下发售份额配售</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3.网下投资者各配售对象获配情况上传至</w:t>
            </w:r>
            <w:r>
              <w:rPr>
                <w:rFonts w:ascii="仿宋" w:hAnsi="仿宋" w:eastAsia="仿宋" w:cs="宋体"/>
                <w:color w:val="000000"/>
                <w:kern w:val="0"/>
                <w:sz w:val="24"/>
                <w:szCs w:val="24"/>
              </w:rPr>
              <w:t>EIPO平台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募集期结束后</w:t>
            </w:r>
          </w:p>
        </w:tc>
        <w:tc>
          <w:tcPr>
            <w:tcW w:w="5245"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1.基金管理人向中国结算进行份额登记并进行验资</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2.战配投资者份额锁定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3.披露基金合同生效公告</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4.基金管理人应当将法律意见书、发售总结报告等文件报送本所（设立之日起10个工作日内）</w:t>
            </w:r>
          </w:p>
        </w:tc>
      </w:tr>
    </w:tbl>
    <w:p>
      <w:pPr>
        <w:pStyle w:val="5"/>
        <w:keepNext w:val="0"/>
        <w:keepLines w:val="0"/>
        <w:rPr>
          <w:rFonts w:ascii="黑体" w:hAnsi="黑体" w:eastAsia="黑体"/>
          <w:b/>
        </w:rPr>
        <w:sectPr>
          <w:headerReference r:id="rId8" w:type="default"/>
          <w:headerReference r:id="rId9" w:type="even"/>
          <w:pgSz w:w="11906" w:h="16838"/>
          <w:pgMar w:top="1440" w:right="1800" w:bottom="1440" w:left="1800" w:header="851" w:footer="992" w:gutter="0"/>
          <w:cols w:space="720" w:num="1"/>
          <w:formProt w:val="1"/>
          <w:docGrid w:type="lines" w:linePitch="312" w:charSpace="0"/>
        </w:sectPr>
      </w:pPr>
      <w:bookmarkStart w:id="253" w:name="_Toc59024607"/>
      <w:bookmarkStart w:id="254" w:name="_Toc41551546"/>
    </w:p>
    <w:p>
      <w:pPr>
        <w:pStyle w:val="5"/>
        <w:keepNext w:val="0"/>
        <w:keepLines w:val="0"/>
        <w:rPr>
          <w:rFonts w:asciiTheme="minorEastAsia" w:hAnsiTheme="minorEastAsia" w:eastAsiaTheme="minorEastAsia"/>
          <w:b/>
        </w:rPr>
      </w:pPr>
      <w:bookmarkStart w:id="255" w:name="_Toc3490"/>
      <w:bookmarkStart w:id="256" w:name="_Toc3984"/>
      <w:bookmarkStart w:id="257" w:name="_Toc21082"/>
      <w:bookmarkStart w:id="258" w:name="_Toc70590209"/>
      <w:bookmarkStart w:id="259" w:name="_Toc28296"/>
      <w:r>
        <w:rPr>
          <w:rFonts w:asciiTheme="minorEastAsia" w:hAnsiTheme="minorEastAsia" w:eastAsiaTheme="minorEastAsia"/>
          <w:b/>
        </w:rPr>
        <w:t>附件2：</w:t>
      </w:r>
      <w:bookmarkEnd w:id="253"/>
      <w:bookmarkEnd w:id="254"/>
      <w:r>
        <w:rPr>
          <w:rFonts w:hint="eastAsia" w:asciiTheme="minorEastAsia" w:hAnsiTheme="minorEastAsia" w:eastAsiaTheme="minorEastAsia"/>
          <w:b/>
          <w:lang w:eastAsia="zh-CN"/>
        </w:rPr>
        <w:t>不动产</w:t>
      </w:r>
      <w:r>
        <w:rPr>
          <w:rFonts w:hint="eastAsia" w:asciiTheme="minorEastAsia" w:hAnsiTheme="minorEastAsia" w:eastAsiaTheme="minorEastAsia"/>
          <w:b/>
        </w:rPr>
        <w:t>基金</w:t>
      </w:r>
      <w:r>
        <w:rPr>
          <w:rFonts w:asciiTheme="minorEastAsia" w:hAnsiTheme="minorEastAsia" w:eastAsiaTheme="minorEastAsia"/>
          <w:b/>
        </w:rPr>
        <w:t>EIPO平台操作时间节点</w:t>
      </w:r>
      <w:bookmarkEnd w:id="255"/>
      <w:bookmarkEnd w:id="256"/>
      <w:bookmarkEnd w:id="257"/>
      <w:bookmarkEnd w:id="258"/>
      <w:bookmarkEnd w:id="259"/>
    </w:p>
    <w:p>
      <w:pPr>
        <w:spacing w:line="400" w:lineRule="exact"/>
        <w:jc w:val="left"/>
        <w:rPr>
          <w:rFonts w:ascii="仿宋" w:hAnsi="仿宋" w:eastAsia="仿宋"/>
          <w:sz w:val="24"/>
          <w:szCs w:val="24"/>
        </w:rPr>
      </w:pPr>
      <w:r>
        <w:rPr>
          <w:rFonts w:hint="eastAsia" w:ascii="仿宋" w:hAnsi="仿宋" w:eastAsia="仿宋"/>
          <w:sz w:val="24"/>
          <w:szCs w:val="24"/>
        </w:rPr>
        <w:t>（</w:t>
      </w:r>
      <w:r>
        <w:rPr>
          <w:rFonts w:hint="eastAsia" w:ascii="仿宋" w:hAnsi="仿宋" w:eastAsia="仿宋" w:cs="宋体"/>
          <w:color w:val="000000"/>
          <w:kern w:val="0"/>
          <w:sz w:val="24"/>
          <w:szCs w:val="24"/>
        </w:rPr>
        <w:t>X日为询价日，T日为募集期首日，L日为募集期最后一日，如无特殊说明，均为交易日。</w:t>
      </w:r>
      <w:r>
        <w:rPr>
          <w:rFonts w:hint="eastAsia" w:ascii="仿宋" w:hAnsi="仿宋" w:eastAsia="仿宋"/>
          <w:sz w:val="24"/>
          <w:szCs w:val="24"/>
        </w:rPr>
        <w:t>）</w:t>
      </w:r>
    </w:p>
    <w:tbl>
      <w:tblPr>
        <w:tblStyle w:val="17"/>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时间节点</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基金管理人或财务顾问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X-1日</w:t>
            </w:r>
          </w:p>
        </w:tc>
        <w:tc>
          <w:tcPr>
            <w:tcW w:w="1559" w:type="dxa"/>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0</w:t>
            </w:r>
            <w:r>
              <w:rPr>
                <w:rFonts w:ascii="仿宋" w:hAnsi="仿宋" w:eastAsia="仿宋" w:cs="宋体"/>
                <w:color w:val="000000"/>
                <w:kern w:val="0"/>
                <w:sz w:val="24"/>
                <w:szCs w:val="24"/>
              </w:rPr>
              <w:t>:00前</w:t>
            </w:r>
          </w:p>
        </w:tc>
        <w:tc>
          <w:tcPr>
            <w:tcW w:w="6521" w:type="dxa"/>
            <w:tcBorders>
              <w:top w:val="single" w:color="auto" w:sz="4" w:space="0"/>
              <w:left w:val="single" w:color="auto" w:sz="4" w:space="0"/>
              <w:right w:val="single" w:color="auto" w:sz="4" w:space="0"/>
            </w:tcBorders>
            <w:shd w:val="clear" w:color="auto" w:fill="auto"/>
            <w:vAlign w:val="center"/>
          </w:tcPr>
          <w:p>
            <w:pPr>
              <w:widowControl/>
              <w:spacing w:line="360" w:lineRule="auto"/>
              <w:ind w:left="360" w:hanging="360"/>
              <w:jc w:val="left"/>
              <w:rPr>
                <w:rFonts w:ascii="仿宋" w:hAnsi="仿宋" w:eastAsia="仿宋" w:cs="宋体"/>
                <w:color w:val="000000"/>
                <w:kern w:val="0"/>
                <w:sz w:val="24"/>
                <w:szCs w:val="24"/>
              </w:rPr>
            </w:pPr>
            <w:r>
              <w:rPr>
                <w:rFonts w:ascii="仿宋" w:hAnsi="仿宋" w:eastAsia="仿宋" w:cs="宋体"/>
                <w:color w:val="000000"/>
                <w:kern w:val="0"/>
                <w:sz w:val="24"/>
                <w:szCs w:val="24"/>
              </w:rPr>
              <w:t>1.发售申请首次录入</w:t>
            </w:r>
          </w:p>
          <w:p>
            <w:pPr>
              <w:widowControl/>
              <w:spacing w:line="360" w:lineRule="auto"/>
              <w:ind w:left="360" w:hanging="360"/>
              <w:jc w:val="left"/>
              <w:rPr>
                <w:rFonts w:ascii="仿宋" w:hAnsi="仿宋" w:eastAsia="仿宋" w:cs="宋体"/>
                <w:color w:val="000000"/>
                <w:kern w:val="0"/>
                <w:sz w:val="24"/>
                <w:szCs w:val="24"/>
              </w:rPr>
            </w:pPr>
            <w:r>
              <w:rPr>
                <w:rFonts w:ascii="仿宋" w:hAnsi="仿宋" w:eastAsia="仿宋" w:cs="宋体"/>
                <w:color w:val="000000"/>
                <w:kern w:val="0"/>
                <w:sz w:val="24"/>
                <w:szCs w:val="24"/>
              </w:rPr>
              <w:t>2.发售申请二次录入</w:t>
            </w:r>
          </w:p>
          <w:p>
            <w:pPr>
              <w:widowControl/>
              <w:spacing w:line="360" w:lineRule="auto"/>
              <w:ind w:left="360" w:hanging="360"/>
              <w:jc w:val="left"/>
              <w:rPr>
                <w:rFonts w:ascii="仿宋" w:hAnsi="仿宋" w:eastAsia="仿宋" w:cs="宋体"/>
                <w:color w:val="000000"/>
                <w:kern w:val="0"/>
                <w:sz w:val="24"/>
                <w:szCs w:val="24"/>
              </w:rPr>
            </w:pPr>
            <w:r>
              <w:rPr>
                <w:rFonts w:ascii="仿宋" w:hAnsi="仿宋" w:eastAsia="仿宋" w:cs="宋体"/>
                <w:color w:val="000000"/>
                <w:kern w:val="0"/>
                <w:sz w:val="24"/>
                <w:szCs w:val="24"/>
              </w:rPr>
              <w:t>3.发售申请</w:t>
            </w:r>
            <w:r>
              <w:rPr>
                <w:rFonts w:hint="eastAsia" w:ascii="仿宋" w:hAnsi="仿宋" w:eastAsia="仿宋" w:cs="宋体"/>
                <w:color w:val="000000"/>
                <w:kern w:val="0"/>
                <w:sz w:val="24"/>
                <w:szCs w:val="24"/>
              </w:rPr>
              <w:t>确认</w:t>
            </w:r>
            <w:r>
              <w:rPr>
                <w:rFonts w:ascii="仿宋" w:hAnsi="仿宋" w:eastAsia="仿宋" w:cs="宋体"/>
                <w:color w:val="000000"/>
                <w:kern w:val="0"/>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X-1日</w:t>
            </w:r>
          </w:p>
        </w:tc>
        <w:tc>
          <w:tcPr>
            <w:tcW w:w="1559" w:type="dxa"/>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21：00前</w:t>
            </w:r>
          </w:p>
        </w:tc>
        <w:tc>
          <w:tcPr>
            <w:tcW w:w="6521" w:type="dxa"/>
            <w:tcBorders>
              <w:top w:val="single" w:color="auto" w:sz="4" w:space="0"/>
              <w:left w:val="single" w:color="auto" w:sz="4" w:space="0"/>
              <w:right w:val="single" w:color="auto" w:sz="4" w:space="0"/>
            </w:tcBorders>
            <w:shd w:val="clear" w:color="auto" w:fill="auto"/>
            <w:vAlign w:val="center"/>
          </w:tcPr>
          <w:p>
            <w:pPr>
              <w:widowControl/>
              <w:spacing w:line="360" w:lineRule="auto"/>
              <w:ind w:left="360" w:hanging="36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.询价投资者确定</w:t>
            </w:r>
          </w:p>
          <w:p>
            <w:pPr>
              <w:widowControl/>
              <w:spacing w:line="360" w:lineRule="auto"/>
              <w:ind w:left="360" w:hanging="36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.启动初步询价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X日</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360" w:lineRule="auto"/>
              <w:jc w:val="center"/>
              <w:rPr>
                <w:rFonts w:ascii="仿宋" w:hAnsi="仿宋" w:eastAsia="仿宋" w:cs="宋体"/>
                <w:color w:val="000000"/>
                <w:sz w:val="24"/>
                <w:szCs w:val="24"/>
              </w:rPr>
            </w:pPr>
            <w:r>
              <w:rPr>
                <w:rFonts w:ascii="仿宋" w:hAnsi="仿宋" w:eastAsia="仿宋" w:cs="宋体"/>
                <w:color w:val="000000"/>
                <w:kern w:val="0"/>
                <w:sz w:val="24"/>
                <w:szCs w:val="24"/>
              </w:rPr>
              <w:t>9:30-15:00</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询价，询价截止后可</w:t>
            </w:r>
            <w:r>
              <w:rPr>
                <w:rFonts w:ascii="仿宋" w:hAnsi="仿宋" w:eastAsia="仿宋" w:cs="宋体"/>
                <w:color w:val="000000"/>
                <w:kern w:val="0"/>
                <w:sz w:val="24"/>
                <w:szCs w:val="24"/>
              </w:rPr>
              <w:t>查询询价结果</w:t>
            </w:r>
            <w:r>
              <w:rPr>
                <w:rFonts w:hint="eastAsia" w:ascii="仿宋" w:hAnsi="仿宋" w:eastAsia="仿宋" w:cs="宋体"/>
                <w:color w:val="000000"/>
                <w:kern w:val="0"/>
                <w:sz w:val="24"/>
                <w:szCs w:val="24"/>
              </w:rPr>
              <w:t>，并进行投资者剔除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T-1日</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15:00前</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420" w:hanging="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.发售参数首次录入</w:t>
            </w:r>
          </w:p>
          <w:p>
            <w:pPr>
              <w:widowControl/>
              <w:spacing w:line="360" w:lineRule="auto"/>
              <w:ind w:left="420" w:hanging="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.发售参数二次录入</w:t>
            </w:r>
          </w:p>
          <w:p>
            <w:pPr>
              <w:widowControl/>
              <w:spacing w:line="360" w:lineRule="auto"/>
              <w:ind w:left="420" w:hanging="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.确定发售参数</w:t>
            </w:r>
          </w:p>
          <w:p>
            <w:pPr>
              <w:widowControl/>
              <w:spacing w:line="360" w:lineRule="auto"/>
              <w:ind w:left="420" w:hanging="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确定有效入围投资者（配售对象）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7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T日至L日</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9:30-15:00</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查询认购结果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12：00前</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sz w:val="24"/>
                <w:szCs w:val="24"/>
              </w:rPr>
            </w:pPr>
            <w:r>
              <w:rPr>
                <w:rFonts w:hint="eastAsia" w:ascii="仿宋" w:hAnsi="仿宋" w:eastAsia="仿宋" w:cs="宋体"/>
                <w:color w:val="000000"/>
                <w:sz w:val="24"/>
                <w:szCs w:val="24"/>
              </w:rPr>
              <w:t>上传前一交易日的认购数据及累计认购数据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L+1日或之后</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15:00前</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sz w:val="24"/>
                <w:szCs w:val="24"/>
              </w:rPr>
              <w:t>上传配售结果文件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L+1日或之后</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17:00前</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sz w:val="24"/>
                <w:szCs w:val="24"/>
              </w:rPr>
            </w:pPr>
            <w:r>
              <w:rPr>
                <w:rFonts w:hint="eastAsia" w:ascii="仿宋" w:hAnsi="仿宋" w:eastAsia="仿宋" w:cs="宋体"/>
                <w:color w:val="000000"/>
                <w:sz w:val="24"/>
                <w:szCs w:val="24"/>
              </w:rPr>
              <w:t>确认结束网下发售</w:t>
            </w:r>
          </w:p>
        </w:tc>
      </w:tr>
    </w:tbl>
    <w:p>
      <w:pPr>
        <w:rPr>
          <w:rFonts w:ascii="仿宋" w:hAnsi="仿宋" w:eastAsia="仿宋"/>
        </w:rPr>
      </w:pPr>
    </w:p>
    <w:p>
      <w:pPr>
        <w:widowControl/>
        <w:jc w:val="left"/>
        <w:rPr>
          <w:rFonts w:ascii="仿宋" w:hAnsi="仿宋" w:eastAsia="仿宋"/>
        </w:rPr>
      </w:pPr>
      <w:r>
        <w:rPr>
          <w:rFonts w:ascii="仿宋" w:hAnsi="仿宋" w:eastAsia="仿宋"/>
        </w:rPr>
        <w:br w:type="page"/>
      </w:r>
    </w:p>
    <w:p>
      <w:pPr>
        <w:pStyle w:val="5"/>
        <w:keepNext w:val="0"/>
        <w:keepLines w:val="0"/>
        <w:rPr>
          <w:rFonts w:asciiTheme="minorEastAsia" w:hAnsiTheme="minorEastAsia" w:eastAsiaTheme="minorEastAsia"/>
          <w:b/>
        </w:rPr>
      </w:pPr>
      <w:bookmarkStart w:id="260" w:name="_Toc59024608"/>
      <w:bookmarkStart w:id="261" w:name="_Toc41551547"/>
      <w:bookmarkStart w:id="262" w:name="_Toc1217"/>
      <w:bookmarkStart w:id="263" w:name="_Toc70590210"/>
      <w:bookmarkStart w:id="264" w:name="_Toc5960"/>
      <w:bookmarkStart w:id="265" w:name="_Toc1181"/>
      <w:bookmarkStart w:id="266" w:name="_Toc1524"/>
      <w:r>
        <w:rPr>
          <w:rFonts w:asciiTheme="minorEastAsia" w:hAnsiTheme="minorEastAsia" w:eastAsiaTheme="minorEastAsia"/>
          <w:b/>
        </w:rPr>
        <w:t>附件</w:t>
      </w:r>
      <w:r>
        <w:rPr>
          <w:rFonts w:hint="eastAsia" w:asciiTheme="minorEastAsia" w:hAnsiTheme="minorEastAsia" w:eastAsiaTheme="minorEastAsia"/>
          <w:b/>
        </w:rPr>
        <w:t>3</w:t>
      </w:r>
      <w:r>
        <w:rPr>
          <w:rFonts w:asciiTheme="minorEastAsia" w:hAnsiTheme="minorEastAsia" w:eastAsiaTheme="minorEastAsia"/>
          <w:b/>
        </w:rPr>
        <w:t>：</w:t>
      </w:r>
      <w:bookmarkEnd w:id="260"/>
      <w:bookmarkEnd w:id="261"/>
      <w:r>
        <w:rPr>
          <w:rFonts w:hint="eastAsia" w:asciiTheme="minorEastAsia" w:hAnsiTheme="minorEastAsia" w:eastAsiaTheme="minorEastAsia"/>
          <w:b/>
        </w:rPr>
        <w:t>需上传系统的发售上市相关公告文件</w:t>
      </w:r>
      <w:bookmarkEnd w:id="262"/>
      <w:bookmarkEnd w:id="263"/>
      <w:bookmarkEnd w:id="264"/>
      <w:bookmarkEnd w:id="265"/>
      <w:bookmarkEnd w:id="266"/>
    </w:p>
    <w:p>
      <w:pPr>
        <w:spacing w:line="400" w:lineRule="exact"/>
        <w:jc w:val="left"/>
        <w:rPr>
          <w:rFonts w:ascii="仿宋" w:hAnsi="仿宋" w:eastAsia="仿宋" w:cs="Times New Roman"/>
          <w:sz w:val="24"/>
          <w:szCs w:val="24"/>
        </w:rPr>
      </w:pPr>
      <w:r>
        <w:rPr>
          <w:rFonts w:hint="eastAsia" w:ascii="仿宋" w:hAnsi="仿宋" w:eastAsia="仿宋"/>
          <w:sz w:val="24"/>
          <w:szCs w:val="24"/>
        </w:rPr>
        <w:t>（</w:t>
      </w:r>
      <w:r>
        <w:rPr>
          <w:rFonts w:hint="eastAsia" w:ascii="仿宋" w:hAnsi="仿宋" w:eastAsia="仿宋" w:cs="宋体"/>
          <w:color w:val="000000"/>
          <w:kern w:val="0"/>
          <w:sz w:val="24"/>
          <w:szCs w:val="24"/>
        </w:rPr>
        <w:t>X日为询价日，T日为募集期首日，L日为募集期最后一日，如无特殊说明，均为交易日。</w:t>
      </w:r>
      <w:r>
        <w:rPr>
          <w:rFonts w:hint="eastAsia" w:ascii="仿宋" w:hAnsi="仿宋" w:eastAsia="仿宋"/>
          <w:sz w:val="24"/>
          <w:szCs w:val="24"/>
        </w:rPr>
        <w:t>）</w:t>
      </w:r>
    </w:p>
    <w:tbl>
      <w:tblPr>
        <w:tblStyle w:val="18"/>
        <w:tblW w:w="5489"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1843"/>
        <w:gridCol w:w="1559"/>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119"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公告名称</w:t>
            </w:r>
          </w:p>
        </w:tc>
        <w:tc>
          <w:tcPr>
            <w:tcW w:w="1843"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上传系统时间</w:t>
            </w:r>
          </w:p>
        </w:tc>
        <w:tc>
          <w:tcPr>
            <w:tcW w:w="1559"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公告日期</w:t>
            </w:r>
          </w:p>
        </w:tc>
        <w:tc>
          <w:tcPr>
            <w:tcW w:w="2834"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询价公告、基金合同、招募说明书、基金产品资料概要、托管协议</w:t>
            </w:r>
          </w:p>
        </w:tc>
        <w:tc>
          <w:tcPr>
            <w:tcW w:w="1843"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启动发售前</w:t>
            </w:r>
          </w:p>
        </w:tc>
        <w:tc>
          <w:tcPr>
            <w:tcW w:w="155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X-3日或之前</w:t>
            </w:r>
          </w:p>
        </w:tc>
        <w:tc>
          <w:tcPr>
            <w:tcW w:w="2834"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基金业务专区提交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发售公告</w:t>
            </w:r>
          </w:p>
        </w:tc>
        <w:tc>
          <w:tcPr>
            <w:tcW w:w="1843"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刊登发售公告前2个交易日</w:t>
            </w:r>
          </w:p>
        </w:tc>
        <w:tc>
          <w:tcPr>
            <w:tcW w:w="155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T-3日（自然日）</w:t>
            </w:r>
          </w:p>
        </w:tc>
        <w:tc>
          <w:tcPr>
            <w:tcW w:w="2834"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基金业务专区提交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基金管理人关于战略投资者的专项核查报告及法律意见书</w:t>
            </w:r>
          </w:p>
        </w:tc>
        <w:tc>
          <w:tcPr>
            <w:tcW w:w="1843"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刊登发售公告前2个交易日</w:t>
            </w:r>
          </w:p>
        </w:tc>
        <w:tc>
          <w:tcPr>
            <w:tcW w:w="155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T-3日（自然日）</w:t>
            </w:r>
          </w:p>
        </w:tc>
        <w:tc>
          <w:tcPr>
            <w:tcW w:w="2834"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基金业务专区提交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autoSpaceDE w:val="0"/>
              <w:autoSpaceDN w:val="0"/>
              <w:adjustRightInd w:val="0"/>
              <w:jc w:val="left"/>
              <w:rPr>
                <w:rFonts w:ascii="微软雅黑" w:eastAsia="微软雅黑" w:cs="微软雅黑"/>
                <w:color w:val="000000"/>
                <w:kern w:val="0"/>
                <w:sz w:val="18"/>
                <w:szCs w:val="18"/>
                <w:lang w:val="zh-CN"/>
              </w:rPr>
            </w:pPr>
            <w:r>
              <w:rPr>
                <w:rFonts w:hint="eastAsia" w:ascii="微软雅黑" w:eastAsia="微软雅黑" w:cs="微软雅黑"/>
                <w:color w:val="000000"/>
                <w:kern w:val="0"/>
                <w:sz w:val="18"/>
                <w:szCs w:val="18"/>
                <w:lang w:val="zh-CN"/>
              </w:rPr>
              <w:t>公</w:t>
            </w:r>
            <w:r>
              <w:rPr>
                <w:rFonts w:hint="eastAsia" w:ascii="仿宋" w:hAnsi="仿宋" w:eastAsia="仿宋" w:cs="宋体"/>
                <w:color w:val="000000"/>
                <w:kern w:val="0"/>
                <w:sz w:val="24"/>
                <w:szCs w:val="24"/>
              </w:rPr>
              <w:t>众投资者发售与网下发售之间的回拨份额公告（如有）</w:t>
            </w:r>
          </w:p>
        </w:tc>
        <w:tc>
          <w:tcPr>
            <w:tcW w:w="1843"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L+1日15:00前</w:t>
            </w:r>
          </w:p>
        </w:tc>
        <w:tc>
          <w:tcPr>
            <w:tcW w:w="155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L+2</w:t>
            </w:r>
          </w:p>
        </w:tc>
        <w:tc>
          <w:tcPr>
            <w:tcW w:w="2834"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基金业务专区提交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基金合同生效公告</w:t>
            </w:r>
          </w:p>
        </w:tc>
        <w:tc>
          <w:tcPr>
            <w:tcW w:w="1843"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L+3日后15:00前</w:t>
            </w:r>
          </w:p>
        </w:tc>
        <w:tc>
          <w:tcPr>
            <w:tcW w:w="155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次一交易日</w:t>
            </w:r>
          </w:p>
        </w:tc>
        <w:tc>
          <w:tcPr>
            <w:tcW w:w="2834"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基金业务专区提交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上市公告书</w:t>
            </w:r>
          </w:p>
        </w:tc>
        <w:tc>
          <w:tcPr>
            <w:tcW w:w="1843"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上市日前4个交易日</w:t>
            </w:r>
          </w:p>
        </w:tc>
        <w:tc>
          <w:tcPr>
            <w:tcW w:w="155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上市日前3个交易日</w:t>
            </w:r>
          </w:p>
        </w:tc>
        <w:tc>
          <w:tcPr>
            <w:tcW w:w="2834"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基金业务专区提交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上市提示性公告</w:t>
            </w:r>
          </w:p>
        </w:tc>
        <w:tc>
          <w:tcPr>
            <w:tcW w:w="1843"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上市日前1个交易日</w:t>
            </w:r>
          </w:p>
        </w:tc>
        <w:tc>
          <w:tcPr>
            <w:tcW w:w="1559"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上市日首日</w:t>
            </w:r>
          </w:p>
        </w:tc>
        <w:tc>
          <w:tcPr>
            <w:tcW w:w="2834" w:type="dxa"/>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基金业务专区提交</w:t>
            </w:r>
          </w:p>
        </w:tc>
      </w:tr>
    </w:tbl>
    <w:p>
      <w:pPr>
        <w:pStyle w:val="5"/>
        <w:keepNext w:val="0"/>
        <w:keepLines w:val="0"/>
        <w:spacing w:before="0" w:after="0" w:line="560" w:lineRule="exact"/>
        <w:ind w:firstLine="643" w:firstLineChars="200"/>
        <w:rPr>
          <w:rFonts w:ascii="黑体" w:hAnsi="黑体" w:eastAsia="黑体"/>
          <w:b/>
        </w:rPr>
        <w:sectPr>
          <w:pgSz w:w="11906" w:h="16838"/>
          <w:pgMar w:top="1440" w:right="1800" w:bottom="1440" w:left="1800" w:header="851" w:footer="992" w:gutter="0"/>
          <w:cols w:space="720" w:num="1"/>
          <w:formProt w:val="1"/>
          <w:docGrid w:type="lines" w:linePitch="312" w:charSpace="0"/>
        </w:sectPr>
      </w:pPr>
    </w:p>
    <w:p>
      <w:pPr>
        <w:pStyle w:val="5"/>
        <w:keepNext w:val="0"/>
        <w:keepLines w:val="0"/>
        <w:spacing w:before="0" w:after="0" w:line="560" w:lineRule="exact"/>
        <w:rPr>
          <w:rFonts w:asciiTheme="minorEastAsia" w:hAnsiTheme="minorEastAsia" w:eastAsiaTheme="minorEastAsia"/>
          <w:b/>
        </w:rPr>
      </w:pPr>
      <w:bookmarkStart w:id="267" w:name="_Toc23118"/>
      <w:bookmarkStart w:id="268" w:name="_Toc17519"/>
      <w:bookmarkStart w:id="269" w:name="_Toc20598"/>
      <w:bookmarkStart w:id="270" w:name="_Toc18875"/>
      <w:bookmarkStart w:id="271" w:name="_Toc70590211"/>
      <w:r>
        <w:rPr>
          <w:rFonts w:asciiTheme="minorEastAsia" w:hAnsiTheme="minorEastAsia" w:eastAsiaTheme="minorEastAsia"/>
          <w:b/>
        </w:rPr>
        <w:t>附件</w:t>
      </w:r>
      <w:r>
        <w:rPr>
          <w:rFonts w:hint="eastAsia" w:asciiTheme="minorEastAsia" w:hAnsiTheme="minorEastAsia" w:eastAsiaTheme="minorEastAsia"/>
          <w:b/>
        </w:rPr>
        <w:t>4-1</w:t>
      </w:r>
      <w:r>
        <w:rPr>
          <w:rFonts w:asciiTheme="minorEastAsia" w:hAnsiTheme="minorEastAsia" w:eastAsiaTheme="minorEastAsia"/>
          <w:b/>
        </w:rPr>
        <w:t>：</w:t>
      </w:r>
      <w:bookmarkStart w:id="272" w:name="_Toc22219"/>
      <w:bookmarkStart w:id="273" w:name="_Toc26424"/>
      <w:bookmarkStart w:id="274" w:name="_Toc13121"/>
      <w:bookmarkStart w:id="275" w:name="_Toc10959"/>
      <w:bookmarkStart w:id="276" w:name="_Toc7280"/>
      <w:bookmarkStart w:id="277" w:name="_Toc6271"/>
      <w:bookmarkStart w:id="278" w:name="_Toc31879"/>
      <w:bookmarkStart w:id="279" w:name="_Toc841"/>
      <w:r>
        <w:rPr>
          <w:rFonts w:hint="eastAsia" w:asciiTheme="minorEastAsia" w:hAnsiTheme="minorEastAsia" w:eastAsiaTheme="minorEastAsia"/>
          <w:b/>
        </w:rPr>
        <w:t>《询价公告》必备要素</w:t>
      </w:r>
      <w:bookmarkEnd w:id="267"/>
      <w:bookmarkEnd w:id="268"/>
      <w:bookmarkEnd w:id="269"/>
      <w:bookmarkEnd w:id="270"/>
      <w:bookmarkEnd w:id="271"/>
      <w:bookmarkEnd w:id="272"/>
      <w:bookmarkEnd w:id="273"/>
      <w:bookmarkEnd w:id="274"/>
      <w:bookmarkEnd w:id="275"/>
      <w:bookmarkEnd w:id="276"/>
      <w:bookmarkEnd w:id="277"/>
      <w:bookmarkEnd w:id="278"/>
      <w:bookmarkEnd w:id="279"/>
    </w:p>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特别提示</w:t>
      </w:r>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重要提示</w:t>
      </w:r>
    </w:p>
    <w:p>
      <w:pPr>
        <w:pStyle w:val="30"/>
        <w:snapToGrid w:val="0"/>
        <w:spacing w:line="360" w:lineRule="auto"/>
        <w:ind w:firstLine="482"/>
        <w:rPr>
          <w:rFonts w:ascii="仿宋" w:hAnsi="仿宋" w:eastAsia="仿宋"/>
          <w:b/>
          <w:sz w:val="24"/>
          <w:szCs w:val="24"/>
        </w:rPr>
      </w:pPr>
      <w:r>
        <w:rPr>
          <w:rFonts w:ascii="仿宋" w:hAnsi="仿宋" w:eastAsia="仿宋"/>
          <w:b/>
          <w:sz w:val="24"/>
          <w:szCs w:val="24"/>
        </w:rPr>
        <w:t xml:space="preserve"> 一、本次发售的基本情况</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（一）发售方式</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（二）发售数量</w:t>
      </w:r>
    </w:p>
    <w:p>
      <w:pPr>
        <w:pStyle w:val="30"/>
        <w:snapToGrid w:val="0"/>
        <w:spacing w:line="360" w:lineRule="auto"/>
        <w:ind w:firstLine="480"/>
        <w:rPr>
          <w:rFonts w:ascii="仿宋" w:hAnsi="仿宋" w:eastAsia="仿宋"/>
          <w:sz w:val="24"/>
          <w:szCs w:val="24"/>
        </w:rPr>
      </w:pPr>
      <w:r>
        <w:rPr>
          <w:rFonts w:ascii="仿宋" w:hAnsi="仿宋" w:eastAsia="仿宋"/>
          <w:sz w:val="24"/>
          <w:szCs w:val="24"/>
        </w:rPr>
        <w:t>1、基金份额发售总量</w:t>
      </w:r>
    </w:p>
    <w:p>
      <w:pPr>
        <w:pStyle w:val="30"/>
        <w:snapToGrid w:val="0"/>
        <w:spacing w:line="360" w:lineRule="auto"/>
        <w:ind w:firstLine="480"/>
        <w:rPr>
          <w:rFonts w:ascii="仿宋" w:hAnsi="仿宋" w:eastAsia="仿宋"/>
          <w:sz w:val="24"/>
          <w:szCs w:val="24"/>
        </w:rPr>
      </w:pPr>
      <w:r>
        <w:rPr>
          <w:rFonts w:ascii="仿宋" w:hAnsi="仿宋" w:eastAsia="仿宋"/>
          <w:sz w:val="24"/>
          <w:szCs w:val="24"/>
        </w:rPr>
        <w:t>2、战略配售、网下发售数量</w:t>
      </w:r>
      <w:r>
        <w:rPr>
          <w:rFonts w:ascii="仿宋" w:hAnsi="仿宋" w:eastAsia="仿宋"/>
          <w:sz w:val="24"/>
          <w:szCs w:val="24"/>
        </w:rPr>
        <w:tab/>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（三）定价方式</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（四）限售期安排</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（五）本次发售重要时间安排</w:t>
      </w:r>
    </w:p>
    <w:p>
      <w:pPr>
        <w:pStyle w:val="30"/>
        <w:snapToGrid w:val="0"/>
        <w:spacing w:line="360" w:lineRule="auto"/>
        <w:ind w:firstLine="480"/>
        <w:rPr>
          <w:rFonts w:ascii="仿宋" w:hAnsi="仿宋" w:eastAsia="仿宋"/>
          <w:sz w:val="24"/>
          <w:szCs w:val="24"/>
        </w:rPr>
      </w:pPr>
      <w:r>
        <w:rPr>
          <w:rFonts w:ascii="仿宋" w:hAnsi="仿宋" w:eastAsia="仿宋"/>
          <w:sz w:val="24"/>
          <w:szCs w:val="24"/>
        </w:rPr>
        <w:t>1、发售时间安排</w:t>
      </w:r>
    </w:p>
    <w:p>
      <w:pPr>
        <w:pStyle w:val="30"/>
        <w:snapToGrid w:val="0"/>
        <w:spacing w:line="360" w:lineRule="auto"/>
        <w:ind w:firstLine="480"/>
        <w:rPr>
          <w:rFonts w:ascii="仿宋" w:hAnsi="仿宋" w:eastAsia="仿宋"/>
          <w:sz w:val="24"/>
          <w:szCs w:val="24"/>
        </w:rPr>
      </w:pPr>
      <w:r>
        <w:rPr>
          <w:rFonts w:ascii="仿宋" w:hAnsi="仿宋" w:eastAsia="仿宋"/>
          <w:sz w:val="24"/>
          <w:szCs w:val="24"/>
        </w:rPr>
        <w:t>2、本次发售路演推介安排</w:t>
      </w:r>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二、战略配售</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（一）参与对象</w:t>
      </w:r>
    </w:p>
    <w:p>
      <w:pPr>
        <w:pStyle w:val="30"/>
        <w:snapToGrid w:val="0"/>
        <w:spacing w:line="360" w:lineRule="auto"/>
        <w:ind w:firstLine="480"/>
        <w:rPr>
          <w:rFonts w:ascii="仿宋" w:hAnsi="仿宋" w:eastAsia="仿宋"/>
          <w:sz w:val="24"/>
          <w:szCs w:val="24"/>
        </w:rPr>
      </w:pPr>
      <w:r>
        <w:rPr>
          <w:rFonts w:ascii="仿宋" w:hAnsi="仿宋" w:eastAsia="仿宋"/>
          <w:sz w:val="24"/>
          <w:szCs w:val="24"/>
        </w:rPr>
        <w:t>1、选择标准</w:t>
      </w:r>
    </w:p>
    <w:p>
      <w:pPr>
        <w:pStyle w:val="30"/>
        <w:snapToGrid w:val="0"/>
        <w:spacing w:line="360" w:lineRule="auto"/>
        <w:ind w:firstLine="480"/>
        <w:rPr>
          <w:rFonts w:ascii="仿宋" w:hAnsi="仿宋" w:eastAsia="仿宋"/>
          <w:sz w:val="24"/>
          <w:szCs w:val="24"/>
        </w:rPr>
      </w:pPr>
      <w:r>
        <w:rPr>
          <w:rFonts w:ascii="仿宋" w:hAnsi="仿宋" w:eastAsia="仿宋"/>
          <w:sz w:val="24"/>
          <w:szCs w:val="24"/>
        </w:rPr>
        <w:t>2、战略投资者具体情况</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（二）配售数量</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（三）配售条件</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（四）限售期限</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（五）核查情况</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（六）认购款项缴纳及验资安排</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（七）相关承诺</w:t>
      </w:r>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三、网下询价安排</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（一）参与网下询价的投资者标准及条件</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（二）承诺函及资质证明文件的提交方式</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（三）网下投资者备案核查</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（四）询价</w:t>
      </w:r>
    </w:p>
    <w:p>
      <w:pPr>
        <w:pStyle w:val="30"/>
        <w:snapToGrid w:val="0"/>
        <w:spacing w:line="360" w:lineRule="auto"/>
        <w:ind w:firstLine="480"/>
        <w:rPr>
          <w:rFonts w:ascii="仿宋" w:hAnsi="仿宋" w:eastAsia="仿宋"/>
          <w:sz w:val="24"/>
          <w:szCs w:val="24"/>
        </w:rPr>
      </w:pPr>
      <w:r>
        <w:rPr>
          <w:rFonts w:hint="eastAsia" w:ascii="仿宋" w:hAnsi="仿宋" w:eastAsia="仿宋"/>
          <w:sz w:val="24"/>
          <w:szCs w:val="24"/>
        </w:rPr>
        <w:t>（五）网下投资者违规行为的处理</w:t>
      </w:r>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四、确定有效报价投资者和发售价格</w:t>
      </w:r>
    </w:p>
    <w:p>
      <w:pPr>
        <w:pStyle w:val="7"/>
        <w:snapToGrid w:val="0"/>
        <w:spacing w:line="360" w:lineRule="auto"/>
        <w:ind w:firstLine="482" w:firstLineChars="200"/>
        <w:rPr>
          <w:rFonts w:ascii="仿宋" w:hAnsi="仿宋" w:eastAsia="仿宋"/>
        </w:rPr>
      </w:pPr>
      <w:r>
        <w:rPr>
          <w:rFonts w:hint="eastAsia" w:ascii="仿宋" w:hAnsi="仿宋" w:eastAsia="仿宋"/>
          <w:b/>
          <w:sz w:val="24"/>
          <w:szCs w:val="24"/>
        </w:rPr>
        <w:t>五、各类投资者认购方式及费用</w:t>
      </w:r>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六、本次发售回拨机制</w:t>
      </w:r>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七、各类投资者配售原则及方式</w:t>
      </w:r>
    </w:p>
    <w:p>
      <w:pPr>
        <w:pStyle w:val="30"/>
        <w:snapToGrid w:val="0"/>
        <w:spacing w:line="360" w:lineRule="auto"/>
        <w:ind w:firstLine="482"/>
        <w:rPr>
          <w:rFonts w:ascii="仿宋" w:hAnsi="仿宋" w:eastAsia="仿宋"/>
          <w:b/>
          <w:sz w:val="24"/>
          <w:szCs w:val="24"/>
        </w:rPr>
      </w:pPr>
      <w:r>
        <w:rPr>
          <w:rFonts w:hint="eastAsia" w:ascii="仿宋" w:hAnsi="仿宋" w:eastAsia="仿宋"/>
          <w:b/>
          <w:sz w:val="24"/>
          <w:szCs w:val="24"/>
        </w:rPr>
        <w:t>八、投资者缴款</w:t>
      </w:r>
    </w:p>
    <w:p>
      <w:pPr>
        <w:snapToGrid w:val="0"/>
        <w:spacing w:line="360" w:lineRule="auto"/>
        <w:ind w:firstLine="482" w:firstLineChars="200"/>
        <w:jc w:val="left"/>
        <w:textAlignment w:val="center"/>
        <w:rPr>
          <w:rFonts w:ascii="仿宋" w:hAnsi="仿宋" w:eastAsia="仿宋"/>
          <w:b/>
          <w:sz w:val="24"/>
          <w:szCs w:val="24"/>
        </w:rPr>
      </w:pPr>
      <w:r>
        <w:rPr>
          <w:rFonts w:hint="eastAsia" w:ascii="仿宋" w:hAnsi="仿宋" w:eastAsia="仿宋"/>
          <w:b/>
          <w:sz w:val="24"/>
          <w:szCs w:val="24"/>
        </w:rPr>
        <w:t>九、中止发售情况</w:t>
      </w:r>
    </w:p>
    <w:p>
      <w:pPr>
        <w:snapToGrid w:val="0"/>
        <w:spacing w:line="360" w:lineRule="auto"/>
        <w:ind w:firstLine="482" w:firstLineChars="200"/>
        <w:jc w:val="left"/>
        <w:textAlignment w:val="center"/>
        <w:rPr>
          <w:rFonts w:ascii="仿宋" w:hAnsi="仿宋" w:eastAsia="仿宋"/>
          <w:b/>
          <w:sz w:val="24"/>
          <w:szCs w:val="24"/>
        </w:rPr>
        <w:sectPr>
          <w:pgSz w:w="11906" w:h="16838"/>
          <w:pgMar w:top="1440" w:right="1800" w:bottom="1440" w:left="1800" w:header="851" w:footer="992" w:gutter="0"/>
          <w:cols w:space="720" w:num="1"/>
          <w:formProt w:val="1"/>
          <w:docGrid w:type="lines" w:linePitch="312" w:charSpace="0"/>
        </w:sectPr>
      </w:pPr>
      <w:r>
        <w:rPr>
          <w:rFonts w:hint="eastAsia" w:ascii="仿宋" w:hAnsi="仿宋" w:eastAsia="仿宋"/>
          <w:b/>
          <w:sz w:val="24"/>
          <w:szCs w:val="24"/>
        </w:rPr>
        <w:t>十、基金管理人、财务顾问联系方式</w:t>
      </w:r>
    </w:p>
    <w:p>
      <w:pPr>
        <w:pStyle w:val="5"/>
        <w:keepNext w:val="0"/>
        <w:keepLines w:val="0"/>
        <w:spacing w:before="0" w:after="0" w:line="560" w:lineRule="exact"/>
        <w:rPr>
          <w:rFonts w:asciiTheme="minorEastAsia" w:hAnsiTheme="minorEastAsia" w:eastAsiaTheme="minorEastAsia"/>
          <w:b/>
          <w:sz w:val="24"/>
        </w:rPr>
      </w:pPr>
      <w:bookmarkStart w:id="280" w:name="_Toc62990992"/>
      <w:bookmarkStart w:id="281" w:name="_Toc12433"/>
      <w:bookmarkStart w:id="282" w:name="_Toc65181450"/>
      <w:bookmarkStart w:id="283" w:name="_Toc65333657"/>
      <w:bookmarkStart w:id="284" w:name="_Toc23122"/>
      <w:bookmarkStart w:id="285" w:name="_Toc13469"/>
      <w:bookmarkStart w:id="286" w:name="_Toc8734"/>
      <w:bookmarkStart w:id="287" w:name="_Toc26984"/>
      <w:bookmarkStart w:id="288" w:name="_Toc70590212"/>
      <w:r>
        <w:rPr>
          <w:rFonts w:asciiTheme="minorEastAsia" w:hAnsiTheme="minorEastAsia" w:eastAsiaTheme="minorEastAsia"/>
          <w:b/>
        </w:rPr>
        <w:t>附件</w:t>
      </w:r>
      <w:r>
        <w:rPr>
          <w:rFonts w:hint="eastAsia" w:asciiTheme="minorEastAsia" w:hAnsiTheme="minorEastAsia" w:eastAsiaTheme="minorEastAsia"/>
          <w:b/>
        </w:rPr>
        <w:t>4-2</w:t>
      </w:r>
      <w:r>
        <w:rPr>
          <w:rFonts w:asciiTheme="minorEastAsia" w:hAnsiTheme="minorEastAsia" w:eastAsiaTheme="minorEastAsia"/>
          <w:b/>
        </w:rPr>
        <w:t>：</w:t>
      </w:r>
      <w:bookmarkEnd w:id="280"/>
      <w:r>
        <w:rPr>
          <w:rFonts w:hint="eastAsia" w:asciiTheme="minorEastAsia" w:hAnsiTheme="minorEastAsia" w:eastAsiaTheme="minorEastAsia"/>
          <w:b/>
        </w:rPr>
        <w:t>《发售公告》必备要素</w:t>
      </w:r>
      <w:bookmarkEnd w:id="281"/>
      <w:bookmarkEnd w:id="282"/>
      <w:bookmarkEnd w:id="283"/>
      <w:bookmarkEnd w:id="284"/>
      <w:bookmarkEnd w:id="285"/>
      <w:bookmarkEnd w:id="286"/>
      <w:bookmarkEnd w:id="287"/>
      <w:bookmarkEnd w:id="288"/>
    </w:p>
    <w:p/>
    <w:p>
      <w:pPr>
        <w:pStyle w:val="30"/>
        <w:spacing w:line="360" w:lineRule="auto"/>
        <w:ind w:firstLine="482"/>
        <w:rPr>
          <w:rFonts w:ascii="仿宋" w:hAnsi="仿宋" w:eastAsia="仿宋"/>
          <w:b/>
          <w:sz w:val="24"/>
          <w:szCs w:val="24"/>
        </w:rPr>
      </w:pPr>
      <w:r>
        <w:rPr>
          <w:rFonts w:hint="eastAsia" w:ascii="仿宋" w:hAnsi="仿宋" w:eastAsia="仿宋"/>
          <w:b/>
          <w:sz w:val="24"/>
          <w:szCs w:val="24"/>
        </w:rPr>
        <w:t>特别提示</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重要提示</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释义</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一、询价结果及定价情况</w:t>
      </w:r>
    </w:p>
    <w:p>
      <w:pPr>
        <w:pStyle w:val="30"/>
        <w:spacing w:line="360" w:lineRule="auto"/>
        <w:ind w:firstLine="480"/>
        <w:rPr>
          <w:rFonts w:ascii="仿宋" w:hAnsi="仿宋" w:eastAsia="仿宋"/>
          <w:sz w:val="24"/>
          <w:szCs w:val="24"/>
        </w:rPr>
      </w:pPr>
      <w:r>
        <w:rPr>
          <w:rFonts w:hint="eastAsia" w:ascii="仿宋" w:hAnsi="仿宋" w:eastAsia="仿宋"/>
          <w:sz w:val="24"/>
          <w:szCs w:val="24"/>
        </w:rPr>
        <w:t>（一）询价情况</w:t>
      </w:r>
    </w:p>
    <w:p>
      <w:pPr>
        <w:pStyle w:val="30"/>
        <w:spacing w:line="360" w:lineRule="auto"/>
        <w:ind w:firstLine="480"/>
        <w:rPr>
          <w:rFonts w:ascii="仿宋" w:hAnsi="仿宋" w:eastAsia="仿宋"/>
          <w:sz w:val="24"/>
          <w:szCs w:val="24"/>
        </w:rPr>
      </w:pPr>
      <w:r>
        <w:rPr>
          <w:rFonts w:hint="eastAsia" w:ascii="仿宋" w:hAnsi="仿宋" w:eastAsia="仿宋"/>
          <w:sz w:val="24"/>
          <w:szCs w:val="24"/>
        </w:rPr>
        <w:t>1、总体申报情况</w:t>
      </w:r>
    </w:p>
    <w:p>
      <w:pPr>
        <w:pStyle w:val="30"/>
        <w:spacing w:line="360" w:lineRule="auto"/>
        <w:ind w:firstLine="480"/>
        <w:rPr>
          <w:rFonts w:ascii="仿宋" w:hAnsi="仿宋" w:eastAsia="仿宋"/>
          <w:sz w:val="24"/>
          <w:szCs w:val="24"/>
        </w:rPr>
      </w:pPr>
      <w:r>
        <w:rPr>
          <w:rFonts w:hint="eastAsia" w:ascii="仿宋" w:hAnsi="仿宋" w:eastAsia="仿宋"/>
          <w:sz w:val="24"/>
          <w:szCs w:val="24"/>
        </w:rPr>
        <w:t>2、剔除无效报价情况</w:t>
      </w:r>
    </w:p>
    <w:p>
      <w:pPr>
        <w:pStyle w:val="30"/>
        <w:spacing w:line="360" w:lineRule="auto"/>
        <w:ind w:firstLine="480"/>
        <w:rPr>
          <w:rFonts w:ascii="仿宋" w:hAnsi="仿宋" w:eastAsia="仿宋"/>
          <w:sz w:val="24"/>
          <w:szCs w:val="24"/>
        </w:rPr>
      </w:pPr>
      <w:r>
        <w:rPr>
          <w:rFonts w:hint="eastAsia" w:ascii="仿宋" w:hAnsi="仿宋" w:eastAsia="仿宋"/>
          <w:sz w:val="24"/>
          <w:szCs w:val="24"/>
        </w:rPr>
        <w:t>3、剔除无效报价后的报价情况</w:t>
      </w:r>
    </w:p>
    <w:p>
      <w:pPr>
        <w:pStyle w:val="30"/>
        <w:spacing w:line="360" w:lineRule="auto"/>
        <w:ind w:firstLine="480"/>
        <w:rPr>
          <w:rFonts w:ascii="仿宋" w:hAnsi="仿宋" w:eastAsia="仿宋"/>
          <w:sz w:val="24"/>
          <w:szCs w:val="24"/>
        </w:rPr>
      </w:pPr>
      <w:r>
        <w:rPr>
          <w:rFonts w:hint="eastAsia" w:ascii="仿宋" w:hAnsi="仿宋" w:eastAsia="仿宋"/>
          <w:sz w:val="24"/>
          <w:szCs w:val="24"/>
        </w:rPr>
        <w:t>（二）发售价格的确定</w:t>
      </w:r>
    </w:p>
    <w:p>
      <w:pPr>
        <w:pStyle w:val="30"/>
        <w:spacing w:line="360" w:lineRule="auto"/>
        <w:ind w:firstLine="480"/>
        <w:rPr>
          <w:rFonts w:ascii="仿宋" w:hAnsi="仿宋" w:eastAsia="仿宋"/>
          <w:sz w:val="24"/>
          <w:szCs w:val="24"/>
        </w:rPr>
      </w:pPr>
      <w:r>
        <w:rPr>
          <w:rFonts w:hint="eastAsia" w:ascii="仿宋" w:hAnsi="仿宋" w:eastAsia="仿宋"/>
          <w:sz w:val="24"/>
          <w:szCs w:val="24"/>
        </w:rPr>
        <w:t>（三）有效报价投资者的确定</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二、本次发售的基本情况</w:t>
      </w:r>
    </w:p>
    <w:p>
      <w:pPr>
        <w:pStyle w:val="30"/>
        <w:spacing w:line="360" w:lineRule="auto"/>
        <w:ind w:firstLine="480"/>
        <w:rPr>
          <w:rFonts w:ascii="仿宋" w:hAnsi="仿宋" w:eastAsia="仿宋"/>
          <w:sz w:val="24"/>
          <w:szCs w:val="24"/>
        </w:rPr>
      </w:pPr>
      <w:r>
        <w:rPr>
          <w:rFonts w:hint="eastAsia" w:ascii="仿宋" w:hAnsi="仿宋" w:eastAsia="仿宋"/>
          <w:sz w:val="24"/>
          <w:szCs w:val="24"/>
        </w:rPr>
        <w:t>（一）发售规模和发售结构</w:t>
      </w:r>
    </w:p>
    <w:p>
      <w:pPr>
        <w:pStyle w:val="30"/>
        <w:spacing w:line="360" w:lineRule="auto"/>
        <w:ind w:firstLine="480"/>
        <w:rPr>
          <w:rFonts w:ascii="仿宋" w:hAnsi="仿宋" w:eastAsia="仿宋"/>
          <w:sz w:val="24"/>
          <w:szCs w:val="24"/>
        </w:rPr>
      </w:pPr>
      <w:r>
        <w:rPr>
          <w:rFonts w:hint="eastAsia" w:ascii="仿宋" w:hAnsi="仿宋" w:eastAsia="仿宋"/>
          <w:sz w:val="24"/>
          <w:szCs w:val="24"/>
        </w:rPr>
        <w:t>（二）认购价格</w:t>
      </w:r>
    </w:p>
    <w:p>
      <w:pPr>
        <w:pStyle w:val="30"/>
        <w:spacing w:line="360" w:lineRule="auto"/>
        <w:ind w:firstLine="480"/>
        <w:rPr>
          <w:rFonts w:ascii="仿宋" w:hAnsi="仿宋" w:eastAsia="仿宋"/>
          <w:sz w:val="24"/>
          <w:szCs w:val="24"/>
        </w:rPr>
      </w:pPr>
      <w:r>
        <w:rPr>
          <w:rFonts w:hint="eastAsia" w:ascii="仿宋" w:hAnsi="仿宋" w:eastAsia="仿宋"/>
          <w:sz w:val="24"/>
          <w:szCs w:val="24"/>
        </w:rPr>
        <w:t>（三）募集资金</w:t>
      </w:r>
    </w:p>
    <w:p>
      <w:pPr>
        <w:pStyle w:val="30"/>
        <w:spacing w:line="360" w:lineRule="auto"/>
        <w:ind w:firstLine="480"/>
        <w:rPr>
          <w:rFonts w:ascii="仿宋" w:hAnsi="仿宋" w:eastAsia="仿宋"/>
          <w:sz w:val="24"/>
          <w:szCs w:val="24"/>
        </w:rPr>
      </w:pPr>
      <w:r>
        <w:rPr>
          <w:rFonts w:hint="eastAsia" w:ascii="仿宋" w:hAnsi="仿宋" w:eastAsia="仿宋"/>
          <w:sz w:val="24"/>
          <w:szCs w:val="24"/>
        </w:rPr>
        <w:t>（四）回拨机制</w:t>
      </w:r>
    </w:p>
    <w:p>
      <w:pPr>
        <w:pStyle w:val="30"/>
        <w:spacing w:line="360" w:lineRule="auto"/>
        <w:ind w:firstLine="480"/>
        <w:rPr>
          <w:rFonts w:ascii="仿宋" w:hAnsi="仿宋" w:eastAsia="仿宋"/>
          <w:sz w:val="24"/>
          <w:szCs w:val="24"/>
        </w:rPr>
      </w:pPr>
      <w:r>
        <w:rPr>
          <w:rFonts w:hint="eastAsia" w:ascii="仿宋" w:hAnsi="仿宋" w:eastAsia="仿宋"/>
          <w:sz w:val="24"/>
          <w:szCs w:val="24"/>
        </w:rPr>
        <w:t>（五）限售期安排</w:t>
      </w:r>
    </w:p>
    <w:p>
      <w:pPr>
        <w:pStyle w:val="30"/>
        <w:spacing w:line="360" w:lineRule="auto"/>
        <w:ind w:firstLine="480"/>
        <w:rPr>
          <w:rFonts w:ascii="仿宋" w:hAnsi="仿宋" w:eastAsia="仿宋"/>
          <w:sz w:val="24"/>
          <w:szCs w:val="24"/>
        </w:rPr>
      </w:pPr>
      <w:r>
        <w:rPr>
          <w:rFonts w:hint="eastAsia" w:ascii="仿宋" w:hAnsi="仿宋" w:eastAsia="仿宋"/>
          <w:sz w:val="24"/>
          <w:szCs w:val="24"/>
        </w:rPr>
        <w:t>（六）拟上市地点</w:t>
      </w:r>
    </w:p>
    <w:p>
      <w:pPr>
        <w:pStyle w:val="30"/>
        <w:spacing w:line="360" w:lineRule="auto"/>
        <w:ind w:firstLine="480"/>
        <w:rPr>
          <w:rFonts w:ascii="仿宋" w:hAnsi="仿宋" w:eastAsia="仿宋"/>
          <w:sz w:val="24"/>
          <w:szCs w:val="24"/>
        </w:rPr>
      </w:pPr>
      <w:r>
        <w:rPr>
          <w:rFonts w:hint="eastAsia" w:ascii="仿宋" w:hAnsi="仿宋" w:eastAsia="仿宋"/>
          <w:sz w:val="24"/>
          <w:szCs w:val="24"/>
        </w:rPr>
        <w:t>（七）本次发售的重要日期安排</w:t>
      </w:r>
    </w:p>
    <w:p>
      <w:pPr>
        <w:pStyle w:val="30"/>
        <w:spacing w:line="360" w:lineRule="auto"/>
        <w:ind w:firstLine="480"/>
        <w:rPr>
          <w:rFonts w:ascii="仿宋" w:hAnsi="仿宋" w:eastAsia="仿宋"/>
          <w:sz w:val="24"/>
          <w:szCs w:val="24"/>
        </w:rPr>
      </w:pPr>
      <w:r>
        <w:rPr>
          <w:rFonts w:hint="eastAsia" w:ascii="仿宋" w:hAnsi="仿宋" w:eastAsia="仿宋"/>
          <w:sz w:val="24"/>
          <w:szCs w:val="24"/>
        </w:rPr>
        <w:t>（八）认购费用</w:t>
      </w:r>
    </w:p>
    <w:p>
      <w:pPr>
        <w:pStyle w:val="30"/>
        <w:spacing w:line="360" w:lineRule="auto"/>
        <w:ind w:firstLine="480"/>
        <w:rPr>
          <w:rFonts w:ascii="仿宋" w:hAnsi="仿宋" w:eastAsia="仿宋"/>
          <w:sz w:val="24"/>
          <w:szCs w:val="24"/>
        </w:rPr>
      </w:pPr>
      <w:r>
        <w:rPr>
          <w:rFonts w:hint="eastAsia" w:ascii="仿宋" w:hAnsi="仿宋" w:eastAsia="仿宋"/>
          <w:sz w:val="24"/>
          <w:szCs w:val="24"/>
        </w:rPr>
        <w:t>（九）以发售价格计算的</w:t>
      </w:r>
      <w:r>
        <w:rPr>
          <w:rFonts w:hint="eastAsia" w:ascii="仿宋" w:hAnsi="仿宋" w:eastAsia="仿宋"/>
          <w:sz w:val="24"/>
          <w:szCs w:val="24"/>
          <w:lang w:eastAsia="zh-CN"/>
        </w:rPr>
        <w:t>不动产</w:t>
      </w:r>
      <w:r>
        <w:rPr>
          <w:rFonts w:hint="eastAsia" w:ascii="仿宋" w:hAnsi="仿宋" w:eastAsia="仿宋"/>
          <w:sz w:val="24"/>
          <w:szCs w:val="24"/>
        </w:rPr>
        <w:t>项目价值及预期收益测算</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三、投资者开户</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四、战略配售</w:t>
      </w:r>
    </w:p>
    <w:p>
      <w:pPr>
        <w:pStyle w:val="30"/>
        <w:spacing w:line="360" w:lineRule="auto"/>
        <w:ind w:firstLine="480"/>
        <w:rPr>
          <w:rFonts w:ascii="仿宋" w:hAnsi="仿宋" w:eastAsia="仿宋"/>
          <w:sz w:val="24"/>
          <w:szCs w:val="24"/>
        </w:rPr>
      </w:pPr>
      <w:r>
        <w:rPr>
          <w:rFonts w:hint="eastAsia" w:ascii="仿宋" w:hAnsi="仿宋" w:eastAsia="仿宋"/>
          <w:sz w:val="24"/>
          <w:szCs w:val="24"/>
        </w:rPr>
        <w:t>（一）参与对象</w:t>
      </w:r>
    </w:p>
    <w:p>
      <w:pPr>
        <w:pStyle w:val="30"/>
        <w:spacing w:line="360" w:lineRule="auto"/>
        <w:ind w:firstLine="480"/>
        <w:rPr>
          <w:rFonts w:ascii="仿宋" w:hAnsi="仿宋" w:eastAsia="仿宋"/>
          <w:sz w:val="24"/>
          <w:szCs w:val="24"/>
        </w:rPr>
      </w:pPr>
      <w:r>
        <w:rPr>
          <w:rFonts w:hint="eastAsia" w:ascii="仿宋" w:hAnsi="仿宋" w:eastAsia="仿宋"/>
          <w:sz w:val="24"/>
          <w:szCs w:val="24"/>
        </w:rPr>
        <w:t>（二）承诺认购的基金份额数量及限售期安排</w:t>
      </w:r>
    </w:p>
    <w:p>
      <w:pPr>
        <w:pStyle w:val="30"/>
        <w:spacing w:line="360" w:lineRule="auto"/>
        <w:ind w:firstLine="480"/>
        <w:rPr>
          <w:rFonts w:ascii="仿宋" w:hAnsi="仿宋" w:eastAsia="仿宋"/>
          <w:sz w:val="24"/>
          <w:szCs w:val="24"/>
        </w:rPr>
      </w:pPr>
      <w:r>
        <w:rPr>
          <w:rFonts w:hint="eastAsia" w:ascii="仿宋" w:hAnsi="仿宋" w:eastAsia="仿宋"/>
          <w:sz w:val="24"/>
          <w:szCs w:val="24"/>
        </w:rPr>
        <w:t>（三）原始权益人初始持有</w:t>
      </w:r>
      <w:r>
        <w:rPr>
          <w:rFonts w:hint="eastAsia" w:ascii="仿宋" w:hAnsi="仿宋" w:eastAsia="仿宋"/>
          <w:sz w:val="24"/>
          <w:szCs w:val="24"/>
          <w:lang w:eastAsia="zh-CN"/>
        </w:rPr>
        <w:t>不动产</w:t>
      </w:r>
      <w:r>
        <w:rPr>
          <w:rFonts w:hint="eastAsia" w:ascii="仿宋" w:hAnsi="仿宋" w:eastAsia="仿宋"/>
          <w:sz w:val="24"/>
          <w:szCs w:val="24"/>
        </w:rPr>
        <w:t>项目权益的比例</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五、网下认购</w:t>
      </w:r>
    </w:p>
    <w:p>
      <w:pPr>
        <w:pStyle w:val="30"/>
        <w:spacing w:line="360" w:lineRule="auto"/>
        <w:ind w:firstLine="480"/>
        <w:rPr>
          <w:rFonts w:ascii="仿宋" w:hAnsi="仿宋" w:eastAsia="仿宋"/>
          <w:sz w:val="24"/>
          <w:szCs w:val="24"/>
        </w:rPr>
      </w:pPr>
      <w:r>
        <w:rPr>
          <w:rFonts w:hint="eastAsia" w:ascii="仿宋" w:hAnsi="仿宋" w:eastAsia="仿宋"/>
          <w:sz w:val="24"/>
          <w:szCs w:val="24"/>
        </w:rPr>
        <w:t>（一）参与对象</w:t>
      </w:r>
    </w:p>
    <w:p>
      <w:pPr>
        <w:pStyle w:val="30"/>
        <w:spacing w:line="360" w:lineRule="auto"/>
        <w:ind w:firstLine="480"/>
        <w:rPr>
          <w:rFonts w:ascii="仿宋" w:hAnsi="仿宋" w:eastAsia="仿宋"/>
          <w:sz w:val="24"/>
          <w:szCs w:val="24"/>
        </w:rPr>
      </w:pPr>
      <w:r>
        <w:rPr>
          <w:rFonts w:hint="eastAsia" w:ascii="仿宋" w:hAnsi="仿宋" w:eastAsia="仿宋"/>
          <w:sz w:val="24"/>
          <w:szCs w:val="24"/>
        </w:rPr>
        <w:t>（二）网下认购</w:t>
      </w:r>
    </w:p>
    <w:p>
      <w:pPr>
        <w:pStyle w:val="30"/>
        <w:spacing w:line="360" w:lineRule="auto"/>
        <w:ind w:firstLine="480"/>
        <w:rPr>
          <w:rFonts w:ascii="仿宋" w:hAnsi="仿宋" w:eastAsia="仿宋"/>
          <w:sz w:val="24"/>
          <w:szCs w:val="24"/>
        </w:rPr>
      </w:pPr>
      <w:r>
        <w:rPr>
          <w:rFonts w:hint="eastAsia" w:ascii="仿宋" w:hAnsi="仿宋" w:eastAsia="仿宋"/>
          <w:sz w:val="24"/>
          <w:szCs w:val="24"/>
        </w:rPr>
        <w:t>（三）网下初步配售基金份额</w:t>
      </w:r>
    </w:p>
    <w:p>
      <w:pPr>
        <w:pStyle w:val="30"/>
        <w:spacing w:line="360" w:lineRule="auto"/>
        <w:ind w:firstLine="480"/>
        <w:rPr>
          <w:rFonts w:ascii="仿宋" w:hAnsi="仿宋" w:eastAsia="仿宋"/>
          <w:sz w:val="24"/>
          <w:szCs w:val="24"/>
        </w:rPr>
      </w:pPr>
      <w:r>
        <w:rPr>
          <w:rFonts w:hint="eastAsia" w:ascii="仿宋" w:hAnsi="仿宋" w:eastAsia="仿宋"/>
          <w:sz w:val="24"/>
          <w:szCs w:val="24"/>
        </w:rPr>
        <w:t>（四）公布初步配售结果</w:t>
      </w:r>
    </w:p>
    <w:p>
      <w:pPr>
        <w:pStyle w:val="30"/>
        <w:spacing w:line="360" w:lineRule="auto"/>
        <w:ind w:firstLine="480"/>
        <w:rPr>
          <w:rFonts w:ascii="仿宋" w:hAnsi="仿宋" w:eastAsia="仿宋"/>
          <w:sz w:val="24"/>
          <w:szCs w:val="24"/>
        </w:rPr>
      </w:pPr>
      <w:r>
        <w:rPr>
          <w:rFonts w:hint="eastAsia" w:ascii="仿宋" w:hAnsi="仿宋" w:eastAsia="仿宋"/>
          <w:sz w:val="24"/>
          <w:szCs w:val="24"/>
        </w:rPr>
        <w:t>（五）认购款项的缴付</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六、公众认购</w:t>
      </w:r>
    </w:p>
    <w:p>
      <w:pPr>
        <w:pStyle w:val="30"/>
        <w:spacing w:line="360" w:lineRule="auto"/>
        <w:ind w:firstLine="480"/>
        <w:rPr>
          <w:rFonts w:ascii="仿宋" w:hAnsi="仿宋" w:eastAsia="仿宋"/>
          <w:sz w:val="24"/>
          <w:szCs w:val="24"/>
        </w:rPr>
      </w:pPr>
      <w:r>
        <w:rPr>
          <w:rFonts w:hint="eastAsia" w:ascii="仿宋" w:hAnsi="仿宋" w:eastAsia="仿宋"/>
          <w:sz w:val="24"/>
          <w:szCs w:val="24"/>
        </w:rPr>
        <w:t>（一）销售机构</w:t>
      </w:r>
    </w:p>
    <w:p>
      <w:pPr>
        <w:pStyle w:val="30"/>
        <w:spacing w:line="360" w:lineRule="auto"/>
        <w:ind w:firstLine="480"/>
        <w:rPr>
          <w:rFonts w:ascii="仿宋" w:hAnsi="仿宋" w:eastAsia="仿宋"/>
          <w:sz w:val="24"/>
          <w:szCs w:val="24"/>
        </w:rPr>
      </w:pPr>
      <w:r>
        <w:rPr>
          <w:rFonts w:hint="eastAsia" w:ascii="仿宋" w:hAnsi="仿宋" w:eastAsia="仿宋"/>
          <w:sz w:val="24"/>
          <w:szCs w:val="24"/>
        </w:rPr>
        <w:t>（二）禁止参与公众认购的投资者</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七、中止发售情况</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八、发售费用</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九、清算与交割</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十、基金资产的验资与基金合同生效</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十一、本次募集的有关当事人或中介机构</w:t>
      </w:r>
    </w:p>
    <w:p>
      <w:pPr>
        <w:pStyle w:val="30"/>
        <w:spacing w:line="360" w:lineRule="auto"/>
        <w:ind w:firstLine="0" w:firstLineChars="0"/>
        <w:rPr>
          <w:rFonts w:ascii="仿宋" w:hAnsi="仿宋" w:eastAsia="仿宋"/>
          <w:b/>
          <w:sz w:val="24"/>
          <w:szCs w:val="24"/>
        </w:rPr>
      </w:pPr>
    </w:p>
    <w:p>
      <w:pPr>
        <w:rPr>
          <w:rFonts w:ascii="仿宋" w:hAnsi="仿宋" w:eastAsia="仿宋"/>
          <w:b/>
          <w:bCs/>
          <w:sz w:val="24"/>
          <w:szCs w:val="24"/>
        </w:rPr>
      </w:pPr>
      <w:r>
        <w:rPr>
          <w:rFonts w:hint="eastAsia" w:ascii="仿宋" w:hAnsi="仿宋" w:eastAsia="仿宋"/>
          <w:b/>
          <w:bCs/>
          <w:sz w:val="24"/>
          <w:szCs w:val="24"/>
        </w:rPr>
        <w:t>附表：投资者报价信息统计</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76"/>
        <w:gridCol w:w="992"/>
        <w:gridCol w:w="993"/>
        <w:gridCol w:w="992"/>
        <w:gridCol w:w="1276"/>
        <w:gridCol w:w="155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75"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序号</w:t>
            </w:r>
          </w:p>
        </w:tc>
        <w:tc>
          <w:tcPr>
            <w:tcW w:w="1276"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交易员名称</w:t>
            </w:r>
          </w:p>
        </w:tc>
        <w:tc>
          <w:tcPr>
            <w:tcW w:w="992"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配售对象代码</w:t>
            </w:r>
          </w:p>
        </w:tc>
        <w:tc>
          <w:tcPr>
            <w:tcW w:w="993"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配售对象名称</w:t>
            </w:r>
          </w:p>
        </w:tc>
        <w:tc>
          <w:tcPr>
            <w:tcW w:w="992"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配售对象类别</w:t>
            </w:r>
          </w:p>
        </w:tc>
        <w:tc>
          <w:tcPr>
            <w:tcW w:w="1276"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拟申购价格（元）</w:t>
            </w:r>
          </w:p>
        </w:tc>
        <w:tc>
          <w:tcPr>
            <w:tcW w:w="1559"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拟申购数量（万份）</w:t>
            </w:r>
          </w:p>
        </w:tc>
        <w:tc>
          <w:tcPr>
            <w:tcW w:w="759" w:type="dxa"/>
            <w:tcMar>
              <w:top w:w="0" w:type="dxa"/>
              <w:left w:w="108" w:type="dxa"/>
              <w:bottom w:w="0" w:type="dxa"/>
              <w:right w:w="108" w:type="dxa"/>
            </w:tcMar>
          </w:tcPr>
          <w:p>
            <w:pPr>
              <w:rPr>
                <w:rFonts w:ascii="仿宋" w:hAnsi="仿宋" w:eastAsia="仿宋" w:cs="宋体"/>
                <w:b/>
                <w:bCs/>
                <w:szCs w:val="21"/>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75" w:type="dxa"/>
            <w:tcMar>
              <w:top w:w="0" w:type="dxa"/>
              <w:left w:w="108" w:type="dxa"/>
              <w:bottom w:w="0" w:type="dxa"/>
              <w:right w:w="108" w:type="dxa"/>
            </w:tcMar>
          </w:tcPr>
          <w:p>
            <w:pPr>
              <w:rPr>
                <w:rFonts w:ascii="仿宋" w:hAnsi="仿宋" w:eastAsia="仿宋" w:cs="宋体"/>
                <w:b/>
                <w:bCs/>
                <w:sz w:val="24"/>
                <w:szCs w:val="24"/>
              </w:rPr>
            </w:pPr>
          </w:p>
        </w:tc>
        <w:tc>
          <w:tcPr>
            <w:tcW w:w="1276" w:type="dxa"/>
            <w:tcMar>
              <w:top w:w="0" w:type="dxa"/>
              <w:left w:w="108" w:type="dxa"/>
              <w:bottom w:w="0" w:type="dxa"/>
              <w:right w:w="108" w:type="dxa"/>
            </w:tcMar>
          </w:tcPr>
          <w:p>
            <w:pPr>
              <w:rPr>
                <w:rFonts w:ascii="仿宋" w:hAnsi="仿宋" w:eastAsia="仿宋" w:cs="宋体"/>
                <w:b/>
                <w:bCs/>
                <w:sz w:val="24"/>
                <w:szCs w:val="24"/>
              </w:rPr>
            </w:pPr>
          </w:p>
        </w:tc>
        <w:tc>
          <w:tcPr>
            <w:tcW w:w="992" w:type="dxa"/>
            <w:tcMar>
              <w:top w:w="0" w:type="dxa"/>
              <w:left w:w="108" w:type="dxa"/>
              <w:bottom w:w="0" w:type="dxa"/>
              <w:right w:w="108" w:type="dxa"/>
            </w:tcMar>
          </w:tcPr>
          <w:p>
            <w:pPr>
              <w:rPr>
                <w:rFonts w:ascii="仿宋" w:hAnsi="仿宋" w:eastAsia="仿宋" w:cs="宋体"/>
                <w:b/>
                <w:bCs/>
                <w:sz w:val="24"/>
                <w:szCs w:val="24"/>
              </w:rPr>
            </w:pPr>
          </w:p>
        </w:tc>
        <w:tc>
          <w:tcPr>
            <w:tcW w:w="993" w:type="dxa"/>
            <w:tcMar>
              <w:top w:w="0" w:type="dxa"/>
              <w:left w:w="108" w:type="dxa"/>
              <w:bottom w:w="0" w:type="dxa"/>
              <w:right w:w="108" w:type="dxa"/>
            </w:tcMar>
          </w:tcPr>
          <w:p>
            <w:pPr>
              <w:rPr>
                <w:rFonts w:ascii="仿宋" w:hAnsi="仿宋" w:eastAsia="仿宋" w:cs="宋体"/>
                <w:b/>
                <w:bCs/>
                <w:sz w:val="24"/>
                <w:szCs w:val="24"/>
              </w:rPr>
            </w:pPr>
          </w:p>
        </w:tc>
        <w:tc>
          <w:tcPr>
            <w:tcW w:w="992" w:type="dxa"/>
            <w:tcMar>
              <w:top w:w="0" w:type="dxa"/>
              <w:left w:w="108" w:type="dxa"/>
              <w:bottom w:w="0" w:type="dxa"/>
              <w:right w:w="108" w:type="dxa"/>
            </w:tcMar>
          </w:tcPr>
          <w:p>
            <w:pPr>
              <w:rPr>
                <w:rFonts w:ascii="仿宋" w:hAnsi="仿宋" w:eastAsia="仿宋" w:cs="宋体"/>
                <w:b/>
                <w:bCs/>
                <w:sz w:val="24"/>
                <w:szCs w:val="24"/>
              </w:rPr>
            </w:pPr>
          </w:p>
        </w:tc>
        <w:tc>
          <w:tcPr>
            <w:tcW w:w="1276" w:type="dxa"/>
            <w:tcMar>
              <w:top w:w="0" w:type="dxa"/>
              <w:left w:w="108" w:type="dxa"/>
              <w:bottom w:w="0" w:type="dxa"/>
              <w:right w:w="108" w:type="dxa"/>
            </w:tcMar>
          </w:tcPr>
          <w:p>
            <w:pPr>
              <w:rPr>
                <w:rFonts w:ascii="仿宋" w:hAnsi="仿宋" w:eastAsia="仿宋" w:cs="宋体"/>
                <w:b/>
                <w:bCs/>
                <w:sz w:val="24"/>
                <w:szCs w:val="24"/>
              </w:rPr>
            </w:pPr>
          </w:p>
        </w:tc>
        <w:tc>
          <w:tcPr>
            <w:tcW w:w="1559" w:type="dxa"/>
            <w:tcMar>
              <w:top w:w="0" w:type="dxa"/>
              <w:left w:w="108" w:type="dxa"/>
              <w:bottom w:w="0" w:type="dxa"/>
              <w:right w:w="108" w:type="dxa"/>
            </w:tcMar>
          </w:tcPr>
          <w:p>
            <w:pPr>
              <w:rPr>
                <w:rFonts w:ascii="仿宋" w:hAnsi="仿宋" w:eastAsia="仿宋" w:cs="宋体"/>
                <w:b/>
                <w:bCs/>
                <w:sz w:val="24"/>
                <w:szCs w:val="24"/>
              </w:rPr>
            </w:pPr>
          </w:p>
        </w:tc>
        <w:tc>
          <w:tcPr>
            <w:tcW w:w="759" w:type="dxa"/>
            <w:tcMar>
              <w:top w:w="0" w:type="dxa"/>
              <w:left w:w="108" w:type="dxa"/>
              <w:bottom w:w="0" w:type="dxa"/>
              <w:right w:w="108" w:type="dxa"/>
            </w:tcMar>
          </w:tcPr>
          <w:p>
            <w:pPr>
              <w:rPr>
                <w:rFonts w:ascii="仿宋" w:hAnsi="仿宋" w:eastAsia="仿宋" w:cs="宋体"/>
                <w:b/>
                <w:bCs/>
                <w:sz w:val="24"/>
                <w:szCs w:val="24"/>
              </w:rPr>
            </w:pPr>
          </w:p>
        </w:tc>
      </w:tr>
    </w:tbl>
    <w:p>
      <w:pPr>
        <w:rPr>
          <w:rFonts w:ascii="仿宋" w:hAnsi="仿宋" w:eastAsia="仿宋"/>
          <w:szCs w:val="21"/>
        </w:rPr>
      </w:pPr>
    </w:p>
    <w:p>
      <w:pPr>
        <w:spacing w:after="156" w:afterLines="50" w:line="360" w:lineRule="auto"/>
        <w:outlineLvl w:val="2"/>
        <w:rPr>
          <w:rFonts w:ascii="黑体" w:hAnsi="黑体" w:eastAsia="黑体" w:cs="Times New Roman"/>
          <w:bCs/>
          <w:sz w:val="32"/>
          <w:szCs w:val="32"/>
        </w:rPr>
        <w:sectPr>
          <w:pgSz w:w="11906" w:h="16838"/>
          <w:pgMar w:top="1440" w:right="1800" w:bottom="1440" w:left="1800" w:header="851" w:footer="992" w:gutter="0"/>
          <w:cols w:space="720" w:num="1"/>
          <w:formProt w:val="1"/>
          <w:docGrid w:type="lines" w:linePitch="312" w:charSpace="0"/>
        </w:sectPr>
      </w:pPr>
      <w:bookmarkStart w:id="289" w:name="_Toc15054"/>
      <w:bookmarkStart w:id="290" w:name="_Toc65181452"/>
      <w:bookmarkStart w:id="291" w:name="_Toc65333658"/>
    </w:p>
    <w:p>
      <w:pPr>
        <w:pStyle w:val="5"/>
        <w:keepNext w:val="0"/>
        <w:keepLines w:val="0"/>
        <w:rPr>
          <w:rFonts w:asciiTheme="minorEastAsia" w:hAnsiTheme="minorEastAsia" w:eastAsiaTheme="minorEastAsia"/>
          <w:b/>
        </w:rPr>
      </w:pPr>
      <w:bookmarkStart w:id="292" w:name="_Toc12417"/>
      <w:bookmarkStart w:id="293" w:name="_Toc70590213"/>
      <w:bookmarkStart w:id="294" w:name="_Toc26061"/>
      <w:bookmarkStart w:id="295" w:name="_Toc19730"/>
      <w:bookmarkStart w:id="296" w:name="_Toc28653"/>
      <w:r>
        <w:rPr>
          <w:rFonts w:asciiTheme="minorEastAsia" w:hAnsiTheme="minorEastAsia" w:eastAsiaTheme="minorEastAsia"/>
          <w:b/>
        </w:rPr>
        <w:t>附件</w:t>
      </w:r>
      <w:r>
        <w:rPr>
          <w:rFonts w:hint="eastAsia" w:asciiTheme="minorEastAsia" w:hAnsiTheme="minorEastAsia" w:eastAsiaTheme="minorEastAsia"/>
          <w:b/>
        </w:rPr>
        <w:t>4-3</w:t>
      </w:r>
      <w:r>
        <w:rPr>
          <w:rFonts w:asciiTheme="minorEastAsia" w:hAnsiTheme="minorEastAsia" w:eastAsiaTheme="minorEastAsia"/>
          <w:b/>
        </w:rPr>
        <w:t>：</w:t>
      </w:r>
      <w:r>
        <w:rPr>
          <w:rFonts w:hint="eastAsia" w:asciiTheme="minorEastAsia" w:hAnsiTheme="minorEastAsia" w:eastAsiaTheme="minorEastAsia"/>
          <w:b/>
        </w:rPr>
        <w:t>《基金合同生效公告》必备要素</w:t>
      </w:r>
      <w:bookmarkEnd w:id="289"/>
      <w:bookmarkEnd w:id="290"/>
      <w:bookmarkEnd w:id="291"/>
      <w:bookmarkEnd w:id="292"/>
      <w:bookmarkEnd w:id="293"/>
      <w:bookmarkEnd w:id="294"/>
      <w:bookmarkEnd w:id="295"/>
      <w:bookmarkEnd w:id="296"/>
    </w:p>
    <w:p>
      <w:pPr>
        <w:pStyle w:val="30"/>
        <w:spacing w:line="360" w:lineRule="auto"/>
        <w:ind w:firstLine="482"/>
        <w:rPr>
          <w:rFonts w:ascii="仿宋" w:hAnsi="仿宋" w:eastAsia="仿宋"/>
          <w:sz w:val="24"/>
          <w:szCs w:val="24"/>
        </w:rPr>
      </w:pPr>
      <w:r>
        <w:rPr>
          <w:rFonts w:hint="eastAsia" w:ascii="仿宋" w:hAnsi="仿宋" w:eastAsia="仿宋"/>
          <w:b/>
          <w:sz w:val="24"/>
          <w:szCs w:val="24"/>
        </w:rPr>
        <w:t>一、公告基本信息</w:t>
      </w:r>
    </w:p>
    <w:p>
      <w:pPr>
        <w:pStyle w:val="30"/>
        <w:spacing w:line="360" w:lineRule="auto"/>
        <w:ind w:firstLine="480"/>
        <w:rPr>
          <w:rFonts w:ascii="仿宋" w:hAnsi="仿宋" w:eastAsia="仿宋"/>
          <w:bCs/>
          <w:sz w:val="24"/>
          <w:szCs w:val="24"/>
        </w:rPr>
      </w:pPr>
      <w:r>
        <w:rPr>
          <w:rFonts w:hint="eastAsia" w:ascii="仿宋" w:hAnsi="仿宋" w:eastAsia="仿宋"/>
          <w:sz w:val="24"/>
          <w:szCs w:val="24"/>
        </w:rPr>
        <w:t>基金名称、基金简称、基金运作方式、基金合同生效日等。</w:t>
      </w:r>
    </w:p>
    <w:p>
      <w:pPr>
        <w:pStyle w:val="30"/>
        <w:spacing w:line="360" w:lineRule="auto"/>
        <w:ind w:firstLine="480"/>
        <w:rPr>
          <w:rFonts w:ascii="仿宋" w:hAnsi="仿宋" w:eastAsia="仿宋"/>
          <w:bCs/>
          <w:sz w:val="24"/>
          <w:szCs w:val="24"/>
        </w:rPr>
      </w:pPr>
    </w:p>
    <w:p>
      <w:pPr>
        <w:pStyle w:val="30"/>
        <w:spacing w:line="360" w:lineRule="auto"/>
        <w:ind w:firstLine="482"/>
        <w:rPr>
          <w:rFonts w:ascii="仿宋" w:hAnsi="仿宋" w:eastAsia="仿宋"/>
          <w:sz w:val="24"/>
          <w:szCs w:val="24"/>
        </w:rPr>
      </w:pPr>
      <w:r>
        <w:rPr>
          <w:rFonts w:hint="eastAsia" w:ascii="仿宋" w:hAnsi="仿宋" w:eastAsia="仿宋"/>
          <w:b/>
          <w:sz w:val="24"/>
          <w:szCs w:val="24"/>
        </w:rPr>
        <w:t>二、基金募集情况</w:t>
      </w:r>
    </w:p>
    <w:p>
      <w:pPr>
        <w:pStyle w:val="30"/>
        <w:spacing w:line="360" w:lineRule="auto"/>
        <w:ind w:firstLine="480"/>
        <w:rPr>
          <w:rFonts w:ascii="仿宋" w:hAnsi="仿宋" w:eastAsia="仿宋"/>
          <w:bCs/>
          <w:sz w:val="24"/>
          <w:szCs w:val="24"/>
        </w:rPr>
      </w:pPr>
      <w:r>
        <w:rPr>
          <w:rFonts w:hint="eastAsia" w:ascii="仿宋" w:hAnsi="仿宋" w:eastAsia="仿宋"/>
          <w:sz w:val="24"/>
          <w:szCs w:val="24"/>
        </w:rPr>
        <w:t>（一）有效认购份额、募集期间净认购金额以及认购资金在募集期间产生的利息。</w:t>
      </w:r>
    </w:p>
    <w:p>
      <w:pPr>
        <w:pStyle w:val="30"/>
        <w:spacing w:line="360" w:lineRule="auto"/>
        <w:ind w:firstLine="480"/>
        <w:rPr>
          <w:rFonts w:ascii="仿宋" w:hAnsi="仿宋" w:eastAsia="仿宋"/>
          <w:sz w:val="24"/>
          <w:szCs w:val="24"/>
        </w:rPr>
      </w:pPr>
      <w:r>
        <w:rPr>
          <w:rFonts w:hint="eastAsia" w:ascii="仿宋" w:hAnsi="仿宋" w:eastAsia="仿宋"/>
          <w:sz w:val="24"/>
          <w:szCs w:val="24"/>
        </w:rPr>
        <w:t>（二）最终向战略投资者、网下投资者和公众投资者发售的基金份额数量及其比例，获配网下投资者名称以及每个获配投资者的报价、认购数量和获配数量等，并明确说明自主配售的结果是否符合事先公布的配售原则；最终获配的战略投资者名称、基金份额数量以及限售期安排等。</w:t>
      </w:r>
    </w:p>
    <w:p>
      <w:pPr>
        <w:pStyle w:val="30"/>
        <w:spacing w:line="360" w:lineRule="auto"/>
        <w:ind w:firstLine="480"/>
        <w:rPr>
          <w:rFonts w:ascii="仿宋" w:hAnsi="仿宋" w:eastAsia="仿宋"/>
          <w:sz w:val="24"/>
          <w:szCs w:val="24"/>
        </w:rPr>
      </w:pPr>
      <w:r>
        <w:rPr>
          <w:rFonts w:hint="eastAsia" w:ascii="仿宋" w:hAnsi="仿宋" w:eastAsia="仿宋"/>
          <w:sz w:val="24"/>
          <w:szCs w:val="24"/>
        </w:rPr>
        <w:t>（三）对于提供有效报价但未参与认购，或实际认购数量明显少于报价时拟认购数量的投资者应列表公示并着重说明。</w:t>
      </w:r>
    </w:p>
    <w:p>
      <w:pPr>
        <w:ind w:firstLine="480" w:firstLineChars="200"/>
        <w:rPr>
          <w:rFonts w:ascii="仿宋" w:hAnsi="仿宋" w:eastAsia="仿宋"/>
          <w:color w:val="000000"/>
          <w:sz w:val="24"/>
          <w:szCs w:val="24"/>
        </w:rPr>
      </w:pPr>
    </w:p>
    <w:p>
      <w:pPr>
        <w:ind w:firstLine="482" w:firstLineChars="200"/>
        <w:rPr>
          <w:rFonts w:ascii="仿宋" w:hAnsi="仿宋" w:eastAsia="仿宋"/>
          <w:b/>
          <w:color w:val="000000"/>
          <w:sz w:val="24"/>
          <w:szCs w:val="24"/>
        </w:rPr>
        <w:sectPr>
          <w:pgSz w:w="11906" w:h="16838"/>
          <w:pgMar w:top="1440" w:right="1800" w:bottom="1440" w:left="1800" w:header="851" w:footer="992" w:gutter="0"/>
          <w:cols w:space="720" w:num="1"/>
          <w:formProt w:val="1"/>
          <w:docGrid w:type="lines" w:linePitch="312" w:charSpace="0"/>
        </w:sectPr>
      </w:pPr>
      <w:r>
        <w:rPr>
          <w:rFonts w:hint="eastAsia" w:ascii="仿宋" w:hAnsi="仿宋" w:eastAsia="仿宋"/>
          <w:b/>
          <w:bCs/>
          <w:color w:val="000000"/>
          <w:sz w:val="24"/>
          <w:szCs w:val="24"/>
        </w:rPr>
        <w:t>三、</w:t>
      </w:r>
      <w:r>
        <w:rPr>
          <w:rFonts w:hint="eastAsia" w:ascii="仿宋" w:hAnsi="仿宋" w:eastAsia="仿宋"/>
          <w:b/>
          <w:color w:val="000000"/>
          <w:sz w:val="24"/>
          <w:szCs w:val="24"/>
        </w:rPr>
        <w:t>其他需要提示的事项</w:t>
      </w:r>
    </w:p>
    <w:p>
      <w:pPr>
        <w:pStyle w:val="5"/>
        <w:keepNext w:val="0"/>
        <w:keepLines w:val="0"/>
        <w:rPr>
          <w:rFonts w:asciiTheme="minorEastAsia" w:hAnsiTheme="minorEastAsia" w:eastAsiaTheme="minorEastAsia"/>
          <w:b/>
        </w:rPr>
      </w:pPr>
      <w:bookmarkStart w:id="297" w:name="_Toc22285"/>
      <w:bookmarkStart w:id="298" w:name="_Toc70590214"/>
      <w:bookmarkStart w:id="299" w:name="_Toc32598"/>
      <w:bookmarkStart w:id="300" w:name="_Toc410"/>
      <w:bookmarkStart w:id="301" w:name="_Toc29260"/>
      <w:r>
        <w:rPr>
          <w:rFonts w:asciiTheme="minorEastAsia" w:hAnsiTheme="minorEastAsia" w:eastAsiaTheme="minorEastAsia"/>
          <w:b/>
        </w:rPr>
        <w:t>附件</w:t>
      </w:r>
      <w:r>
        <w:rPr>
          <w:rFonts w:hint="eastAsia" w:asciiTheme="minorEastAsia" w:hAnsiTheme="minorEastAsia" w:eastAsiaTheme="minorEastAsia"/>
          <w:b/>
        </w:rPr>
        <w:t>4-4</w:t>
      </w:r>
      <w:r>
        <w:rPr>
          <w:rFonts w:asciiTheme="minorEastAsia" w:hAnsiTheme="minorEastAsia" w:eastAsiaTheme="minorEastAsia"/>
          <w:b/>
        </w:rPr>
        <w:t>：</w:t>
      </w:r>
      <w:r>
        <w:rPr>
          <w:rFonts w:hint="eastAsia" w:asciiTheme="minorEastAsia" w:hAnsiTheme="minorEastAsia" w:eastAsiaTheme="minorEastAsia"/>
          <w:b/>
        </w:rPr>
        <w:t>《限售公告》必备要素</w:t>
      </w:r>
      <w:bookmarkEnd w:id="297"/>
      <w:bookmarkEnd w:id="298"/>
      <w:bookmarkEnd w:id="299"/>
      <w:bookmarkEnd w:id="300"/>
      <w:bookmarkEnd w:id="301"/>
    </w:p>
    <w:p>
      <w:pPr>
        <w:spacing w:line="360" w:lineRule="auto"/>
        <w:ind w:firstLine="482" w:firstLineChars="200"/>
        <w:rPr>
          <w:rFonts w:ascii="仿宋_GB2312" w:hAnsi="仿宋" w:eastAsia="仿宋_GB2312"/>
          <w:sz w:val="24"/>
          <w:szCs w:val="24"/>
        </w:rPr>
      </w:pPr>
      <w:r>
        <w:rPr>
          <w:rFonts w:hint="eastAsia" w:ascii="仿宋_GB2312" w:hAnsi="仿宋" w:eastAsia="仿宋_GB2312"/>
          <w:b/>
          <w:sz w:val="24"/>
          <w:szCs w:val="24"/>
        </w:rPr>
        <w:t>一、公告基本信息</w:t>
      </w:r>
    </w:p>
    <w:p>
      <w:pPr>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基金代码、基金简称、业务类型等。</w:t>
      </w:r>
    </w:p>
    <w:p>
      <w:pPr>
        <w:spacing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二、限售投资者具体信息</w:t>
      </w:r>
    </w:p>
    <w:p>
      <w:pPr>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下列投资者作为战略配售投资者，其持有的战略配售份额已根据《公开募集基础设施证券投资基金指引（试行）》</w:t>
      </w:r>
      <w:r>
        <w:rPr>
          <w:rFonts w:hint="eastAsia" w:ascii="仿宋_GB2312" w:hAnsi="仿宋" w:eastAsia="仿宋_GB2312"/>
          <w:sz w:val="24"/>
          <w:szCs w:val="24"/>
          <w:lang w:val="en-US" w:eastAsia="zh-CN"/>
        </w:rPr>
        <w:t>及其他相关规定</w:t>
      </w:r>
      <w:r>
        <w:rPr>
          <w:rFonts w:hint="eastAsia" w:ascii="仿宋_GB2312" w:hAnsi="仿宋" w:eastAsia="仿宋_GB2312"/>
          <w:sz w:val="24"/>
          <w:szCs w:val="24"/>
        </w:rPr>
        <w:t>的要求办理完成限售业务，具体如下：</w:t>
      </w:r>
    </w:p>
    <w:p>
      <w:pPr>
        <w:tabs>
          <w:tab w:val="left" w:pos="992"/>
        </w:tabs>
        <w:spacing w:before="156" w:beforeLines="50" w:after="156" w:afterLines="50"/>
        <w:ind w:firstLine="420" w:firstLineChars="200"/>
        <w:rPr>
          <w:rFonts w:ascii="仿宋" w:hAnsi="仿宋" w:eastAsia="仿宋"/>
          <w:szCs w:val="20"/>
        </w:rPr>
      </w:pPr>
      <w:r>
        <w:rPr>
          <w:rFonts w:hint="eastAsia" w:ascii="仿宋" w:hAnsi="仿宋" w:eastAsia="仿宋"/>
          <w:szCs w:val="20"/>
        </w:rPr>
        <w:t>（1）场内份额限售</w:t>
      </w:r>
    </w:p>
    <w:tbl>
      <w:tblPr>
        <w:tblStyle w:val="17"/>
        <w:tblW w:w="4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45"/>
        <w:gridCol w:w="170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序号</w:t>
            </w:r>
          </w:p>
        </w:tc>
        <w:tc>
          <w:tcPr>
            <w:tcW w:w="1188" w:type="pct"/>
          </w:tcPr>
          <w:p>
            <w:pPr>
              <w:jc w:val="center"/>
              <w:rPr>
                <w:rFonts w:ascii="仿宋" w:hAnsi="仿宋" w:eastAsia="仿宋"/>
                <w:szCs w:val="21"/>
              </w:rPr>
            </w:pPr>
            <w:r>
              <w:rPr>
                <w:rFonts w:hint="eastAsia" w:ascii="仿宋" w:hAnsi="仿宋" w:eastAsia="仿宋"/>
                <w:szCs w:val="21"/>
              </w:rPr>
              <w:t>证券账户名称</w:t>
            </w:r>
          </w:p>
        </w:tc>
        <w:tc>
          <w:tcPr>
            <w:tcW w:w="1096" w:type="pct"/>
          </w:tcPr>
          <w:p>
            <w:pPr>
              <w:jc w:val="center"/>
              <w:rPr>
                <w:rFonts w:ascii="仿宋" w:hAnsi="仿宋" w:eastAsia="仿宋"/>
                <w:szCs w:val="21"/>
              </w:rPr>
            </w:pPr>
            <w:r>
              <w:rPr>
                <w:rFonts w:hint="eastAsia" w:ascii="仿宋" w:hAnsi="仿宋" w:eastAsia="仿宋"/>
                <w:szCs w:val="21"/>
              </w:rPr>
              <w:t>限售份额总量</w:t>
            </w:r>
          </w:p>
        </w:tc>
        <w:tc>
          <w:tcPr>
            <w:tcW w:w="2283" w:type="pct"/>
          </w:tcPr>
          <w:p>
            <w:pPr>
              <w:jc w:val="center"/>
              <w:rPr>
                <w:rFonts w:ascii="仿宋" w:hAnsi="仿宋" w:eastAsia="仿宋"/>
                <w:szCs w:val="21"/>
              </w:rPr>
            </w:pPr>
            <w:r>
              <w:rPr>
                <w:rFonts w:hint="eastAsia" w:ascii="仿宋" w:hAnsi="仿宋" w:eastAsia="仿宋"/>
                <w:szCs w:val="21"/>
              </w:rPr>
              <w:t>限售期（月）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1</w:t>
            </w:r>
          </w:p>
        </w:tc>
        <w:tc>
          <w:tcPr>
            <w:tcW w:w="1188" w:type="pct"/>
          </w:tcPr>
          <w:p>
            <w:pPr>
              <w:jc w:val="center"/>
              <w:rPr>
                <w:rFonts w:ascii="仿宋" w:hAnsi="仿宋" w:eastAsia="仿宋"/>
                <w:szCs w:val="21"/>
              </w:rPr>
            </w:pPr>
          </w:p>
        </w:tc>
        <w:tc>
          <w:tcPr>
            <w:tcW w:w="1096" w:type="pct"/>
          </w:tcPr>
          <w:p>
            <w:pPr>
              <w:jc w:val="center"/>
              <w:rPr>
                <w:rFonts w:ascii="仿宋" w:hAnsi="仿宋" w:eastAsia="仿宋"/>
                <w:szCs w:val="21"/>
              </w:rPr>
            </w:pPr>
          </w:p>
        </w:tc>
        <w:tc>
          <w:tcPr>
            <w:tcW w:w="2283" w:type="pct"/>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2</w:t>
            </w:r>
          </w:p>
        </w:tc>
        <w:tc>
          <w:tcPr>
            <w:tcW w:w="1188" w:type="pct"/>
          </w:tcPr>
          <w:p>
            <w:pPr>
              <w:jc w:val="center"/>
              <w:rPr>
                <w:rFonts w:ascii="仿宋" w:hAnsi="仿宋" w:eastAsia="仿宋"/>
                <w:szCs w:val="21"/>
              </w:rPr>
            </w:pPr>
          </w:p>
        </w:tc>
        <w:tc>
          <w:tcPr>
            <w:tcW w:w="1096" w:type="pct"/>
          </w:tcPr>
          <w:p>
            <w:pPr>
              <w:jc w:val="center"/>
              <w:rPr>
                <w:rFonts w:ascii="仿宋" w:hAnsi="仿宋" w:eastAsia="仿宋"/>
                <w:szCs w:val="21"/>
              </w:rPr>
            </w:pPr>
          </w:p>
        </w:tc>
        <w:tc>
          <w:tcPr>
            <w:tcW w:w="2283" w:type="pct"/>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3</w:t>
            </w:r>
          </w:p>
        </w:tc>
        <w:tc>
          <w:tcPr>
            <w:tcW w:w="1188" w:type="pct"/>
          </w:tcPr>
          <w:p>
            <w:pPr>
              <w:jc w:val="center"/>
              <w:rPr>
                <w:rFonts w:ascii="仿宋" w:hAnsi="仿宋" w:eastAsia="仿宋"/>
                <w:szCs w:val="21"/>
              </w:rPr>
            </w:pPr>
          </w:p>
        </w:tc>
        <w:tc>
          <w:tcPr>
            <w:tcW w:w="1096" w:type="pct"/>
          </w:tcPr>
          <w:p>
            <w:pPr>
              <w:jc w:val="center"/>
              <w:rPr>
                <w:rFonts w:ascii="仿宋" w:hAnsi="仿宋" w:eastAsia="仿宋"/>
                <w:szCs w:val="21"/>
              </w:rPr>
            </w:pPr>
          </w:p>
        </w:tc>
        <w:tc>
          <w:tcPr>
            <w:tcW w:w="2283" w:type="pct"/>
          </w:tcPr>
          <w:p>
            <w:pPr>
              <w:jc w:val="center"/>
              <w:rPr>
                <w:rFonts w:ascii="仿宋" w:hAnsi="仿宋" w:eastAsia="仿宋"/>
                <w:szCs w:val="21"/>
              </w:rPr>
            </w:pPr>
          </w:p>
        </w:tc>
      </w:tr>
    </w:tbl>
    <w:p>
      <w:pPr>
        <w:tabs>
          <w:tab w:val="left" w:pos="992"/>
        </w:tabs>
        <w:spacing w:before="156" w:beforeLines="50" w:after="156" w:afterLines="50"/>
        <w:ind w:firstLine="420" w:firstLineChars="200"/>
        <w:rPr>
          <w:rFonts w:ascii="仿宋" w:hAnsi="仿宋" w:eastAsia="仿宋"/>
        </w:rPr>
      </w:pPr>
      <w:r>
        <w:rPr>
          <w:rFonts w:hint="eastAsia" w:ascii="仿宋" w:hAnsi="仿宋" w:eastAsia="仿宋"/>
        </w:rPr>
        <w:t>（2）场外份额锁定</w:t>
      </w:r>
    </w:p>
    <w:tbl>
      <w:tblPr>
        <w:tblStyle w:val="17"/>
        <w:tblW w:w="4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45"/>
        <w:gridCol w:w="170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序号</w:t>
            </w:r>
          </w:p>
        </w:tc>
        <w:tc>
          <w:tcPr>
            <w:tcW w:w="1188" w:type="pct"/>
          </w:tcPr>
          <w:p>
            <w:pPr>
              <w:jc w:val="center"/>
              <w:rPr>
                <w:rFonts w:ascii="仿宋" w:hAnsi="仿宋" w:eastAsia="仿宋"/>
                <w:szCs w:val="21"/>
              </w:rPr>
            </w:pPr>
            <w:r>
              <w:rPr>
                <w:rFonts w:hint="eastAsia" w:ascii="仿宋" w:hAnsi="仿宋" w:eastAsia="仿宋"/>
                <w:szCs w:val="21"/>
              </w:rPr>
              <w:t>账户名称</w:t>
            </w:r>
          </w:p>
        </w:tc>
        <w:tc>
          <w:tcPr>
            <w:tcW w:w="1096" w:type="pct"/>
          </w:tcPr>
          <w:p>
            <w:pPr>
              <w:jc w:val="center"/>
              <w:rPr>
                <w:rFonts w:ascii="仿宋" w:hAnsi="仿宋" w:eastAsia="仿宋"/>
                <w:szCs w:val="21"/>
              </w:rPr>
            </w:pPr>
            <w:r>
              <w:rPr>
                <w:rFonts w:hint="eastAsia" w:ascii="仿宋" w:hAnsi="仿宋" w:eastAsia="仿宋"/>
                <w:szCs w:val="21"/>
              </w:rPr>
              <w:t>锁定份额数量</w:t>
            </w:r>
          </w:p>
        </w:tc>
        <w:tc>
          <w:tcPr>
            <w:tcW w:w="2283" w:type="pct"/>
          </w:tcPr>
          <w:p>
            <w:pPr>
              <w:jc w:val="center"/>
              <w:rPr>
                <w:rFonts w:ascii="仿宋" w:hAnsi="仿宋" w:eastAsia="仿宋"/>
                <w:szCs w:val="21"/>
              </w:rPr>
            </w:pPr>
            <w:r>
              <w:rPr>
                <w:rFonts w:hint="eastAsia" w:ascii="仿宋" w:hAnsi="仿宋" w:eastAsia="仿宋"/>
                <w:szCs w:val="21"/>
              </w:rPr>
              <w:t>锁定期（月）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1</w:t>
            </w:r>
          </w:p>
        </w:tc>
        <w:tc>
          <w:tcPr>
            <w:tcW w:w="1188" w:type="pct"/>
          </w:tcPr>
          <w:p>
            <w:pPr>
              <w:jc w:val="center"/>
              <w:rPr>
                <w:rFonts w:ascii="仿宋" w:hAnsi="仿宋" w:eastAsia="仿宋"/>
                <w:szCs w:val="21"/>
              </w:rPr>
            </w:pPr>
          </w:p>
        </w:tc>
        <w:tc>
          <w:tcPr>
            <w:tcW w:w="1096" w:type="pct"/>
          </w:tcPr>
          <w:p>
            <w:pPr>
              <w:jc w:val="center"/>
              <w:rPr>
                <w:rFonts w:ascii="仿宋" w:hAnsi="仿宋" w:eastAsia="仿宋"/>
                <w:szCs w:val="21"/>
              </w:rPr>
            </w:pPr>
          </w:p>
        </w:tc>
        <w:tc>
          <w:tcPr>
            <w:tcW w:w="2283" w:type="pct"/>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2</w:t>
            </w:r>
          </w:p>
        </w:tc>
        <w:tc>
          <w:tcPr>
            <w:tcW w:w="1188" w:type="pct"/>
          </w:tcPr>
          <w:p>
            <w:pPr>
              <w:jc w:val="center"/>
              <w:rPr>
                <w:rFonts w:ascii="仿宋" w:hAnsi="仿宋" w:eastAsia="仿宋"/>
                <w:szCs w:val="21"/>
              </w:rPr>
            </w:pPr>
          </w:p>
        </w:tc>
        <w:tc>
          <w:tcPr>
            <w:tcW w:w="1096" w:type="pct"/>
          </w:tcPr>
          <w:p>
            <w:pPr>
              <w:jc w:val="center"/>
              <w:rPr>
                <w:rFonts w:ascii="仿宋" w:hAnsi="仿宋" w:eastAsia="仿宋"/>
                <w:szCs w:val="21"/>
              </w:rPr>
            </w:pPr>
          </w:p>
        </w:tc>
        <w:tc>
          <w:tcPr>
            <w:tcW w:w="2283" w:type="pct"/>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Cs w:val="21"/>
              </w:rPr>
            </w:pPr>
            <w:r>
              <w:rPr>
                <w:rFonts w:hint="eastAsia" w:ascii="仿宋" w:hAnsi="仿宋" w:eastAsia="仿宋"/>
                <w:szCs w:val="21"/>
              </w:rPr>
              <w:t>3</w:t>
            </w:r>
          </w:p>
        </w:tc>
        <w:tc>
          <w:tcPr>
            <w:tcW w:w="1188" w:type="pct"/>
          </w:tcPr>
          <w:p>
            <w:pPr>
              <w:jc w:val="center"/>
              <w:rPr>
                <w:rFonts w:ascii="仿宋" w:hAnsi="仿宋" w:eastAsia="仿宋"/>
                <w:szCs w:val="21"/>
              </w:rPr>
            </w:pPr>
          </w:p>
        </w:tc>
        <w:tc>
          <w:tcPr>
            <w:tcW w:w="1096" w:type="pct"/>
          </w:tcPr>
          <w:p>
            <w:pPr>
              <w:jc w:val="center"/>
              <w:rPr>
                <w:rFonts w:ascii="仿宋" w:hAnsi="仿宋" w:eastAsia="仿宋"/>
                <w:szCs w:val="21"/>
              </w:rPr>
            </w:pPr>
          </w:p>
        </w:tc>
        <w:tc>
          <w:tcPr>
            <w:tcW w:w="2283" w:type="pct"/>
          </w:tcPr>
          <w:p>
            <w:pPr>
              <w:jc w:val="center"/>
              <w:rPr>
                <w:rFonts w:ascii="仿宋" w:hAnsi="仿宋" w:eastAsia="仿宋"/>
                <w:szCs w:val="21"/>
              </w:rPr>
            </w:pPr>
          </w:p>
        </w:tc>
      </w:tr>
    </w:tbl>
    <w:p>
      <w:pPr>
        <w:spacing w:line="360" w:lineRule="auto"/>
        <w:rPr>
          <w:rFonts w:ascii="仿宋_GB2312" w:hAnsi="仿宋" w:eastAsia="仿宋_GB2312"/>
          <w:b/>
          <w:sz w:val="24"/>
          <w:szCs w:val="24"/>
        </w:rPr>
      </w:pPr>
    </w:p>
    <w:p>
      <w:pPr>
        <w:spacing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三、其他需要提示的事项</w:t>
      </w:r>
    </w:p>
    <w:p>
      <w:pPr>
        <w:rPr>
          <w:rFonts w:ascii="仿宋" w:hAnsi="仿宋" w:eastAsia="仿宋"/>
          <w:color w:val="000000"/>
          <w:sz w:val="24"/>
          <w:szCs w:val="24"/>
        </w:rPr>
        <w:sectPr>
          <w:pgSz w:w="11906" w:h="16838"/>
          <w:pgMar w:top="1440" w:right="1800" w:bottom="1440" w:left="1800" w:header="851" w:footer="992" w:gutter="0"/>
          <w:cols w:space="720" w:num="1"/>
          <w:formProt w:val="1"/>
          <w:docGrid w:type="lines" w:linePitch="312" w:charSpace="0"/>
        </w:sectPr>
      </w:pPr>
    </w:p>
    <w:p>
      <w:pPr>
        <w:pStyle w:val="5"/>
        <w:keepNext w:val="0"/>
        <w:keepLines w:val="0"/>
        <w:rPr>
          <w:rFonts w:asciiTheme="minorEastAsia" w:hAnsiTheme="minorEastAsia" w:eastAsiaTheme="minorEastAsia"/>
          <w:b/>
        </w:rPr>
      </w:pPr>
      <w:bookmarkStart w:id="302" w:name="_Toc70590215"/>
      <w:bookmarkStart w:id="303" w:name="_Toc26643"/>
      <w:bookmarkStart w:id="304" w:name="_Toc28599"/>
      <w:bookmarkStart w:id="305" w:name="_Toc31260"/>
      <w:bookmarkStart w:id="306" w:name="_Toc65333660"/>
      <w:bookmarkStart w:id="307" w:name="_Toc8988"/>
      <w:bookmarkStart w:id="308" w:name="_Toc65181457"/>
      <w:bookmarkStart w:id="309" w:name="_Toc30951"/>
      <w:r>
        <w:rPr>
          <w:rFonts w:asciiTheme="minorEastAsia" w:hAnsiTheme="minorEastAsia" w:eastAsiaTheme="minorEastAsia"/>
          <w:b/>
        </w:rPr>
        <w:t>附件</w:t>
      </w:r>
      <w:r>
        <w:rPr>
          <w:rFonts w:hint="eastAsia" w:asciiTheme="minorEastAsia" w:hAnsiTheme="minorEastAsia" w:eastAsiaTheme="minorEastAsia"/>
          <w:b/>
        </w:rPr>
        <w:t>4-5</w:t>
      </w:r>
      <w:r>
        <w:rPr>
          <w:rFonts w:asciiTheme="minorEastAsia" w:hAnsiTheme="minorEastAsia" w:eastAsiaTheme="minorEastAsia"/>
          <w:b/>
        </w:rPr>
        <w:t>：</w:t>
      </w:r>
      <w:r>
        <w:rPr>
          <w:rFonts w:hint="eastAsia" w:asciiTheme="minorEastAsia" w:hAnsiTheme="minorEastAsia" w:eastAsiaTheme="minorEastAsia"/>
          <w:b/>
        </w:rPr>
        <w:t>《上市交易公告书》必备要素</w:t>
      </w:r>
      <w:bookmarkEnd w:id="302"/>
      <w:bookmarkEnd w:id="303"/>
      <w:bookmarkEnd w:id="304"/>
      <w:bookmarkEnd w:id="305"/>
      <w:bookmarkEnd w:id="306"/>
      <w:bookmarkEnd w:id="307"/>
      <w:bookmarkEnd w:id="308"/>
      <w:bookmarkEnd w:id="309"/>
    </w:p>
    <w:p>
      <w:pPr>
        <w:pStyle w:val="30"/>
        <w:spacing w:line="360" w:lineRule="auto"/>
        <w:ind w:firstLine="482"/>
        <w:rPr>
          <w:rFonts w:ascii="仿宋" w:hAnsi="仿宋" w:eastAsia="仿宋"/>
          <w:b/>
          <w:sz w:val="24"/>
          <w:szCs w:val="24"/>
        </w:rPr>
      </w:pPr>
      <w:r>
        <w:rPr>
          <w:rFonts w:hint="eastAsia" w:ascii="仿宋" w:hAnsi="仿宋" w:eastAsia="仿宋"/>
          <w:b/>
          <w:sz w:val="24"/>
          <w:szCs w:val="24"/>
        </w:rPr>
        <w:t>一、重要声明与提示</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 xml:space="preserve"> 基金概览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（一）基金简称、交易代码、截至公告日前两个工作日的基金份额总额和基金份额净值、本次上市交易份额、上市交易的证券交易所、上市交易日期、基金管理人、基金托管人等基本信息。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w:t>
      </w:r>
      <w:r>
        <w:rPr>
          <w:rFonts w:hint="eastAsia" w:ascii="仿宋" w:hAnsi="仿宋" w:eastAsia="仿宋"/>
          <w:sz w:val="24"/>
          <w:szCs w:val="24"/>
          <w:lang w:eastAsia="zh-CN"/>
        </w:rPr>
        <w:t>不动产</w:t>
      </w:r>
      <w:r>
        <w:rPr>
          <w:rFonts w:hint="eastAsia" w:ascii="仿宋" w:hAnsi="仿宋" w:eastAsia="仿宋"/>
          <w:sz w:val="24"/>
          <w:szCs w:val="24"/>
        </w:rPr>
        <w:t>基金投资运作、交易等环节的主要风险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w:t>
      </w:r>
      <w:r>
        <w:rPr>
          <w:rFonts w:hint="eastAsia" w:ascii="仿宋" w:hAnsi="仿宋" w:eastAsia="仿宋"/>
          <w:sz w:val="24"/>
          <w:szCs w:val="24"/>
          <w:lang w:eastAsia="zh-CN"/>
        </w:rPr>
        <w:t>不动产</w:t>
      </w:r>
      <w:r>
        <w:rPr>
          <w:rFonts w:hint="eastAsia" w:ascii="仿宋" w:hAnsi="仿宋" w:eastAsia="仿宋"/>
          <w:sz w:val="24"/>
          <w:szCs w:val="24"/>
        </w:rPr>
        <w:t>基金认购</w:t>
      </w:r>
      <w:r>
        <w:rPr>
          <w:rFonts w:hint="eastAsia" w:ascii="仿宋" w:hAnsi="仿宋" w:eastAsia="仿宋"/>
          <w:sz w:val="24"/>
          <w:szCs w:val="24"/>
          <w:lang w:eastAsia="zh-CN"/>
        </w:rPr>
        <w:t>不动产</w:t>
      </w:r>
      <w:r>
        <w:rPr>
          <w:rFonts w:hint="eastAsia" w:ascii="仿宋" w:hAnsi="仿宋" w:eastAsia="仿宋"/>
          <w:sz w:val="24"/>
          <w:szCs w:val="24"/>
        </w:rPr>
        <w:t>资产支持证券以及</w:t>
      </w:r>
      <w:r>
        <w:rPr>
          <w:rFonts w:hint="eastAsia" w:ascii="仿宋" w:hAnsi="仿宋" w:eastAsia="仿宋"/>
          <w:sz w:val="24"/>
          <w:szCs w:val="24"/>
          <w:lang w:eastAsia="zh-CN"/>
        </w:rPr>
        <w:t>不动产</w:t>
      </w:r>
      <w:r>
        <w:rPr>
          <w:rFonts w:hint="eastAsia" w:ascii="仿宋" w:hAnsi="仿宋" w:eastAsia="仿宋"/>
          <w:sz w:val="24"/>
          <w:szCs w:val="24"/>
        </w:rPr>
        <w:t>基金所投资专项计划投资基础资产的情况。</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三、基金的募集与上市交易</w:t>
      </w:r>
    </w:p>
    <w:p>
      <w:pPr>
        <w:pStyle w:val="30"/>
        <w:spacing w:line="360" w:lineRule="auto"/>
        <w:ind w:firstLine="480"/>
        <w:rPr>
          <w:rFonts w:ascii="仿宋" w:hAnsi="仿宋" w:eastAsia="仿宋"/>
          <w:sz w:val="24"/>
          <w:szCs w:val="24"/>
        </w:rPr>
      </w:pPr>
      <w:r>
        <w:rPr>
          <w:rFonts w:hint="eastAsia" w:ascii="仿宋" w:hAnsi="仿宋" w:eastAsia="仿宋"/>
          <w:sz w:val="24"/>
          <w:szCs w:val="24"/>
        </w:rPr>
        <w:t>（一）本次上市前基金募集情况，至少包括：</w:t>
      </w:r>
    </w:p>
    <w:p>
      <w:pPr>
        <w:pStyle w:val="30"/>
        <w:spacing w:line="360" w:lineRule="auto"/>
        <w:ind w:firstLine="480"/>
        <w:rPr>
          <w:rFonts w:ascii="仿宋" w:hAnsi="仿宋" w:eastAsia="仿宋"/>
          <w:sz w:val="24"/>
          <w:szCs w:val="24"/>
        </w:rPr>
      </w:pPr>
      <w:r>
        <w:rPr>
          <w:rFonts w:hint="eastAsia" w:ascii="仿宋" w:hAnsi="仿宋" w:eastAsia="仿宋"/>
          <w:sz w:val="24"/>
          <w:szCs w:val="24"/>
        </w:rPr>
        <w:t>1、基金募集申请的核准机构和核准文号、基金运作方式、基金合同期限、发售日期、发售价格、发售期限、发售方式、发售机构、验资机构名称、募集资金总额及入账情况、基金备案情况、基金合同生效日及该日的基金份额总额等；</w:t>
      </w:r>
    </w:p>
    <w:p>
      <w:pPr>
        <w:pStyle w:val="30"/>
        <w:spacing w:line="360" w:lineRule="auto"/>
        <w:ind w:firstLine="48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不动产</w:t>
      </w:r>
      <w:r>
        <w:rPr>
          <w:rFonts w:hint="eastAsia" w:ascii="仿宋" w:hAnsi="仿宋" w:eastAsia="仿宋"/>
          <w:sz w:val="24"/>
          <w:szCs w:val="24"/>
        </w:rPr>
        <w:t>项目原始权益人或同一控制下的关联方、其他战略投资者参与本次基金战略配售的具体情况及限售安排。</w:t>
      </w:r>
    </w:p>
    <w:p>
      <w:pPr>
        <w:pStyle w:val="30"/>
        <w:spacing w:line="360" w:lineRule="auto"/>
        <w:ind w:firstLine="480"/>
        <w:rPr>
          <w:rFonts w:ascii="仿宋" w:hAnsi="仿宋" w:eastAsia="仿宋"/>
          <w:sz w:val="24"/>
          <w:szCs w:val="24"/>
        </w:rPr>
      </w:pPr>
      <w:r>
        <w:rPr>
          <w:rFonts w:hint="eastAsia" w:ascii="仿宋" w:hAnsi="仿宋" w:eastAsia="仿宋"/>
          <w:sz w:val="24"/>
          <w:szCs w:val="24"/>
        </w:rPr>
        <w:t>（二）基金上市交易的主要内容，至少包括：</w:t>
      </w:r>
    </w:p>
    <w:p>
      <w:pPr>
        <w:pStyle w:val="30"/>
        <w:spacing w:line="360" w:lineRule="auto"/>
        <w:ind w:firstLine="480"/>
        <w:rPr>
          <w:rFonts w:ascii="仿宋" w:hAnsi="仿宋" w:eastAsia="仿宋"/>
          <w:sz w:val="24"/>
          <w:szCs w:val="24"/>
        </w:rPr>
      </w:pPr>
      <w:r>
        <w:rPr>
          <w:rFonts w:hint="eastAsia" w:ascii="仿宋" w:hAnsi="仿宋" w:eastAsia="仿宋"/>
          <w:sz w:val="24"/>
          <w:szCs w:val="24"/>
        </w:rPr>
        <w:t>基金上市交易的核准机构和核准文号、上市交易日期、上市交易的证券交易所、基金简称、基金交易代码、本次上市交易无限售安排的份额、本次上市交易有限售安排的份额、未上市交易份额的份额规定。</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四、持有人户数、持有人结构及前十名持有人</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五、基金主要当事人简介</w:t>
      </w:r>
    </w:p>
    <w:p>
      <w:pPr>
        <w:pStyle w:val="30"/>
        <w:spacing w:line="360" w:lineRule="auto"/>
        <w:ind w:firstLine="480"/>
        <w:rPr>
          <w:rFonts w:ascii="仿宋" w:hAnsi="仿宋" w:eastAsia="仿宋"/>
          <w:sz w:val="24"/>
          <w:szCs w:val="24"/>
        </w:rPr>
      </w:pPr>
      <w:r>
        <w:rPr>
          <w:rFonts w:hint="eastAsia" w:ascii="仿宋" w:hAnsi="仿宋" w:eastAsia="仿宋"/>
          <w:sz w:val="24"/>
          <w:szCs w:val="24"/>
        </w:rPr>
        <w:t>基金管理人、基金托管人、基金验资机构等基本信息</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六、基金合同摘要</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七、</w:t>
      </w:r>
      <w:r>
        <w:rPr>
          <w:rFonts w:ascii="仿宋" w:hAnsi="仿宋" w:eastAsia="仿宋"/>
          <w:b/>
          <w:sz w:val="24"/>
          <w:szCs w:val="24"/>
        </w:rPr>
        <w:t>基金财务状况</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八、</w:t>
      </w:r>
      <w:r>
        <w:rPr>
          <w:rFonts w:ascii="仿宋" w:hAnsi="仿宋" w:eastAsia="仿宋"/>
          <w:b/>
          <w:sz w:val="24"/>
          <w:szCs w:val="24"/>
        </w:rPr>
        <w:t>基金</w:t>
      </w:r>
      <w:r>
        <w:rPr>
          <w:rFonts w:hint="eastAsia" w:ascii="仿宋" w:hAnsi="仿宋" w:eastAsia="仿宋"/>
          <w:b/>
          <w:sz w:val="24"/>
          <w:szCs w:val="24"/>
        </w:rPr>
        <w:t>投资组合</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九、重大事件揭示</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十、基金管理人承诺</w:t>
      </w:r>
    </w:p>
    <w:p>
      <w:pPr>
        <w:pStyle w:val="30"/>
        <w:spacing w:line="360" w:lineRule="auto"/>
        <w:ind w:firstLine="482"/>
        <w:rPr>
          <w:rFonts w:ascii="仿宋" w:hAnsi="仿宋" w:eastAsia="仿宋"/>
          <w:b/>
          <w:sz w:val="24"/>
          <w:szCs w:val="24"/>
        </w:rPr>
      </w:pPr>
      <w:r>
        <w:rPr>
          <w:rFonts w:hint="eastAsia" w:ascii="仿宋" w:hAnsi="仿宋" w:eastAsia="仿宋"/>
          <w:b/>
          <w:sz w:val="24"/>
          <w:szCs w:val="24"/>
        </w:rPr>
        <w:t>十一、基金托管人承诺</w:t>
      </w:r>
    </w:p>
    <w:p>
      <w:pPr>
        <w:pStyle w:val="30"/>
        <w:spacing w:line="360" w:lineRule="auto"/>
        <w:ind w:firstLine="482"/>
        <w:rPr>
          <w:rFonts w:ascii="仿宋" w:hAnsi="仿宋" w:eastAsia="仿宋"/>
          <w:b/>
          <w:sz w:val="24"/>
          <w:szCs w:val="24"/>
        </w:rPr>
        <w:sectPr>
          <w:pgSz w:w="11906" w:h="16838"/>
          <w:pgMar w:top="1440" w:right="1800" w:bottom="1440" w:left="1800" w:header="851" w:footer="992" w:gutter="0"/>
          <w:cols w:space="720" w:num="1"/>
          <w:formProt w:val="1"/>
          <w:docGrid w:type="lines" w:linePitch="312" w:charSpace="0"/>
        </w:sectPr>
      </w:pPr>
      <w:r>
        <w:rPr>
          <w:rFonts w:hint="eastAsia" w:ascii="仿宋" w:hAnsi="仿宋" w:eastAsia="仿宋"/>
          <w:b/>
          <w:sz w:val="24"/>
          <w:szCs w:val="24"/>
        </w:rPr>
        <w:t>十二、备查文件目录</w:t>
      </w:r>
    </w:p>
    <w:p>
      <w:pPr>
        <w:pStyle w:val="5"/>
        <w:keepNext w:val="0"/>
        <w:keepLines w:val="0"/>
        <w:rPr>
          <w:rFonts w:asciiTheme="minorEastAsia" w:hAnsiTheme="minorEastAsia" w:eastAsiaTheme="minorEastAsia"/>
          <w:b/>
        </w:rPr>
      </w:pPr>
      <w:bookmarkStart w:id="310" w:name="_Toc16279"/>
      <w:bookmarkStart w:id="311" w:name="_Toc27747"/>
      <w:bookmarkStart w:id="312" w:name="_Toc70590216"/>
      <w:bookmarkStart w:id="313" w:name="_Toc13513"/>
      <w:bookmarkStart w:id="314" w:name="_Toc70066388"/>
      <w:bookmarkStart w:id="315" w:name="_Toc15496"/>
      <w:r>
        <w:rPr>
          <w:rFonts w:asciiTheme="minorEastAsia" w:hAnsiTheme="minorEastAsia" w:eastAsiaTheme="minorEastAsia"/>
          <w:b/>
        </w:rPr>
        <w:t>附件</w:t>
      </w:r>
      <w:r>
        <w:rPr>
          <w:rFonts w:hint="eastAsia" w:asciiTheme="minorEastAsia" w:hAnsiTheme="minorEastAsia" w:eastAsiaTheme="minorEastAsia"/>
          <w:b/>
        </w:rPr>
        <w:t>5</w:t>
      </w:r>
      <w:r>
        <w:rPr>
          <w:rFonts w:asciiTheme="minorEastAsia" w:hAnsiTheme="minorEastAsia" w:eastAsiaTheme="minorEastAsia"/>
          <w:b/>
        </w:rPr>
        <w:t>：</w:t>
      </w:r>
      <w:r>
        <w:rPr>
          <w:rFonts w:hint="eastAsia" w:asciiTheme="minorEastAsia" w:hAnsiTheme="minorEastAsia" w:eastAsiaTheme="minorEastAsia"/>
          <w:b/>
          <w:lang w:eastAsia="zh-CN"/>
        </w:rPr>
        <w:t>不动产</w:t>
      </w:r>
      <w:r>
        <w:rPr>
          <w:rFonts w:hint="eastAsia" w:asciiTheme="minorEastAsia" w:hAnsiTheme="minorEastAsia" w:eastAsiaTheme="minorEastAsia"/>
          <w:b/>
        </w:rPr>
        <w:t>基金场内份额限售申请</w:t>
      </w:r>
      <w:bookmarkEnd w:id="310"/>
      <w:bookmarkEnd w:id="311"/>
      <w:bookmarkEnd w:id="312"/>
      <w:bookmarkEnd w:id="313"/>
      <w:bookmarkEnd w:id="314"/>
      <w:bookmarkEnd w:id="315"/>
    </w:p>
    <w:p>
      <w:pPr>
        <w:rPr>
          <w:rFonts w:ascii="仿宋_GB2312" w:eastAsia="仿宋_GB2312"/>
        </w:rPr>
      </w:pPr>
    </w:p>
    <w:p>
      <w:pPr>
        <w:spacing w:line="560" w:lineRule="exact"/>
        <w:rPr>
          <w:rFonts w:ascii="仿宋_GB2312" w:eastAsia="仿宋_GB2312"/>
          <w:sz w:val="28"/>
          <w:szCs w:val="24"/>
        </w:rPr>
      </w:pPr>
      <w:r>
        <w:rPr>
          <w:rFonts w:hint="eastAsia" w:ascii="仿宋_GB2312" w:eastAsia="仿宋_GB2312"/>
          <w:sz w:val="28"/>
          <w:szCs w:val="24"/>
        </w:rPr>
        <w:t>深圳证券交易所：</w:t>
      </w:r>
    </w:p>
    <w:p>
      <w:pPr>
        <w:spacing w:line="560" w:lineRule="exact"/>
        <w:ind w:firstLine="560" w:firstLineChars="200"/>
        <w:rPr>
          <w:rFonts w:ascii="仿宋_GB2312" w:eastAsia="仿宋_GB2312"/>
          <w:sz w:val="28"/>
          <w:szCs w:val="24"/>
        </w:rPr>
      </w:pPr>
      <w:r>
        <w:rPr>
          <w:rFonts w:hint="eastAsia" w:ascii="仿宋_GB2312" w:eastAsia="仿宋_GB2312"/>
          <w:sz w:val="28"/>
          <w:szCs w:val="24"/>
        </w:rPr>
        <w:t>根据《公开募集基础设施证券投资基金指引（试行）》</w:t>
      </w:r>
      <w:r>
        <w:rPr>
          <w:rFonts w:hint="eastAsia" w:ascii="仿宋_GB2312" w:eastAsia="仿宋_GB2312"/>
          <w:sz w:val="28"/>
          <w:szCs w:val="24"/>
          <w:lang w:val="en-US" w:eastAsia="zh-CN"/>
        </w:rPr>
        <w:t>及其他相关规定</w:t>
      </w:r>
      <w:r>
        <w:rPr>
          <w:rFonts w:hint="eastAsia" w:ascii="仿宋_GB2312" w:eastAsia="仿宋_GB2312"/>
          <w:sz w:val="28"/>
          <w:szCs w:val="24"/>
        </w:rPr>
        <w:t>要求，</w:t>
      </w:r>
      <w:r>
        <w:rPr>
          <w:rFonts w:hint="eastAsia" w:ascii="仿宋_GB2312" w:eastAsia="仿宋_GB2312"/>
          <w:sz w:val="28"/>
          <w:szCs w:val="24"/>
          <w:lang w:eastAsia="zh-CN"/>
        </w:rPr>
        <w:t>不动产</w:t>
      </w:r>
      <w:r>
        <w:rPr>
          <w:rFonts w:hint="eastAsia" w:ascii="仿宋_GB2312" w:eastAsia="仿宋_GB2312"/>
          <w:sz w:val="28"/>
          <w:szCs w:val="24"/>
        </w:rPr>
        <w:t>基金战略配售份额存在限售期。现申请对XX基金（证券代码：</w:t>
      </w:r>
      <w:r>
        <w:rPr>
          <w:rFonts w:ascii="仿宋_GB2312" w:eastAsia="仿宋_GB2312"/>
          <w:sz w:val="28"/>
          <w:szCs w:val="24"/>
        </w:rPr>
        <w:t xml:space="preserve">     </w:t>
      </w:r>
      <w:r>
        <w:rPr>
          <w:rFonts w:hint="eastAsia" w:ascii="仿宋_GB2312" w:eastAsia="仿宋_GB2312"/>
          <w:sz w:val="28"/>
          <w:szCs w:val="24"/>
        </w:rPr>
        <w:t>证券简称：</w:t>
      </w:r>
      <w:r>
        <w:rPr>
          <w:rFonts w:ascii="仿宋_GB2312" w:eastAsia="仿宋_GB2312"/>
          <w:sz w:val="28"/>
          <w:szCs w:val="24"/>
        </w:rPr>
        <w:t xml:space="preserve">    </w:t>
      </w:r>
      <w:r>
        <w:rPr>
          <w:rFonts w:hint="eastAsia" w:ascii="仿宋_GB2312" w:eastAsia="仿宋_GB2312"/>
          <w:sz w:val="28"/>
          <w:szCs w:val="24"/>
        </w:rPr>
        <w:t>）部分场内份额进行限售，限售信息详见附件《证券登记申报明细清单》。</w:t>
      </w:r>
    </w:p>
    <w:p>
      <w:pPr>
        <w:spacing w:line="560" w:lineRule="exact"/>
        <w:ind w:firstLine="560" w:firstLineChars="200"/>
        <w:jc w:val="left"/>
        <w:rPr>
          <w:rFonts w:ascii="仿宋_GB2312" w:eastAsia="仿宋_GB2312"/>
          <w:sz w:val="28"/>
          <w:szCs w:val="24"/>
        </w:rPr>
      </w:pPr>
    </w:p>
    <w:p>
      <w:pPr>
        <w:jc w:val="right"/>
        <w:rPr>
          <w:rFonts w:ascii="仿宋_GB2312" w:eastAsia="仿宋_GB2312"/>
          <w:sz w:val="28"/>
          <w:szCs w:val="24"/>
        </w:rPr>
      </w:pPr>
      <w:r>
        <w:rPr>
          <w:rFonts w:hint="eastAsia" w:ascii="仿宋_GB2312" w:eastAsia="仿宋_GB2312"/>
          <w:sz w:val="28"/>
          <w:szCs w:val="24"/>
        </w:rPr>
        <w:t xml:space="preserve"> XX基金公司  </w:t>
      </w:r>
    </w:p>
    <w:p>
      <w:pPr>
        <w:jc w:val="right"/>
        <w:rPr>
          <w:rFonts w:ascii="仿宋_GB2312" w:eastAsia="仿宋_GB2312"/>
          <w:sz w:val="28"/>
          <w:szCs w:val="24"/>
        </w:rPr>
      </w:pPr>
      <w:r>
        <w:rPr>
          <w:rFonts w:hint="eastAsia" w:ascii="仿宋_GB2312" w:eastAsia="仿宋_GB2312"/>
          <w:sz w:val="28"/>
          <w:szCs w:val="24"/>
        </w:rPr>
        <w:t>年  月  日</w:t>
      </w:r>
    </w:p>
    <w:p>
      <w:pPr>
        <w:outlineLvl w:val="9"/>
        <w:rPr>
          <w:rFonts w:asciiTheme="minorEastAsia" w:hAnsiTheme="minorEastAsia" w:eastAsiaTheme="minorEastAsia"/>
          <w:sz w:val="22"/>
          <w:szCs w:val="22"/>
        </w:rPr>
      </w:pPr>
      <w:bookmarkStart w:id="316" w:name="_Toc20187"/>
      <w:bookmarkStart w:id="317" w:name="_Toc26097"/>
      <w:bookmarkStart w:id="318" w:name="_Toc70590217"/>
      <w:bookmarkStart w:id="319" w:name="_Toc2035"/>
      <w:r>
        <w:rPr>
          <w:rFonts w:hint="eastAsia" w:asciiTheme="minorEastAsia" w:hAnsiTheme="minorEastAsia" w:eastAsiaTheme="minorEastAsia"/>
          <w:sz w:val="22"/>
          <w:szCs w:val="22"/>
        </w:rPr>
        <w:t>附：</w:t>
      </w:r>
      <w:r>
        <w:rPr>
          <w:rFonts w:hint="eastAsia" w:asciiTheme="minorEastAsia" w:hAnsiTheme="minorEastAsia" w:eastAsiaTheme="minorEastAsia"/>
          <w:sz w:val="22"/>
          <w:szCs w:val="22"/>
          <w:lang w:eastAsia="zh-CN"/>
        </w:rPr>
        <w:t>不动产</w:t>
      </w:r>
      <w:r>
        <w:rPr>
          <w:rFonts w:hint="eastAsia" w:asciiTheme="minorEastAsia" w:hAnsiTheme="minorEastAsia" w:eastAsiaTheme="minorEastAsia"/>
          <w:sz w:val="22"/>
          <w:szCs w:val="22"/>
        </w:rPr>
        <w:t>基金限售份额《证券登记申报明细清单》</w:t>
      </w:r>
      <w:bookmarkEnd w:id="316"/>
      <w:bookmarkEnd w:id="317"/>
      <w:bookmarkEnd w:id="318"/>
      <w:bookmarkEnd w:id="319"/>
    </w:p>
    <w:p>
      <w:pPr>
        <w:widowControl/>
        <w:jc w:val="left"/>
      </w:pPr>
      <w:r>
        <w:rPr>
          <w:rFonts w:hint="eastAsia"/>
        </w:rPr>
        <w:t>证券代码：                  证券简称：</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775"/>
        <w:gridCol w:w="775"/>
        <w:gridCol w:w="775"/>
        <w:gridCol w:w="775"/>
        <w:gridCol w:w="774"/>
        <w:gridCol w:w="774"/>
        <w:gridCol w:w="774"/>
        <w:gridCol w:w="775"/>
        <w:gridCol w:w="775"/>
        <w:gridCol w:w="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widowControl/>
              <w:jc w:val="center"/>
            </w:pPr>
            <w:r>
              <w:rPr>
                <w:rFonts w:hint="eastAsia"/>
              </w:rPr>
              <w:t>序号</w:t>
            </w:r>
          </w:p>
        </w:tc>
        <w:tc>
          <w:tcPr>
            <w:tcW w:w="775" w:type="dxa"/>
          </w:tcPr>
          <w:p>
            <w:pPr>
              <w:widowControl/>
              <w:jc w:val="center"/>
            </w:pPr>
            <w:r>
              <w:rPr>
                <w:rFonts w:hint="eastAsia"/>
              </w:rPr>
              <w:t>证券账户号码</w:t>
            </w:r>
          </w:p>
        </w:tc>
        <w:tc>
          <w:tcPr>
            <w:tcW w:w="775" w:type="dxa"/>
          </w:tcPr>
          <w:p>
            <w:pPr>
              <w:widowControl/>
              <w:jc w:val="center"/>
            </w:pPr>
            <w:r>
              <w:rPr>
                <w:rFonts w:hint="eastAsia"/>
              </w:rPr>
              <w:t>股东名称</w:t>
            </w:r>
          </w:p>
        </w:tc>
        <w:tc>
          <w:tcPr>
            <w:tcW w:w="775" w:type="dxa"/>
          </w:tcPr>
          <w:p>
            <w:pPr>
              <w:widowControl/>
              <w:jc w:val="center"/>
            </w:pPr>
            <w:r>
              <w:rPr>
                <w:rFonts w:hint="eastAsia"/>
              </w:rPr>
              <w:t>股东类别</w:t>
            </w:r>
          </w:p>
        </w:tc>
        <w:tc>
          <w:tcPr>
            <w:tcW w:w="775" w:type="dxa"/>
          </w:tcPr>
          <w:p>
            <w:pPr>
              <w:widowControl/>
              <w:jc w:val="center"/>
            </w:pPr>
            <w:r>
              <w:rPr>
                <w:rFonts w:hint="eastAsia"/>
              </w:rPr>
              <w:t>证件号码</w:t>
            </w:r>
          </w:p>
        </w:tc>
        <w:tc>
          <w:tcPr>
            <w:tcW w:w="774" w:type="dxa"/>
          </w:tcPr>
          <w:p>
            <w:pPr>
              <w:widowControl/>
              <w:jc w:val="center"/>
            </w:pPr>
            <w:r>
              <w:rPr>
                <w:rFonts w:hint="eastAsia"/>
              </w:rPr>
              <w:t>持股数量</w:t>
            </w:r>
          </w:p>
        </w:tc>
        <w:tc>
          <w:tcPr>
            <w:tcW w:w="774" w:type="dxa"/>
          </w:tcPr>
          <w:p>
            <w:pPr>
              <w:widowControl/>
              <w:jc w:val="center"/>
            </w:pPr>
            <w:r>
              <w:rPr>
                <w:rFonts w:hint="eastAsia"/>
              </w:rPr>
              <w:t>股份性质</w:t>
            </w:r>
          </w:p>
        </w:tc>
        <w:tc>
          <w:tcPr>
            <w:tcW w:w="774" w:type="dxa"/>
          </w:tcPr>
          <w:p>
            <w:pPr>
              <w:widowControl/>
              <w:jc w:val="center"/>
            </w:pPr>
            <w:r>
              <w:rPr>
                <w:rFonts w:hint="eastAsia"/>
              </w:rPr>
              <w:t>流通类型</w:t>
            </w:r>
          </w:p>
        </w:tc>
        <w:tc>
          <w:tcPr>
            <w:tcW w:w="775" w:type="dxa"/>
          </w:tcPr>
          <w:p>
            <w:pPr>
              <w:widowControl/>
              <w:jc w:val="center"/>
            </w:pPr>
            <w:r>
              <w:rPr>
                <w:rFonts w:hint="eastAsia"/>
              </w:rPr>
              <w:t>托管单元编码</w:t>
            </w:r>
          </w:p>
        </w:tc>
        <w:tc>
          <w:tcPr>
            <w:tcW w:w="775" w:type="dxa"/>
          </w:tcPr>
          <w:p>
            <w:pPr>
              <w:widowControl/>
              <w:jc w:val="center"/>
            </w:pPr>
            <w:r>
              <w:rPr>
                <w:rFonts w:hint="eastAsia"/>
              </w:rPr>
              <w:t>采集标志</w:t>
            </w:r>
          </w:p>
        </w:tc>
        <w:tc>
          <w:tcPr>
            <w:tcW w:w="775" w:type="dxa"/>
          </w:tcPr>
          <w:p>
            <w:pPr>
              <w:widowControl/>
              <w:jc w:val="center"/>
            </w:pPr>
            <w:r>
              <w:rPr>
                <w:rFonts w:hint="eastAsia"/>
              </w:rPr>
              <w:t>平均原值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widowControl/>
              <w:jc w:val="center"/>
            </w:pPr>
            <w:r>
              <w:rPr>
                <w:rFonts w:hint="eastAsia"/>
              </w:rPr>
              <w:t>1</w:t>
            </w:r>
          </w:p>
        </w:tc>
        <w:tc>
          <w:tcPr>
            <w:tcW w:w="775" w:type="dxa"/>
          </w:tcPr>
          <w:p>
            <w:pPr>
              <w:widowControl/>
              <w:jc w:val="center"/>
            </w:pPr>
          </w:p>
        </w:tc>
        <w:tc>
          <w:tcPr>
            <w:tcW w:w="775" w:type="dxa"/>
          </w:tcPr>
          <w:p>
            <w:pPr>
              <w:widowControl/>
              <w:jc w:val="center"/>
            </w:pPr>
          </w:p>
        </w:tc>
        <w:tc>
          <w:tcPr>
            <w:tcW w:w="775" w:type="dxa"/>
          </w:tcPr>
          <w:p>
            <w:pPr>
              <w:widowControl/>
              <w:jc w:val="center"/>
            </w:pPr>
          </w:p>
        </w:tc>
        <w:tc>
          <w:tcPr>
            <w:tcW w:w="775" w:type="dxa"/>
          </w:tcPr>
          <w:p>
            <w:pPr>
              <w:widowControl/>
              <w:jc w:val="center"/>
            </w:pPr>
          </w:p>
        </w:tc>
        <w:tc>
          <w:tcPr>
            <w:tcW w:w="774" w:type="dxa"/>
          </w:tcPr>
          <w:p>
            <w:pPr>
              <w:widowControl/>
              <w:jc w:val="center"/>
            </w:pPr>
          </w:p>
        </w:tc>
        <w:tc>
          <w:tcPr>
            <w:tcW w:w="774" w:type="dxa"/>
          </w:tcPr>
          <w:p>
            <w:pPr>
              <w:widowControl/>
              <w:jc w:val="center"/>
            </w:pPr>
          </w:p>
        </w:tc>
        <w:tc>
          <w:tcPr>
            <w:tcW w:w="774" w:type="dxa"/>
          </w:tcPr>
          <w:p>
            <w:pPr>
              <w:widowControl/>
              <w:jc w:val="center"/>
            </w:pPr>
          </w:p>
        </w:tc>
        <w:tc>
          <w:tcPr>
            <w:tcW w:w="775" w:type="dxa"/>
          </w:tcPr>
          <w:p>
            <w:pPr>
              <w:widowControl/>
              <w:jc w:val="center"/>
            </w:pPr>
          </w:p>
        </w:tc>
        <w:tc>
          <w:tcPr>
            <w:tcW w:w="775" w:type="dxa"/>
          </w:tcPr>
          <w:p>
            <w:pPr>
              <w:widowControl/>
              <w:jc w:val="center"/>
            </w:pPr>
          </w:p>
        </w:tc>
        <w:tc>
          <w:tcPr>
            <w:tcW w:w="775" w:type="dxa"/>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widowControl/>
              <w:jc w:val="center"/>
            </w:pPr>
            <w:r>
              <w:rPr>
                <w:rFonts w:hint="eastAsia"/>
              </w:rPr>
              <w:t>2</w:t>
            </w:r>
          </w:p>
        </w:tc>
        <w:tc>
          <w:tcPr>
            <w:tcW w:w="775" w:type="dxa"/>
          </w:tcPr>
          <w:p>
            <w:pPr>
              <w:widowControl/>
              <w:jc w:val="center"/>
            </w:pPr>
          </w:p>
        </w:tc>
        <w:tc>
          <w:tcPr>
            <w:tcW w:w="775" w:type="dxa"/>
          </w:tcPr>
          <w:p>
            <w:pPr>
              <w:widowControl/>
              <w:jc w:val="center"/>
            </w:pPr>
          </w:p>
        </w:tc>
        <w:tc>
          <w:tcPr>
            <w:tcW w:w="775" w:type="dxa"/>
          </w:tcPr>
          <w:p>
            <w:pPr>
              <w:widowControl/>
              <w:jc w:val="center"/>
            </w:pPr>
          </w:p>
        </w:tc>
        <w:tc>
          <w:tcPr>
            <w:tcW w:w="775" w:type="dxa"/>
          </w:tcPr>
          <w:p>
            <w:pPr>
              <w:widowControl/>
              <w:jc w:val="center"/>
            </w:pPr>
          </w:p>
        </w:tc>
        <w:tc>
          <w:tcPr>
            <w:tcW w:w="774" w:type="dxa"/>
          </w:tcPr>
          <w:p>
            <w:pPr>
              <w:widowControl/>
              <w:jc w:val="center"/>
            </w:pPr>
          </w:p>
        </w:tc>
        <w:tc>
          <w:tcPr>
            <w:tcW w:w="774" w:type="dxa"/>
          </w:tcPr>
          <w:p>
            <w:pPr>
              <w:widowControl/>
              <w:jc w:val="center"/>
            </w:pPr>
          </w:p>
        </w:tc>
        <w:tc>
          <w:tcPr>
            <w:tcW w:w="774" w:type="dxa"/>
          </w:tcPr>
          <w:p>
            <w:pPr>
              <w:widowControl/>
              <w:jc w:val="center"/>
            </w:pPr>
          </w:p>
        </w:tc>
        <w:tc>
          <w:tcPr>
            <w:tcW w:w="775" w:type="dxa"/>
          </w:tcPr>
          <w:p>
            <w:pPr>
              <w:widowControl/>
              <w:jc w:val="center"/>
            </w:pPr>
          </w:p>
        </w:tc>
        <w:tc>
          <w:tcPr>
            <w:tcW w:w="775" w:type="dxa"/>
          </w:tcPr>
          <w:p>
            <w:pPr>
              <w:widowControl/>
              <w:jc w:val="center"/>
            </w:pPr>
          </w:p>
        </w:tc>
        <w:tc>
          <w:tcPr>
            <w:tcW w:w="775" w:type="dxa"/>
          </w:tcPr>
          <w:p>
            <w:pPr>
              <w:widowControl/>
              <w:jc w:val="center"/>
            </w:pPr>
          </w:p>
        </w:tc>
      </w:tr>
    </w:tbl>
    <w:p>
      <w:pPr>
        <w:widowControl/>
        <w:jc w:val="left"/>
        <w:rPr>
          <w:u w:val="single"/>
        </w:rPr>
      </w:pPr>
      <w:r>
        <w:rPr>
          <w:rFonts w:hint="eastAsia"/>
          <w:u w:val="single"/>
        </w:rPr>
        <w:t>总计</w:t>
      </w:r>
      <w:r>
        <w:rPr>
          <w:u w:val="single"/>
        </w:rPr>
        <w:t xml:space="preserve">     </w:t>
      </w:r>
      <w:r>
        <w:rPr>
          <w:rFonts w:hint="eastAsia"/>
          <w:u w:val="single"/>
        </w:rPr>
        <w:t>记录数：</w:t>
      </w:r>
      <w:r>
        <w:rPr>
          <w:u w:val="single"/>
        </w:rPr>
        <w:t xml:space="preserve">                 </w:t>
      </w:r>
      <w:r>
        <w:rPr>
          <w:rFonts w:hint="eastAsia"/>
          <w:u w:val="single"/>
        </w:rPr>
        <w:t xml:space="preserve">股份数量：                                   </w:t>
      </w:r>
    </w:p>
    <w:p>
      <w:pPr>
        <w:widowControl/>
        <w:jc w:val="left"/>
      </w:pPr>
      <w:r>
        <w:rPr>
          <w:rFonts w:hint="eastAsia"/>
        </w:rPr>
        <w:t>说明：</w:t>
      </w:r>
    </w:p>
    <w:p>
      <w:pPr>
        <w:widowControl/>
        <w:jc w:val="left"/>
        <w:rPr>
          <w:u w:val="single"/>
        </w:rPr>
      </w:pPr>
      <w:r>
        <w:rPr>
          <w:u w:val="single"/>
        </w:rPr>
        <w:t>1.</w:t>
      </w:r>
      <w:r>
        <w:rPr>
          <w:rFonts w:hint="eastAsia"/>
          <w:u w:val="single"/>
        </w:rPr>
        <w:t xml:space="preserve">持有数量单位：股票为“股”，基金和权证为“份”，债券为“张”。                   </w:t>
      </w:r>
    </w:p>
    <w:p>
      <w:pPr>
        <w:widowControl/>
        <w:jc w:val="left"/>
      </w:pPr>
      <w:r>
        <w:rPr>
          <w:rFonts w:hint="eastAsia"/>
        </w:rPr>
        <w:t>发行人核查结果反馈：</w:t>
      </w:r>
    </w:p>
    <w:p>
      <w:pPr>
        <w:autoSpaceDE w:val="0"/>
        <w:autoSpaceDN w:val="0"/>
        <w:adjustRightInd w:val="0"/>
        <w:jc w:val="left"/>
        <w:rPr>
          <w:rFonts w:ascii="宋体" w:hAnsi="Calibri" w:cs="宋体"/>
          <w:kern w:val="0"/>
          <w:szCs w:val="21"/>
        </w:rPr>
      </w:pPr>
      <w:r>
        <w:rPr>
          <w:rFonts w:hint="eastAsia" w:ascii="宋体" w:hAnsi="Calibri" w:cs="宋体"/>
          <w:kern w:val="0"/>
          <w:szCs w:val="21"/>
        </w:rPr>
        <w:t>□经核查，数据准确无误。</w:t>
      </w:r>
    </w:p>
    <w:p>
      <w:pPr>
        <w:autoSpaceDE w:val="0"/>
        <w:autoSpaceDN w:val="0"/>
        <w:adjustRightInd w:val="0"/>
        <w:ind w:right="420"/>
        <w:jc w:val="right"/>
        <w:rPr>
          <w:rFonts w:ascii="宋体" w:hAnsi="Calibri" w:cs="宋体"/>
          <w:kern w:val="0"/>
          <w:szCs w:val="21"/>
        </w:rPr>
      </w:pPr>
      <w:r>
        <w:rPr>
          <w:rFonts w:hint="eastAsia" w:ascii="宋体" w:hAnsi="Calibri" w:cs="宋体"/>
          <w:kern w:val="0"/>
          <w:szCs w:val="21"/>
        </w:rPr>
        <w:t>发行人公章</w:t>
      </w:r>
    </w:p>
    <w:p>
      <w:pPr>
        <w:autoSpaceDE w:val="0"/>
        <w:autoSpaceDN w:val="0"/>
        <w:adjustRightInd w:val="0"/>
        <w:jc w:val="right"/>
        <w:rPr>
          <w:rFonts w:ascii="宋体" w:hAnsi="Calibri" w:cs="宋体"/>
          <w:kern w:val="0"/>
          <w:szCs w:val="21"/>
        </w:rPr>
      </w:pPr>
      <w:r>
        <w:rPr>
          <w:rFonts w:hint="eastAsia" w:ascii="宋体" w:hAnsi="Calibri" w:cs="宋体"/>
          <w:kern w:val="0"/>
          <w:szCs w:val="21"/>
        </w:rPr>
        <w:t xml:space="preserve">经办人姓名：           年  </w:t>
      </w:r>
      <w:r>
        <w:rPr>
          <w:rFonts w:ascii="宋体" w:hAnsi="Calibri" w:cs="宋体"/>
          <w:kern w:val="0"/>
          <w:szCs w:val="21"/>
        </w:rPr>
        <w:t xml:space="preserve"> </w:t>
      </w:r>
      <w:r>
        <w:rPr>
          <w:rFonts w:hint="eastAsia" w:ascii="宋体" w:hAnsi="Calibri" w:cs="宋体"/>
          <w:kern w:val="0"/>
          <w:szCs w:val="21"/>
        </w:rPr>
        <w:t xml:space="preserve">月  </w:t>
      </w:r>
      <w:r>
        <w:rPr>
          <w:rFonts w:ascii="宋体" w:hAnsi="Calibri" w:cs="宋体"/>
          <w:kern w:val="0"/>
          <w:szCs w:val="21"/>
        </w:rPr>
        <w:t xml:space="preserve"> </w:t>
      </w:r>
      <w:r>
        <w:rPr>
          <w:rFonts w:hint="eastAsia" w:ascii="宋体" w:hAnsi="Calibri" w:cs="宋体"/>
          <w:kern w:val="0"/>
          <w:szCs w:val="21"/>
        </w:rPr>
        <w:t>日</w:t>
      </w:r>
    </w:p>
    <w:p/>
    <w:p>
      <w:pPr>
        <w:widowControl/>
        <w:jc w:val="left"/>
        <w:rPr>
          <w:rFonts w:cs="Times New Roman" w:asciiTheme="minorEastAsia" w:hAnsiTheme="minorEastAsia"/>
          <w:bCs/>
          <w:sz w:val="32"/>
          <w:szCs w:val="32"/>
        </w:rPr>
      </w:pPr>
      <w:r>
        <w:rPr>
          <w:rFonts w:asciiTheme="minorEastAsia" w:hAnsiTheme="minorEastAsia"/>
          <w:b/>
        </w:rPr>
        <w:br w:type="page"/>
      </w:r>
    </w:p>
    <w:p>
      <w:pPr>
        <w:pStyle w:val="5"/>
        <w:keepNext w:val="0"/>
        <w:keepLines w:val="0"/>
        <w:rPr>
          <w:rFonts w:asciiTheme="minorEastAsia" w:hAnsiTheme="minorEastAsia" w:eastAsiaTheme="minorEastAsia"/>
          <w:b/>
        </w:rPr>
      </w:pPr>
      <w:bookmarkStart w:id="320" w:name="_Toc26590"/>
      <w:bookmarkStart w:id="321" w:name="_Toc30182"/>
      <w:bookmarkStart w:id="322" w:name="_Toc70590218"/>
      <w:bookmarkStart w:id="323" w:name="_Toc1421"/>
      <w:bookmarkStart w:id="324" w:name="_Toc13820"/>
      <w:r>
        <w:rPr>
          <w:rFonts w:asciiTheme="minorEastAsia" w:hAnsiTheme="minorEastAsia" w:eastAsiaTheme="minorEastAsia"/>
          <w:b/>
        </w:rPr>
        <w:t>附件</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lang w:eastAsia="zh-CN"/>
        </w:rPr>
        <w:t>不动产</w:t>
      </w:r>
      <w:r>
        <w:rPr>
          <w:rFonts w:hint="eastAsia" w:asciiTheme="minorEastAsia" w:hAnsiTheme="minorEastAsia" w:eastAsiaTheme="minorEastAsia"/>
          <w:b/>
        </w:rPr>
        <w:t>基金场外份额锁定申请表</w:t>
      </w:r>
      <w:bookmarkEnd w:id="320"/>
      <w:bookmarkEnd w:id="321"/>
      <w:bookmarkEnd w:id="322"/>
      <w:bookmarkEnd w:id="323"/>
      <w:bookmarkEnd w:id="324"/>
    </w:p>
    <w:p>
      <w:pPr>
        <w:spacing w:line="360" w:lineRule="auto"/>
        <w:ind w:firstLine="555"/>
        <w:jc w:val="left"/>
        <w:rPr>
          <w:rFonts w:ascii="仿宋_GB2312" w:eastAsia="仿宋_GB2312"/>
          <w:sz w:val="24"/>
          <w:szCs w:val="26"/>
        </w:rPr>
      </w:pPr>
    </w:p>
    <w:tbl>
      <w:tblPr>
        <w:tblStyle w:val="17"/>
        <w:tblW w:w="56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87"/>
        <w:gridCol w:w="641"/>
        <w:gridCol w:w="869"/>
        <w:gridCol w:w="757"/>
        <w:gridCol w:w="809"/>
        <w:gridCol w:w="723"/>
        <w:gridCol w:w="881"/>
        <w:gridCol w:w="881"/>
        <w:gridCol w:w="1077"/>
        <w:gridCol w:w="933"/>
        <w:gridCol w:w="89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18" w:hRule="atLeast"/>
          <w:jc w:val="center"/>
        </w:trPr>
        <w:tc>
          <w:tcPr>
            <w:tcW w:w="293"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序号</w:t>
            </w:r>
          </w:p>
        </w:tc>
        <w:tc>
          <w:tcPr>
            <w:tcW w:w="320"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基金代码</w:t>
            </w:r>
          </w:p>
        </w:tc>
        <w:tc>
          <w:tcPr>
            <w:tcW w:w="434"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代理人代码</w:t>
            </w:r>
          </w:p>
        </w:tc>
        <w:tc>
          <w:tcPr>
            <w:tcW w:w="378"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份额类别</w:t>
            </w:r>
          </w:p>
        </w:tc>
        <w:tc>
          <w:tcPr>
            <w:tcW w:w="404"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基金账户</w:t>
            </w:r>
          </w:p>
        </w:tc>
        <w:tc>
          <w:tcPr>
            <w:tcW w:w="361"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交易账户</w:t>
            </w:r>
          </w:p>
        </w:tc>
        <w:tc>
          <w:tcPr>
            <w:tcW w:w="440"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投资者人名称</w:t>
            </w:r>
          </w:p>
        </w:tc>
        <w:tc>
          <w:tcPr>
            <w:tcW w:w="440"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证件类型</w:t>
            </w:r>
          </w:p>
        </w:tc>
        <w:tc>
          <w:tcPr>
            <w:tcW w:w="538"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证件号码</w:t>
            </w:r>
          </w:p>
        </w:tc>
        <w:tc>
          <w:tcPr>
            <w:tcW w:w="466"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申请锁定份额</w:t>
            </w:r>
          </w:p>
        </w:tc>
        <w:tc>
          <w:tcPr>
            <w:tcW w:w="448"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锁定生效日</w:t>
            </w:r>
          </w:p>
        </w:tc>
        <w:tc>
          <w:tcPr>
            <w:tcW w:w="478" w:type="pct"/>
            <w:shd w:val="clear" w:color="auto" w:fill="FFFFFF" w:themeFill="background1"/>
            <w:vAlign w:val="center"/>
          </w:tcPr>
          <w:p>
            <w:pPr>
              <w:autoSpaceDE w:val="0"/>
              <w:autoSpaceDN w:val="0"/>
              <w:adjustRightInd w:val="0"/>
              <w:jc w:val="center"/>
              <w:rPr>
                <w:rFonts w:ascii="仿宋_GB2312" w:eastAsia="仿宋_GB2312"/>
                <w:b/>
                <w:color w:val="000000"/>
                <w:sz w:val="24"/>
              </w:rPr>
            </w:pPr>
            <w:r>
              <w:rPr>
                <w:rFonts w:hint="eastAsia" w:ascii="仿宋_GB2312" w:eastAsia="仿宋_GB2312"/>
                <w:b/>
                <w:color w:val="000000"/>
                <w:sz w:val="24"/>
              </w:rPr>
              <w:t>解锁生效日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18" w:hRule="atLeast"/>
          <w:jc w:val="center"/>
        </w:trPr>
        <w:tc>
          <w:tcPr>
            <w:tcW w:w="293" w:type="pct"/>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1</w:t>
            </w:r>
          </w:p>
        </w:tc>
        <w:tc>
          <w:tcPr>
            <w:tcW w:w="320" w:type="pct"/>
            <w:vAlign w:val="center"/>
          </w:tcPr>
          <w:p>
            <w:pPr>
              <w:autoSpaceDE w:val="0"/>
              <w:autoSpaceDN w:val="0"/>
              <w:adjustRightInd w:val="0"/>
              <w:jc w:val="center"/>
              <w:rPr>
                <w:rFonts w:ascii="仿宋_GB2312" w:eastAsia="仿宋_GB2312"/>
                <w:color w:val="000000"/>
                <w:sz w:val="24"/>
              </w:rPr>
            </w:pPr>
          </w:p>
        </w:tc>
        <w:tc>
          <w:tcPr>
            <w:tcW w:w="434" w:type="pct"/>
            <w:vAlign w:val="center"/>
          </w:tcPr>
          <w:p>
            <w:pPr>
              <w:autoSpaceDE w:val="0"/>
              <w:autoSpaceDN w:val="0"/>
              <w:adjustRightInd w:val="0"/>
              <w:jc w:val="center"/>
              <w:rPr>
                <w:rFonts w:ascii="仿宋_GB2312" w:eastAsia="仿宋_GB2312"/>
                <w:color w:val="000000"/>
                <w:sz w:val="24"/>
              </w:rPr>
            </w:pPr>
          </w:p>
        </w:tc>
        <w:tc>
          <w:tcPr>
            <w:tcW w:w="378" w:type="pct"/>
            <w:vAlign w:val="center"/>
          </w:tcPr>
          <w:p>
            <w:pPr>
              <w:autoSpaceDE w:val="0"/>
              <w:autoSpaceDN w:val="0"/>
              <w:adjustRightInd w:val="0"/>
              <w:jc w:val="center"/>
              <w:rPr>
                <w:rFonts w:ascii="仿宋_GB2312" w:eastAsia="仿宋_GB2312"/>
                <w:color w:val="000000"/>
                <w:sz w:val="24"/>
              </w:rPr>
            </w:pPr>
          </w:p>
        </w:tc>
        <w:tc>
          <w:tcPr>
            <w:tcW w:w="404" w:type="pct"/>
            <w:vAlign w:val="center"/>
          </w:tcPr>
          <w:p>
            <w:pPr>
              <w:autoSpaceDE w:val="0"/>
              <w:autoSpaceDN w:val="0"/>
              <w:adjustRightInd w:val="0"/>
              <w:jc w:val="center"/>
              <w:rPr>
                <w:rFonts w:ascii="仿宋_GB2312" w:eastAsia="仿宋_GB2312"/>
                <w:color w:val="000000"/>
                <w:sz w:val="24"/>
              </w:rPr>
            </w:pPr>
          </w:p>
        </w:tc>
        <w:tc>
          <w:tcPr>
            <w:tcW w:w="361" w:type="pct"/>
            <w:vAlign w:val="center"/>
          </w:tcPr>
          <w:p>
            <w:pPr>
              <w:autoSpaceDE w:val="0"/>
              <w:autoSpaceDN w:val="0"/>
              <w:adjustRightInd w:val="0"/>
              <w:jc w:val="center"/>
              <w:rPr>
                <w:rFonts w:ascii="仿宋_GB2312" w:eastAsia="仿宋_GB2312"/>
                <w:color w:val="000000"/>
                <w:sz w:val="24"/>
              </w:rPr>
            </w:pPr>
          </w:p>
        </w:tc>
        <w:tc>
          <w:tcPr>
            <w:tcW w:w="440" w:type="pct"/>
            <w:vAlign w:val="center"/>
          </w:tcPr>
          <w:p>
            <w:pPr>
              <w:autoSpaceDE w:val="0"/>
              <w:autoSpaceDN w:val="0"/>
              <w:adjustRightInd w:val="0"/>
              <w:jc w:val="center"/>
              <w:rPr>
                <w:rFonts w:ascii="仿宋_GB2312" w:eastAsia="仿宋_GB2312"/>
                <w:color w:val="000000"/>
                <w:sz w:val="24"/>
              </w:rPr>
            </w:pPr>
          </w:p>
        </w:tc>
        <w:tc>
          <w:tcPr>
            <w:tcW w:w="440" w:type="pct"/>
            <w:vAlign w:val="center"/>
          </w:tcPr>
          <w:p>
            <w:pPr>
              <w:autoSpaceDE w:val="0"/>
              <w:autoSpaceDN w:val="0"/>
              <w:adjustRightInd w:val="0"/>
              <w:jc w:val="center"/>
              <w:rPr>
                <w:rFonts w:ascii="仿宋_GB2312" w:eastAsia="仿宋_GB2312"/>
                <w:color w:val="000000"/>
                <w:sz w:val="24"/>
              </w:rPr>
            </w:pPr>
          </w:p>
        </w:tc>
        <w:tc>
          <w:tcPr>
            <w:tcW w:w="538" w:type="pct"/>
            <w:vAlign w:val="center"/>
          </w:tcPr>
          <w:p>
            <w:pPr>
              <w:autoSpaceDE w:val="0"/>
              <w:autoSpaceDN w:val="0"/>
              <w:adjustRightInd w:val="0"/>
              <w:jc w:val="center"/>
              <w:rPr>
                <w:rFonts w:ascii="仿宋_GB2312" w:eastAsia="仿宋_GB2312"/>
                <w:color w:val="000000"/>
                <w:sz w:val="24"/>
              </w:rPr>
            </w:pPr>
          </w:p>
        </w:tc>
        <w:tc>
          <w:tcPr>
            <w:tcW w:w="466" w:type="pct"/>
            <w:vAlign w:val="center"/>
          </w:tcPr>
          <w:p>
            <w:pPr>
              <w:autoSpaceDE w:val="0"/>
              <w:autoSpaceDN w:val="0"/>
              <w:adjustRightInd w:val="0"/>
              <w:jc w:val="center"/>
              <w:rPr>
                <w:rFonts w:ascii="仿宋_GB2312" w:eastAsia="仿宋_GB2312"/>
                <w:color w:val="000000"/>
                <w:sz w:val="24"/>
              </w:rPr>
            </w:pPr>
          </w:p>
        </w:tc>
        <w:tc>
          <w:tcPr>
            <w:tcW w:w="448" w:type="pct"/>
            <w:vAlign w:val="center"/>
          </w:tcPr>
          <w:p>
            <w:pPr>
              <w:autoSpaceDE w:val="0"/>
              <w:autoSpaceDN w:val="0"/>
              <w:adjustRightInd w:val="0"/>
              <w:jc w:val="center"/>
              <w:rPr>
                <w:rFonts w:ascii="仿宋_GB2312" w:eastAsia="仿宋_GB2312"/>
                <w:color w:val="000000"/>
                <w:sz w:val="24"/>
              </w:rPr>
            </w:pPr>
          </w:p>
        </w:tc>
        <w:tc>
          <w:tcPr>
            <w:tcW w:w="478" w:type="pct"/>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不自动解锁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18" w:hRule="atLeast"/>
          <w:jc w:val="center"/>
        </w:trPr>
        <w:tc>
          <w:tcPr>
            <w:tcW w:w="293" w:type="pct"/>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2</w:t>
            </w:r>
          </w:p>
        </w:tc>
        <w:tc>
          <w:tcPr>
            <w:tcW w:w="320" w:type="pct"/>
            <w:vAlign w:val="center"/>
          </w:tcPr>
          <w:p>
            <w:pPr>
              <w:autoSpaceDE w:val="0"/>
              <w:autoSpaceDN w:val="0"/>
              <w:adjustRightInd w:val="0"/>
              <w:jc w:val="center"/>
              <w:rPr>
                <w:rFonts w:ascii="仿宋_GB2312" w:eastAsia="仿宋_GB2312"/>
                <w:color w:val="000000"/>
                <w:sz w:val="24"/>
              </w:rPr>
            </w:pPr>
          </w:p>
        </w:tc>
        <w:tc>
          <w:tcPr>
            <w:tcW w:w="434" w:type="pct"/>
            <w:vAlign w:val="center"/>
          </w:tcPr>
          <w:p>
            <w:pPr>
              <w:autoSpaceDE w:val="0"/>
              <w:autoSpaceDN w:val="0"/>
              <w:adjustRightInd w:val="0"/>
              <w:jc w:val="center"/>
              <w:rPr>
                <w:rFonts w:ascii="仿宋_GB2312" w:eastAsia="仿宋_GB2312"/>
                <w:color w:val="000000"/>
                <w:sz w:val="24"/>
              </w:rPr>
            </w:pPr>
          </w:p>
        </w:tc>
        <w:tc>
          <w:tcPr>
            <w:tcW w:w="378" w:type="pct"/>
            <w:vAlign w:val="center"/>
          </w:tcPr>
          <w:p>
            <w:pPr>
              <w:autoSpaceDE w:val="0"/>
              <w:autoSpaceDN w:val="0"/>
              <w:adjustRightInd w:val="0"/>
              <w:jc w:val="center"/>
              <w:rPr>
                <w:rFonts w:ascii="仿宋_GB2312" w:eastAsia="仿宋_GB2312"/>
                <w:color w:val="000000"/>
                <w:sz w:val="24"/>
              </w:rPr>
            </w:pPr>
          </w:p>
        </w:tc>
        <w:tc>
          <w:tcPr>
            <w:tcW w:w="404" w:type="pct"/>
            <w:vAlign w:val="center"/>
          </w:tcPr>
          <w:p>
            <w:pPr>
              <w:autoSpaceDE w:val="0"/>
              <w:autoSpaceDN w:val="0"/>
              <w:adjustRightInd w:val="0"/>
              <w:jc w:val="center"/>
              <w:rPr>
                <w:rFonts w:ascii="仿宋_GB2312" w:eastAsia="仿宋_GB2312"/>
                <w:color w:val="000000"/>
                <w:sz w:val="24"/>
              </w:rPr>
            </w:pPr>
          </w:p>
        </w:tc>
        <w:tc>
          <w:tcPr>
            <w:tcW w:w="361" w:type="pct"/>
            <w:vAlign w:val="center"/>
          </w:tcPr>
          <w:p>
            <w:pPr>
              <w:autoSpaceDE w:val="0"/>
              <w:autoSpaceDN w:val="0"/>
              <w:adjustRightInd w:val="0"/>
              <w:jc w:val="center"/>
              <w:rPr>
                <w:rFonts w:ascii="仿宋_GB2312" w:eastAsia="仿宋_GB2312"/>
                <w:color w:val="000000"/>
                <w:sz w:val="24"/>
              </w:rPr>
            </w:pPr>
          </w:p>
        </w:tc>
        <w:tc>
          <w:tcPr>
            <w:tcW w:w="440" w:type="pct"/>
            <w:vAlign w:val="center"/>
          </w:tcPr>
          <w:p>
            <w:pPr>
              <w:autoSpaceDE w:val="0"/>
              <w:autoSpaceDN w:val="0"/>
              <w:adjustRightInd w:val="0"/>
              <w:jc w:val="center"/>
              <w:rPr>
                <w:rFonts w:ascii="仿宋_GB2312" w:eastAsia="仿宋_GB2312"/>
                <w:color w:val="000000"/>
                <w:sz w:val="24"/>
              </w:rPr>
            </w:pPr>
          </w:p>
        </w:tc>
        <w:tc>
          <w:tcPr>
            <w:tcW w:w="440" w:type="pct"/>
            <w:vAlign w:val="center"/>
          </w:tcPr>
          <w:p>
            <w:pPr>
              <w:autoSpaceDE w:val="0"/>
              <w:autoSpaceDN w:val="0"/>
              <w:adjustRightInd w:val="0"/>
              <w:jc w:val="center"/>
              <w:rPr>
                <w:rFonts w:ascii="仿宋_GB2312" w:eastAsia="仿宋_GB2312"/>
                <w:color w:val="000000"/>
                <w:sz w:val="24"/>
              </w:rPr>
            </w:pPr>
          </w:p>
        </w:tc>
        <w:tc>
          <w:tcPr>
            <w:tcW w:w="538" w:type="pct"/>
            <w:vAlign w:val="center"/>
          </w:tcPr>
          <w:p>
            <w:pPr>
              <w:autoSpaceDE w:val="0"/>
              <w:autoSpaceDN w:val="0"/>
              <w:adjustRightInd w:val="0"/>
              <w:jc w:val="center"/>
              <w:rPr>
                <w:rFonts w:ascii="仿宋_GB2312" w:eastAsia="仿宋_GB2312"/>
                <w:color w:val="000000"/>
                <w:sz w:val="24"/>
              </w:rPr>
            </w:pPr>
          </w:p>
        </w:tc>
        <w:tc>
          <w:tcPr>
            <w:tcW w:w="466" w:type="pct"/>
            <w:vAlign w:val="center"/>
          </w:tcPr>
          <w:p>
            <w:pPr>
              <w:autoSpaceDE w:val="0"/>
              <w:autoSpaceDN w:val="0"/>
              <w:adjustRightInd w:val="0"/>
              <w:jc w:val="center"/>
              <w:rPr>
                <w:rFonts w:ascii="仿宋_GB2312" w:eastAsia="仿宋_GB2312"/>
                <w:color w:val="000000"/>
                <w:sz w:val="24"/>
              </w:rPr>
            </w:pPr>
          </w:p>
        </w:tc>
        <w:tc>
          <w:tcPr>
            <w:tcW w:w="448" w:type="pct"/>
            <w:vAlign w:val="center"/>
          </w:tcPr>
          <w:p>
            <w:pPr>
              <w:autoSpaceDE w:val="0"/>
              <w:autoSpaceDN w:val="0"/>
              <w:adjustRightInd w:val="0"/>
              <w:jc w:val="center"/>
              <w:rPr>
                <w:rFonts w:ascii="仿宋_GB2312" w:eastAsia="仿宋_GB2312"/>
                <w:color w:val="000000"/>
                <w:sz w:val="24"/>
              </w:rPr>
            </w:pPr>
          </w:p>
        </w:tc>
        <w:tc>
          <w:tcPr>
            <w:tcW w:w="478" w:type="pct"/>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不自动解锁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18" w:hRule="atLeast"/>
          <w:jc w:val="center"/>
        </w:trPr>
        <w:tc>
          <w:tcPr>
            <w:tcW w:w="293" w:type="pct"/>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3</w:t>
            </w:r>
          </w:p>
        </w:tc>
        <w:tc>
          <w:tcPr>
            <w:tcW w:w="320" w:type="pct"/>
            <w:vAlign w:val="center"/>
          </w:tcPr>
          <w:p>
            <w:pPr>
              <w:autoSpaceDE w:val="0"/>
              <w:autoSpaceDN w:val="0"/>
              <w:adjustRightInd w:val="0"/>
              <w:jc w:val="center"/>
              <w:rPr>
                <w:rFonts w:ascii="仿宋_GB2312" w:eastAsia="仿宋_GB2312"/>
                <w:color w:val="000000"/>
                <w:sz w:val="24"/>
              </w:rPr>
            </w:pPr>
          </w:p>
        </w:tc>
        <w:tc>
          <w:tcPr>
            <w:tcW w:w="434" w:type="pct"/>
            <w:vAlign w:val="center"/>
          </w:tcPr>
          <w:p>
            <w:pPr>
              <w:autoSpaceDE w:val="0"/>
              <w:autoSpaceDN w:val="0"/>
              <w:adjustRightInd w:val="0"/>
              <w:jc w:val="center"/>
              <w:rPr>
                <w:rFonts w:ascii="仿宋_GB2312" w:eastAsia="仿宋_GB2312"/>
                <w:color w:val="000000"/>
                <w:sz w:val="24"/>
              </w:rPr>
            </w:pPr>
          </w:p>
        </w:tc>
        <w:tc>
          <w:tcPr>
            <w:tcW w:w="378" w:type="pct"/>
            <w:vAlign w:val="center"/>
          </w:tcPr>
          <w:p>
            <w:pPr>
              <w:autoSpaceDE w:val="0"/>
              <w:autoSpaceDN w:val="0"/>
              <w:adjustRightInd w:val="0"/>
              <w:jc w:val="center"/>
              <w:rPr>
                <w:rFonts w:ascii="仿宋_GB2312" w:eastAsia="仿宋_GB2312"/>
                <w:color w:val="000000"/>
                <w:sz w:val="24"/>
              </w:rPr>
            </w:pPr>
          </w:p>
        </w:tc>
        <w:tc>
          <w:tcPr>
            <w:tcW w:w="404" w:type="pct"/>
            <w:vAlign w:val="center"/>
          </w:tcPr>
          <w:p>
            <w:pPr>
              <w:autoSpaceDE w:val="0"/>
              <w:autoSpaceDN w:val="0"/>
              <w:adjustRightInd w:val="0"/>
              <w:jc w:val="center"/>
              <w:rPr>
                <w:rFonts w:ascii="仿宋_GB2312" w:eastAsia="仿宋_GB2312"/>
                <w:color w:val="000000"/>
                <w:sz w:val="24"/>
              </w:rPr>
            </w:pPr>
          </w:p>
        </w:tc>
        <w:tc>
          <w:tcPr>
            <w:tcW w:w="361" w:type="pct"/>
            <w:vAlign w:val="center"/>
          </w:tcPr>
          <w:p>
            <w:pPr>
              <w:autoSpaceDE w:val="0"/>
              <w:autoSpaceDN w:val="0"/>
              <w:adjustRightInd w:val="0"/>
              <w:jc w:val="center"/>
              <w:rPr>
                <w:rFonts w:ascii="仿宋_GB2312" w:eastAsia="仿宋_GB2312"/>
                <w:color w:val="000000"/>
                <w:sz w:val="24"/>
              </w:rPr>
            </w:pPr>
          </w:p>
        </w:tc>
        <w:tc>
          <w:tcPr>
            <w:tcW w:w="440" w:type="pct"/>
            <w:vAlign w:val="center"/>
          </w:tcPr>
          <w:p>
            <w:pPr>
              <w:autoSpaceDE w:val="0"/>
              <w:autoSpaceDN w:val="0"/>
              <w:adjustRightInd w:val="0"/>
              <w:jc w:val="center"/>
              <w:rPr>
                <w:rFonts w:ascii="仿宋_GB2312" w:eastAsia="仿宋_GB2312"/>
                <w:color w:val="000000"/>
                <w:sz w:val="24"/>
              </w:rPr>
            </w:pPr>
          </w:p>
        </w:tc>
        <w:tc>
          <w:tcPr>
            <w:tcW w:w="440" w:type="pct"/>
            <w:vAlign w:val="center"/>
          </w:tcPr>
          <w:p>
            <w:pPr>
              <w:autoSpaceDE w:val="0"/>
              <w:autoSpaceDN w:val="0"/>
              <w:adjustRightInd w:val="0"/>
              <w:jc w:val="center"/>
              <w:rPr>
                <w:rFonts w:ascii="仿宋_GB2312" w:eastAsia="仿宋_GB2312"/>
                <w:color w:val="000000"/>
                <w:sz w:val="24"/>
              </w:rPr>
            </w:pPr>
          </w:p>
        </w:tc>
        <w:tc>
          <w:tcPr>
            <w:tcW w:w="538" w:type="pct"/>
            <w:vAlign w:val="center"/>
          </w:tcPr>
          <w:p>
            <w:pPr>
              <w:autoSpaceDE w:val="0"/>
              <w:autoSpaceDN w:val="0"/>
              <w:adjustRightInd w:val="0"/>
              <w:jc w:val="center"/>
              <w:rPr>
                <w:rFonts w:ascii="仿宋_GB2312" w:eastAsia="仿宋_GB2312"/>
                <w:color w:val="000000"/>
                <w:sz w:val="24"/>
              </w:rPr>
            </w:pPr>
          </w:p>
        </w:tc>
        <w:tc>
          <w:tcPr>
            <w:tcW w:w="466" w:type="pct"/>
            <w:vAlign w:val="center"/>
          </w:tcPr>
          <w:p>
            <w:pPr>
              <w:autoSpaceDE w:val="0"/>
              <w:autoSpaceDN w:val="0"/>
              <w:adjustRightInd w:val="0"/>
              <w:jc w:val="center"/>
              <w:rPr>
                <w:rFonts w:ascii="仿宋_GB2312" w:eastAsia="仿宋_GB2312"/>
                <w:color w:val="000000"/>
                <w:sz w:val="24"/>
              </w:rPr>
            </w:pPr>
          </w:p>
        </w:tc>
        <w:tc>
          <w:tcPr>
            <w:tcW w:w="448" w:type="pct"/>
            <w:vAlign w:val="center"/>
          </w:tcPr>
          <w:p>
            <w:pPr>
              <w:autoSpaceDE w:val="0"/>
              <w:autoSpaceDN w:val="0"/>
              <w:adjustRightInd w:val="0"/>
              <w:jc w:val="center"/>
              <w:rPr>
                <w:rFonts w:ascii="仿宋_GB2312" w:eastAsia="仿宋_GB2312"/>
                <w:color w:val="000000"/>
                <w:sz w:val="24"/>
              </w:rPr>
            </w:pPr>
          </w:p>
        </w:tc>
        <w:tc>
          <w:tcPr>
            <w:tcW w:w="478" w:type="pct"/>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不自动解锁</w:t>
            </w:r>
          </w:p>
        </w:tc>
      </w:tr>
    </w:tbl>
    <w:p>
      <w:pPr>
        <w:spacing w:line="360" w:lineRule="exact"/>
        <w:ind w:firstLine="480" w:firstLineChars="200"/>
        <w:rPr>
          <w:rFonts w:ascii="华文细黑" w:hAnsi="华文细黑" w:eastAsia="华文细黑"/>
          <w:b/>
          <w:sz w:val="26"/>
          <w:szCs w:val="26"/>
        </w:rPr>
      </w:pPr>
      <w:r>
        <w:rPr>
          <w:rFonts w:ascii="仿宋_GB2312" w:eastAsia="仿宋_GB2312"/>
          <w:sz w:val="24"/>
        </w:rPr>
        <w:br w:type="textWrapping"/>
      </w:r>
      <w:r>
        <w:rPr>
          <w:rFonts w:hint="eastAsia" w:ascii="仿宋_GB2312" w:eastAsia="仿宋_GB2312"/>
          <w:sz w:val="24"/>
        </w:rPr>
        <w:t>注意事项：</w:t>
      </w:r>
    </w:p>
    <w:p>
      <w:pPr>
        <w:autoSpaceDE w:val="0"/>
        <w:autoSpaceDN w:val="0"/>
        <w:adjustRightInd w:val="0"/>
        <w:ind w:firstLine="480" w:firstLineChars="200"/>
        <w:jc w:val="left"/>
        <w:rPr>
          <w:rFonts w:ascii="仿宋_GB2312" w:eastAsia="仿宋_GB2312"/>
          <w:color w:val="000000"/>
          <w:sz w:val="24"/>
        </w:rPr>
      </w:pPr>
      <w:r>
        <w:rPr>
          <w:rFonts w:hint="eastAsia" w:ascii="仿宋_GB2312" w:eastAsia="仿宋_GB2312"/>
          <w:sz w:val="24"/>
        </w:rPr>
        <w:t>1</w:t>
      </w:r>
      <w:r>
        <w:rPr>
          <w:rFonts w:hint="eastAsia" w:ascii="仿宋_GB2312" w:eastAsia="仿宋_GB2312"/>
          <w:color w:val="000000"/>
          <w:sz w:val="24"/>
        </w:rPr>
        <w:t>、此通知单需于场外份额登记日当日提交至深圳证券交易所，锁定生效日为场外份额登记日次一交易日。</w:t>
      </w:r>
    </w:p>
    <w:p>
      <w:pPr>
        <w:autoSpaceDE w:val="0"/>
        <w:autoSpaceDN w:val="0"/>
        <w:adjustRightInd w:val="0"/>
        <w:ind w:firstLine="480" w:firstLineChars="200"/>
        <w:jc w:val="left"/>
        <w:rPr>
          <w:rFonts w:ascii="仿宋_GB2312" w:eastAsia="仿宋_GB2312"/>
          <w:color w:val="000000"/>
          <w:sz w:val="24"/>
        </w:rPr>
      </w:pPr>
      <w:r>
        <w:rPr>
          <w:rFonts w:hint="eastAsia" w:ascii="仿宋_GB2312" w:eastAsia="仿宋_GB2312"/>
          <w:color w:val="000000"/>
          <w:sz w:val="24"/>
        </w:rPr>
        <w:t>2、基金账户为场外12位基金账户；代理人代码为场外代理人代码；份额类别为“前收费”或“后收费”。</w:t>
      </w:r>
    </w:p>
    <w:p>
      <w:pPr>
        <w:autoSpaceDE w:val="0"/>
        <w:autoSpaceDN w:val="0"/>
        <w:adjustRightInd w:val="0"/>
        <w:ind w:firstLine="480" w:firstLineChars="200"/>
        <w:jc w:val="left"/>
        <w:rPr>
          <w:rFonts w:ascii="仿宋_GB2312" w:eastAsia="仿宋_GB2312"/>
          <w:color w:val="000000"/>
          <w:sz w:val="24"/>
        </w:rPr>
      </w:pPr>
      <w:r>
        <w:rPr>
          <w:rFonts w:hint="eastAsia" w:ascii="仿宋_GB2312" w:eastAsia="仿宋_GB2312"/>
          <w:color w:val="000000"/>
          <w:sz w:val="24"/>
        </w:rPr>
        <w:t>3、交易账户为投资人在场外基金销售人处开立的交易账户。若基金账户下任何交易账户份额均可锁定（不指定交易账户），交易账户填“不指定交易账户”。</w:t>
      </w:r>
    </w:p>
    <w:p>
      <w:pPr>
        <w:autoSpaceDE w:val="0"/>
        <w:autoSpaceDN w:val="0"/>
        <w:adjustRightInd w:val="0"/>
        <w:ind w:firstLine="480" w:firstLineChars="200"/>
        <w:jc w:val="left"/>
        <w:rPr>
          <w:rFonts w:ascii="仿宋_GB2312" w:eastAsia="仿宋_GB2312"/>
          <w:color w:val="000000"/>
          <w:sz w:val="24"/>
        </w:rPr>
      </w:pPr>
      <w:r>
        <w:rPr>
          <w:rFonts w:hint="eastAsia" w:ascii="仿宋_GB2312" w:eastAsia="仿宋_GB2312"/>
          <w:color w:val="000000"/>
          <w:sz w:val="24"/>
        </w:rPr>
        <w:t>4、中国结算总部基金业务部核验基金账户投资人名称、证件类型、证件号码，根据基金代码、代理人代码、份额类别、基金账户、交易账户查询确定可锁定份额。可锁定份额大于或等于申请锁定份额时，中国结算总部基金业务部在可锁定份额内锁定申请锁定份额；可锁定份额小于申请锁定份额时，锁定失败（不能锁定任何份额）。</w:t>
      </w:r>
    </w:p>
    <w:p>
      <w:pPr>
        <w:autoSpaceDE w:val="0"/>
        <w:autoSpaceDN w:val="0"/>
        <w:adjustRightInd w:val="0"/>
        <w:ind w:firstLine="480" w:firstLineChars="200"/>
        <w:jc w:val="left"/>
        <w:rPr>
          <w:rFonts w:ascii="仿宋_GB2312" w:eastAsia="仿宋_GB2312"/>
          <w:color w:val="000000"/>
          <w:sz w:val="24"/>
        </w:rPr>
      </w:pPr>
      <w:r>
        <w:rPr>
          <w:rFonts w:hint="eastAsia" w:ascii="仿宋_GB2312" w:eastAsia="仿宋_GB2312"/>
          <w:color w:val="000000"/>
          <w:sz w:val="24"/>
        </w:rPr>
        <w:t>5、解锁生效日若填具体日期，填写后将于该日期自动解锁，解锁生效日当日投资者申报的份额减少类业务将被正常处理。解锁生效日不确定或不自动解锁的填写“不自动解锁”。原则上应填写“不自动解锁”。</w:t>
      </w:r>
    </w:p>
    <w:p>
      <w:pPr>
        <w:autoSpaceDE w:val="0"/>
        <w:autoSpaceDN w:val="0"/>
        <w:adjustRightInd w:val="0"/>
        <w:ind w:firstLine="480" w:firstLineChars="200"/>
        <w:jc w:val="left"/>
        <w:rPr>
          <w:rFonts w:ascii="仿宋_GB2312" w:eastAsia="仿宋_GB2312"/>
          <w:color w:val="000000"/>
          <w:sz w:val="24"/>
        </w:rPr>
      </w:pPr>
      <w:r>
        <w:rPr>
          <w:rFonts w:hint="eastAsia" w:ascii="仿宋_GB2312" w:eastAsia="仿宋_GB2312"/>
          <w:color w:val="000000"/>
          <w:sz w:val="24"/>
        </w:rPr>
        <w:t>6、对于完成锁定的份额明细，锁定生效日当日投资者申报的份额减少类业务将判失败。</w:t>
      </w:r>
    </w:p>
    <w:p>
      <w:pPr>
        <w:autoSpaceDE w:val="0"/>
        <w:autoSpaceDN w:val="0"/>
        <w:adjustRightInd w:val="0"/>
        <w:jc w:val="left"/>
        <w:rPr>
          <w:rFonts w:ascii="仿宋_GB2312" w:eastAsia="仿宋_GB2312"/>
          <w:color w:val="000000"/>
          <w:sz w:val="24"/>
        </w:rPr>
      </w:pPr>
    </w:p>
    <w:p>
      <w:pPr>
        <w:autoSpaceDE w:val="0"/>
        <w:autoSpaceDN w:val="0"/>
        <w:adjustRightInd w:val="0"/>
        <w:jc w:val="left"/>
        <w:rPr>
          <w:rFonts w:ascii="仿宋_GB2312" w:eastAsia="仿宋_GB2312"/>
          <w:color w:val="000000"/>
          <w:sz w:val="24"/>
        </w:rPr>
      </w:pPr>
      <w:r>
        <w:rPr>
          <w:rFonts w:hint="eastAsia" w:ascii="仿宋_GB2312" w:eastAsia="仿宋_GB2312"/>
          <w:color w:val="000000"/>
          <w:sz w:val="24"/>
        </w:rPr>
        <w:t xml:space="preserve">经办人：              联系电话：            </w:t>
      </w:r>
    </w:p>
    <w:p>
      <w:pPr>
        <w:autoSpaceDE w:val="0"/>
        <w:autoSpaceDN w:val="0"/>
        <w:adjustRightInd w:val="0"/>
        <w:jc w:val="left"/>
        <w:rPr>
          <w:rFonts w:ascii="仿宋_GB2312" w:eastAsia="仿宋_GB2312"/>
          <w:color w:val="000000"/>
          <w:sz w:val="24"/>
        </w:rPr>
      </w:pPr>
    </w:p>
    <w:p>
      <w:pPr>
        <w:autoSpaceDE w:val="0"/>
        <w:autoSpaceDN w:val="0"/>
        <w:adjustRightInd w:val="0"/>
        <w:jc w:val="right"/>
        <w:rPr>
          <w:rFonts w:ascii="仿宋_GB2312" w:eastAsia="仿宋_GB2312"/>
          <w:color w:val="000000"/>
          <w:sz w:val="24"/>
        </w:rPr>
      </w:pPr>
      <w:r>
        <w:rPr>
          <w:rFonts w:ascii="仿宋_GB2312" w:eastAsia="仿宋_GB2312"/>
          <w:color w:val="000000"/>
          <w:sz w:val="24"/>
        </w:rPr>
        <w:t>XXX</w:t>
      </w:r>
      <w:r>
        <w:rPr>
          <w:rFonts w:hint="eastAsia" w:ascii="仿宋_GB2312" w:eastAsia="仿宋_GB2312"/>
          <w:color w:val="000000"/>
          <w:sz w:val="24"/>
        </w:rPr>
        <w:t>基金管理公司（盖章）</w:t>
      </w:r>
    </w:p>
    <w:p>
      <w:pPr>
        <w:tabs>
          <w:tab w:val="left" w:pos="7797"/>
        </w:tabs>
        <w:spacing w:line="560" w:lineRule="exact"/>
        <w:ind w:right="945" w:rightChars="450"/>
        <w:jc w:val="right"/>
        <w:rPr>
          <w:rFonts w:ascii="仿宋" w:hAnsi="仿宋" w:eastAsia="仿宋" w:cs="Times New Roman"/>
          <w:color w:val="000000"/>
          <w:sz w:val="32"/>
          <w:szCs w:val="32"/>
        </w:rPr>
      </w:pPr>
      <w:r>
        <w:rPr>
          <w:rFonts w:ascii="仿宋_GB2312" w:eastAsia="仿宋_GB2312"/>
          <w:color w:val="000000"/>
          <w:sz w:val="24"/>
        </w:rPr>
        <w:t xml:space="preserve">                                         年    月    日</w:t>
      </w:r>
    </w:p>
    <w:p>
      <w:pPr>
        <w:spacing w:line="20" w:lineRule="exact"/>
        <w:ind w:left="210" w:leftChars="100" w:right="210" w:rightChars="100"/>
      </w:pPr>
    </w:p>
    <w:sectPr>
      <w:footerReference r:id="rId10" w:type="even"/>
      <w:pgSz w:w="11906" w:h="16838"/>
      <w:pgMar w:top="2098" w:right="1588" w:bottom="1985" w:left="1474"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framePr w:wrap="around" w:vAnchor="text" w:hAnchor="page" w:x="9211" w:y="1"/>
      <w:tabs>
        <w:tab w:val="center" w:pos="4153"/>
        <w:tab w:val="right" w:pos="8306"/>
      </w:tabs>
      <w:snapToGrid w:val="0"/>
      <w:ind w:left="440" w:hanging="440"/>
      <w:jc w:val="left"/>
      <w:rPr>
        <w:rFonts w:ascii="宋体" w:hAnsi="宋体" w:eastAsia="宋体" w:cs="Times New Roman"/>
        <w:sz w:val="28"/>
        <w:szCs w:val="28"/>
      </w:rPr>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szCs w:val="28"/>
      </w:rPr>
      <w:t>3</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861" w:y="1"/>
      <w:tabs>
        <w:tab w:val="center" w:pos="4153"/>
        <w:tab w:val="right" w:pos="8306"/>
      </w:tabs>
      <w:snapToGrid w:val="0"/>
      <w:ind w:left="440" w:hanging="440"/>
      <w:jc w:val="left"/>
      <w:rPr>
        <w:rFonts w:ascii="宋体" w:hAnsi="宋体" w:eastAsia="宋体" w:cs="Times New Roman"/>
        <w:sz w:val="28"/>
        <w:szCs w:val="28"/>
      </w:rPr>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szCs w:val="28"/>
      </w:rPr>
      <w:t>42</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9211" w:y="1"/>
      <w:tabs>
        <w:tab w:val="center" w:pos="4153"/>
        <w:tab w:val="right" w:pos="8306"/>
      </w:tabs>
      <w:snapToGrid w:val="0"/>
      <w:ind w:left="440" w:hanging="440"/>
      <w:jc w:val="left"/>
      <w:rPr>
        <w:rFonts w:ascii="宋体" w:hAnsi="宋体" w:eastAsia="宋体" w:cs="Times New Roman"/>
        <w:sz w:val="28"/>
        <w:szCs w:val="28"/>
      </w:rPr>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szCs w:val="28"/>
      </w:rPr>
      <w:t>45</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1835" w:y="-233"/>
      <w:ind w:left="440" w:hanging="440"/>
      <w:rPr>
        <w:rStyle w:val="20"/>
        <w:rFonts w:ascii="宋体" w:hAnsi="宋体"/>
        <w:sz w:val="28"/>
        <w:szCs w:val="28"/>
      </w:rPr>
    </w:pPr>
    <w:r>
      <w:rPr>
        <w:rStyle w:val="20"/>
        <w:rFonts w:hint="eastAsia"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PAGE  </w:instrText>
    </w:r>
    <w:r>
      <w:rPr>
        <w:rStyle w:val="20"/>
        <w:rFonts w:ascii="宋体" w:hAnsi="宋体"/>
        <w:sz w:val="28"/>
        <w:szCs w:val="28"/>
      </w:rPr>
      <w:fldChar w:fldCharType="separate"/>
    </w:r>
    <w:r>
      <w:rPr>
        <w:rStyle w:val="20"/>
        <w:rFonts w:ascii="宋体" w:hAnsi="宋体"/>
        <w:sz w:val="28"/>
        <w:szCs w:val="28"/>
      </w:rPr>
      <w:t>46</w:t>
    </w:r>
    <w:r>
      <w:rPr>
        <w:rStyle w:val="20"/>
        <w:rFonts w:ascii="宋体" w:hAnsi="宋体"/>
        <w:sz w:val="28"/>
        <w:szCs w:val="28"/>
      </w:rPr>
      <w:fldChar w:fldCharType="end"/>
    </w:r>
    <w:r>
      <w:rPr>
        <w:rStyle w:val="20"/>
        <w:rFonts w:hint="eastAsia" w:ascii="宋体" w:hAnsi="宋体"/>
        <w:sz w:val="28"/>
        <w:szCs w:val="28"/>
      </w:rPr>
      <w:t xml:space="preserve"> —</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83"/>
    <w:rsid w:val="000026B1"/>
    <w:rsid w:val="000060CC"/>
    <w:rsid w:val="0000626E"/>
    <w:rsid w:val="000062A1"/>
    <w:rsid w:val="00006A86"/>
    <w:rsid w:val="00007687"/>
    <w:rsid w:val="00007A01"/>
    <w:rsid w:val="000121BA"/>
    <w:rsid w:val="00013779"/>
    <w:rsid w:val="00014946"/>
    <w:rsid w:val="00016DC7"/>
    <w:rsid w:val="00016DE1"/>
    <w:rsid w:val="000220CC"/>
    <w:rsid w:val="00022142"/>
    <w:rsid w:val="00023183"/>
    <w:rsid w:val="00024E4F"/>
    <w:rsid w:val="00024FD6"/>
    <w:rsid w:val="00025A9B"/>
    <w:rsid w:val="0003209D"/>
    <w:rsid w:val="00032EF4"/>
    <w:rsid w:val="0003340F"/>
    <w:rsid w:val="0003733B"/>
    <w:rsid w:val="000376EE"/>
    <w:rsid w:val="000407AA"/>
    <w:rsid w:val="000432C5"/>
    <w:rsid w:val="00044CEF"/>
    <w:rsid w:val="00045C92"/>
    <w:rsid w:val="00046979"/>
    <w:rsid w:val="00051937"/>
    <w:rsid w:val="00051C72"/>
    <w:rsid w:val="00051ED9"/>
    <w:rsid w:val="0005306C"/>
    <w:rsid w:val="00054827"/>
    <w:rsid w:val="0005728D"/>
    <w:rsid w:val="00060718"/>
    <w:rsid w:val="00061936"/>
    <w:rsid w:val="0006278A"/>
    <w:rsid w:val="00062A51"/>
    <w:rsid w:val="00063088"/>
    <w:rsid w:val="0006470F"/>
    <w:rsid w:val="000650A2"/>
    <w:rsid w:val="000712D0"/>
    <w:rsid w:val="0007184C"/>
    <w:rsid w:val="00072AFA"/>
    <w:rsid w:val="000732F0"/>
    <w:rsid w:val="00075083"/>
    <w:rsid w:val="000750C2"/>
    <w:rsid w:val="00075FB6"/>
    <w:rsid w:val="00077D00"/>
    <w:rsid w:val="00077F1F"/>
    <w:rsid w:val="00080959"/>
    <w:rsid w:val="00081203"/>
    <w:rsid w:val="00082570"/>
    <w:rsid w:val="000825E5"/>
    <w:rsid w:val="00084DA4"/>
    <w:rsid w:val="000858DD"/>
    <w:rsid w:val="00085E19"/>
    <w:rsid w:val="000868CC"/>
    <w:rsid w:val="0008710E"/>
    <w:rsid w:val="000909DA"/>
    <w:rsid w:val="000916DC"/>
    <w:rsid w:val="00093B36"/>
    <w:rsid w:val="0009602E"/>
    <w:rsid w:val="000974EA"/>
    <w:rsid w:val="00097CC5"/>
    <w:rsid w:val="000A00A7"/>
    <w:rsid w:val="000A16A2"/>
    <w:rsid w:val="000A1E8B"/>
    <w:rsid w:val="000A356C"/>
    <w:rsid w:val="000A392F"/>
    <w:rsid w:val="000B0B12"/>
    <w:rsid w:val="000B206B"/>
    <w:rsid w:val="000B2ABB"/>
    <w:rsid w:val="000B5E2E"/>
    <w:rsid w:val="000B6803"/>
    <w:rsid w:val="000B74BA"/>
    <w:rsid w:val="000C1C97"/>
    <w:rsid w:val="000C4D25"/>
    <w:rsid w:val="000C76E3"/>
    <w:rsid w:val="000D0C90"/>
    <w:rsid w:val="000D3514"/>
    <w:rsid w:val="000D3BC7"/>
    <w:rsid w:val="000D3F41"/>
    <w:rsid w:val="000D5D1E"/>
    <w:rsid w:val="000E0B69"/>
    <w:rsid w:val="000E6E9E"/>
    <w:rsid w:val="000F06E9"/>
    <w:rsid w:val="000F111D"/>
    <w:rsid w:val="000F1BAB"/>
    <w:rsid w:val="000F5CC7"/>
    <w:rsid w:val="00101020"/>
    <w:rsid w:val="001017FD"/>
    <w:rsid w:val="00104143"/>
    <w:rsid w:val="0010456B"/>
    <w:rsid w:val="00105C00"/>
    <w:rsid w:val="001074DD"/>
    <w:rsid w:val="00111771"/>
    <w:rsid w:val="0011180A"/>
    <w:rsid w:val="00112CC1"/>
    <w:rsid w:val="00113321"/>
    <w:rsid w:val="001133E0"/>
    <w:rsid w:val="00115E64"/>
    <w:rsid w:val="0012090D"/>
    <w:rsid w:val="0012139B"/>
    <w:rsid w:val="00122B22"/>
    <w:rsid w:val="00122D5D"/>
    <w:rsid w:val="001247FD"/>
    <w:rsid w:val="001256DE"/>
    <w:rsid w:val="00126EC6"/>
    <w:rsid w:val="0012719A"/>
    <w:rsid w:val="00127660"/>
    <w:rsid w:val="00127F48"/>
    <w:rsid w:val="00135373"/>
    <w:rsid w:val="001366EE"/>
    <w:rsid w:val="0014035A"/>
    <w:rsid w:val="001409D3"/>
    <w:rsid w:val="00142295"/>
    <w:rsid w:val="00143120"/>
    <w:rsid w:val="0014354D"/>
    <w:rsid w:val="00143DAE"/>
    <w:rsid w:val="00144AD2"/>
    <w:rsid w:val="00146C39"/>
    <w:rsid w:val="00147887"/>
    <w:rsid w:val="00150684"/>
    <w:rsid w:val="00151435"/>
    <w:rsid w:val="00151500"/>
    <w:rsid w:val="00151514"/>
    <w:rsid w:val="00154FA9"/>
    <w:rsid w:val="00155981"/>
    <w:rsid w:val="001568A6"/>
    <w:rsid w:val="00157267"/>
    <w:rsid w:val="0016214B"/>
    <w:rsid w:val="0016293B"/>
    <w:rsid w:val="00165972"/>
    <w:rsid w:val="00166C63"/>
    <w:rsid w:val="00170A0F"/>
    <w:rsid w:val="001727AF"/>
    <w:rsid w:val="00172B85"/>
    <w:rsid w:val="00175A07"/>
    <w:rsid w:val="00176A20"/>
    <w:rsid w:val="00177314"/>
    <w:rsid w:val="0018061C"/>
    <w:rsid w:val="00180E4B"/>
    <w:rsid w:val="0018194E"/>
    <w:rsid w:val="00182911"/>
    <w:rsid w:val="00182D75"/>
    <w:rsid w:val="00186498"/>
    <w:rsid w:val="001869DB"/>
    <w:rsid w:val="0018757B"/>
    <w:rsid w:val="00190741"/>
    <w:rsid w:val="00190797"/>
    <w:rsid w:val="00190FD1"/>
    <w:rsid w:val="00191FE1"/>
    <w:rsid w:val="001942FD"/>
    <w:rsid w:val="00194563"/>
    <w:rsid w:val="00194CF6"/>
    <w:rsid w:val="00195729"/>
    <w:rsid w:val="001A1E99"/>
    <w:rsid w:val="001A2387"/>
    <w:rsid w:val="001A39FF"/>
    <w:rsid w:val="001A6FE8"/>
    <w:rsid w:val="001A709A"/>
    <w:rsid w:val="001B0F35"/>
    <w:rsid w:val="001B5A55"/>
    <w:rsid w:val="001C2069"/>
    <w:rsid w:val="001C2844"/>
    <w:rsid w:val="001C4609"/>
    <w:rsid w:val="001C515A"/>
    <w:rsid w:val="001C577E"/>
    <w:rsid w:val="001D11FF"/>
    <w:rsid w:val="001D4987"/>
    <w:rsid w:val="001D513C"/>
    <w:rsid w:val="001D5D4B"/>
    <w:rsid w:val="001D5D8C"/>
    <w:rsid w:val="001D5FD7"/>
    <w:rsid w:val="001D6037"/>
    <w:rsid w:val="001D64CC"/>
    <w:rsid w:val="001D6CB2"/>
    <w:rsid w:val="001D6F4B"/>
    <w:rsid w:val="001E06ED"/>
    <w:rsid w:val="001E1A95"/>
    <w:rsid w:val="001E3198"/>
    <w:rsid w:val="001E50C5"/>
    <w:rsid w:val="001E5109"/>
    <w:rsid w:val="001E516A"/>
    <w:rsid w:val="001F1041"/>
    <w:rsid w:val="001F28CE"/>
    <w:rsid w:val="001F5EF4"/>
    <w:rsid w:val="001F5FC7"/>
    <w:rsid w:val="001F6ED9"/>
    <w:rsid w:val="001F7563"/>
    <w:rsid w:val="001F7673"/>
    <w:rsid w:val="00201B61"/>
    <w:rsid w:val="00202944"/>
    <w:rsid w:val="00202B57"/>
    <w:rsid w:val="0020309D"/>
    <w:rsid w:val="0020392E"/>
    <w:rsid w:val="002043D5"/>
    <w:rsid w:val="002045F3"/>
    <w:rsid w:val="00204AC4"/>
    <w:rsid w:val="00205A8F"/>
    <w:rsid w:val="002107DA"/>
    <w:rsid w:val="002111FF"/>
    <w:rsid w:val="00211501"/>
    <w:rsid w:val="0021303C"/>
    <w:rsid w:val="002132E3"/>
    <w:rsid w:val="00215CEC"/>
    <w:rsid w:val="00215D85"/>
    <w:rsid w:val="00216F8F"/>
    <w:rsid w:val="00220411"/>
    <w:rsid w:val="00222787"/>
    <w:rsid w:val="00225116"/>
    <w:rsid w:val="002261A0"/>
    <w:rsid w:val="00227906"/>
    <w:rsid w:val="00227EB0"/>
    <w:rsid w:val="002304B8"/>
    <w:rsid w:val="00234AF9"/>
    <w:rsid w:val="00240F06"/>
    <w:rsid w:val="002421A8"/>
    <w:rsid w:val="0024237F"/>
    <w:rsid w:val="002437CB"/>
    <w:rsid w:val="00243C07"/>
    <w:rsid w:val="00244DC9"/>
    <w:rsid w:val="002467D4"/>
    <w:rsid w:val="0024712C"/>
    <w:rsid w:val="00256856"/>
    <w:rsid w:val="002568F9"/>
    <w:rsid w:val="00256F1D"/>
    <w:rsid w:val="00260C46"/>
    <w:rsid w:val="002611BD"/>
    <w:rsid w:val="00262119"/>
    <w:rsid w:val="002622D3"/>
    <w:rsid w:val="00264177"/>
    <w:rsid w:val="002644B1"/>
    <w:rsid w:val="0026593B"/>
    <w:rsid w:val="002670E7"/>
    <w:rsid w:val="00267E11"/>
    <w:rsid w:val="002713BD"/>
    <w:rsid w:val="00271629"/>
    <w:rsid w:val="00271E66"/>
    <w:rsid w:val="00275257"/>
    <w:rsid w:val="002752BF"/>
    <w:rsid w:val="0027619F"/>
    <w:rsid w:val="00277040"/>
    <w:rsid w:val="00281D61"/>
    <w:rsid w:val="002829D1"/>
    <w:rsid w:val="00283710"/>
    <w:rsid w:val="002915D6"/>
    <w:rsid w:val="00291BEC"/>
    <w:rsid w:val="0029343C"/>
    <w:rsid w:val="00293550"/>
    <w:rsid w:val="002A3C5E"/>
    <w:rsid w:val="002A3E0A"/>
    <w:rsid w:val="002A4E32"/>
    <w:rsid w:val="002A5AE9"/>
    <w:rsid w:val="002B0904"/>
    <w:rsid w:val="002B1E97"/>
    <w:rsid w:val="002B790E"/>
    <w:rsid w:val="002C192C"/>
    <w:rsid w:val="002C2ECC"/>
    <w:rsid w:val="002C5FBB"/>
    <w:rsid w:val="002D2A29"/>
    <w:rsid w:val="002D3476"/>
    <w:rsid w:val="002D75C2"/>
    <w:rsid w:val="002D7CE0"/>
    <w:rsid w:val="002E0384"/>
    <w:rsid w:val="002E1E98"/>
    <w:rsid w:val="002E4649"/>
    <w:rsid w:val="002E51E1"/>
    <w:rsid w:val="002E6112"/>
    <w:rsid w:val="002E746D"/>
    <w:rsid w:val="002F0A9D"/>
    <w:rsid w:val="002F457A"/>
    <w:rsid w:val="002F4C43"/>
    <w:rsid w:val="002F5B73"/>
    <w:rsid w:val="002F6007"/>
    <w:rsid w:val="002F6C6A"/>
    <w:rsid w:val="002F701F"/>
    <w:rsid w:val="00304229"/>
    <w:rsid w:val="003042FA"/>
    <w:rsid w:val="0030454D"/>
    <w:rsid w:val="003107E6"/>
    <w:rsid w:val="003114E5"/>
    <w:rsid w:val="00313043"/>
    <w:rsid w:val="00315BC1"/>
    <w:rsid w:val="00320368"/>
    <w:rsid w:val="00320F04"/>
    <w:rsid w:val="00321225"/>
    <w:rsid w:val="00322399"/>
    <w:rsid w:val="003223B7"/>
    <w:rsid w:val="003231E1"/>
    <w:rsid w:val="00325BD8"/>
    <w:rsid w:val="00325F92"/>
    <w:rsid w:val="003276EE"/>
    <w:rsid w:val="00327DC5"/>
    <w:rsid w:val="00330F99"/>
    <w:rsid w:val="0033226F"/>
    <w:rsid w:val="00333D75"/>
    <w:rsid w:val="0033452A"/>
    <w:rsid w:val="0033483C"/>
    <w:rsid w:val="003369FB"/>
    <w:rsid w:val="0033722B"/>
    <w:rsid w:val="003411C7"/>
    <w:rsid w:val="00341433"/>
    <w:rsid w:val="00344AA7"/>
    <w:rsid w:val="00345464"/>
    <w:rsid w:val="00345B56"/>
    <w:rsid w:val="00351663"/>
    <w:rsid w:val="00351B85"/>
    <w:rsid w:val="00354D6A"/>
    <w:rsid w:val="00355702"/>
    <w:rsid w:val="00356566"/>
    <w:rsid w:val="00360837"/>
    <w:rsid w:val="00361EF2"/>
    <w:rsid w:val="00362D0B"/>
    <w:rsid w:val="003706FA"/>
    <w:rsid w:val="003708C4"/>
    <w:rsid w:val="00370972"/>
    <w:rsid w:val="00372A6B"/>
    <w:rsid w:val="00373D55"/>
    <w:rsid w:val="00375836"/>
    <w:rsid w:val="00376833"/>
    <w:rsid w:val="00377F37"/>
    <w:rsid w:val="0038066F"/>
    <w:rsid w:val="00380877"/>
    <w:rsid w:val="003833D0"/>
    <w:rsid w:val="00384946"/>
    <w:rsid w:val="00386588"/>
    <w:rsid w:val="00391D95"/>
    <w:rsid w:val="00392F91"/>
    <w:rsid w:val="003936A2"/>
    <w:rsid w:val="00393E04"/>
    <w:rsid w:val="003961A8"/>
    <w:rsid w:val="003A1765"/>
    <w:rsid w:val="003A19D8"/>
    <w:rsid w:val="003A2F55"/>
    <w:rsid w:val="003A3471"/>
    <w:rsid w:val="003A395A"/>
    <w:rsid w:val="003A39EF"/>
    <w:rsid w:val="003A3F85"/>
    <w:rsid w:val="003A41EF"/>
    <w:rsid w:val="003A6A59"/>
    <w:rsid w:val="003B2700"/>
    <w:rsid w:val="003B2DCF"/>
    <w:rsid w:val="003B4AA7"/>
    <w:rsid w:val="003B64E4"/>
    <w:rsid w:val="003B64F1"/>
    <w:rsid w:val="003B66F3"/>
    <w:rsid w:val="003B6A6B"/>
    <w:rsid w:val="003C1927"/>
    <w:rsid w:val="003C19E2"/>
    <w:rsid w:val="003C2A37"/>
    <w:rsid w:val="003C5670"/>
    <w:rsid w:val="003C5973"/>
    <w:rsid w:val="003C67A3"/>
    <w:rsid w:val="003D4F89"/>
    <w:rsid w:val="003D6BBB"/>
    <w:rsid w:val="003E169A"/>
    <w:rsid w:val="003E3427"/>
    <w:rsid w:val="003E37B0"/>
    <w:rsid w:val="003E617B"/>
    <w:rsid w:val="003E6928"/>
    <w:rsid w:val="003E6AD6"/>
    <w:rsid w:val="003E6DAB"/>
    <w:rsid w:val="003E7690"/>
    <w:rsid w:val="003F33BF"/>
    <w:rsid w:val="003F3609"/>
    <w:rsid w:val="003F4506"/>
    <w:rsid w:val="003F5A9B"/>
    <w:rsid w:val="003F658B"/>
    <w:rsid w:val="003F6593"/>
    <w:rsid w:val="00401D74"/>
    <w:rsid w:val="00407D16"/>
    <w:rsid w:val="004126D5"/>
    <w:rsid w:val="00413B06"/>
    <w:rsid w:val="0041404B"/>
    <w:rsid w:val="00415590"/>
    <w:rsid w:val="004159FA"/>
    <w:rsid w:val="00417F76"/>
    <w:rsid w:val="004218D7"/>
    <w:rsid w:val="00422633"/>
    <w:rsid w:val="00425672"/>
    <w:rsid w:val="004269CA"/>
    <w:rsid w:val="004320D1"/>
    <w:rsid w:val="004341EC"/>
    <w:rsid w:val="0043559E"/>
    <w:rsid w:val="00436E9F"/>
    <w:rsid w:val="004409EF"/>
    <w:rsid w:val="00442D0D"/>
    <w:rsid w:val="004443EE"/>
    <w:rsid w:val="00451106"/>
    <w:rsid w:val="00451539"/>
    <w:rsid w:val="0045188F"/>
    <w:rsid w:val="00452AFC"/>
    <w:rsid w:val="0045375C"/>
    <w:rsid w:val="00453ED3"/>
    <w:rsid w:val="00453ED4"/>
    <w:rsid w:val="00453EDB"/>
    <w:rsid w:val="00455706"/>
    <w:rsid w:val="00457DD9"/>
    <w:rsid w:val="00461469"/>
    <w:rsid w:val="0046321C"/>
    <w:rsid w:val="004636FE"/>
    <w:rsid w:val="00463B63"/>
    <w:rsid w:val="00467306"/>
    <w:rsid w:val="00470ECE"/>
    <w:rsid w:val="00471B42"/>
    <w:rsid w:val="00472736"/>
    <w:rsid w:val="00472794"/>
    <w:rsid w:val="00472CD3"/>
    <w:rsid w:val="00473C56"/>
    <w:rsid w:val="00475CED"/>
    <w:rsid w:val="00480AE2"/>
    <w:rsid w:val="004819FA"/>
    <w:rsid w:val="00481E3F"/>
    <w:rsid w:val="00481EEA"/>
    <w:rsid w:val="00484C38"/>
    <w:rsid w:val="0048530D"/>
    <w:rsid w:val="004867D6"/>
    <w:rsid w:val="00487C35"/>
    <w:rsid w:val="0049147E"/>
    <w:rsid w:val="00493584"/>
    <w:rsid w:val="004948F2"/>
    <w:rsid w:val="00494C29"/>
    <w:rsid w:val="00495A36"/>
    <w:rsid w:val="0049681B"/>
    <w:rsid w:val="00496B89"/>
    <w:rsid w:val="004A0DE2"/>
    <w:rsid w:val="004A2550"/>
    <w:rsid w:val="004A3513"/>
    <w:rsid w:val="004A5536"/>
    <w:rsid w:val="004B186D"/>
    <w:rsid w:val="004B236C"/>
    <w:rsid w:val="004B2403"/>
    <w:rsid w:val="004B2914"/>
    <w:rsid w:val="004B5122"/>
    <w:rsid w:val="004B6041"/>
    <w:rsid w:val="004C1B03"/>
    <w:rsid w:val="004C39C4"/>
    <w:rsid w:val="004C52A5"/>
    <w:rsid w:val="004C6D3B"/>
    <w:rsid w:val="004D12C3"/>
    <w:rsid w:val="004D17CB"/>
    <w:rsid w:val="004D265B"/>
    <w:rsid w:val="004D4999"/>
    <w:rsid w:val="004E0B05"/>
    <w:rsid w:val="004E2474"/>
    <w:rsid w:val="004E3CA6"/>
    <w:rsid w:val="004E5EDD"/>
    <w:rsid w:val="004E6217"/>
    <w:rsid w:val="004F0320"/>
    <w:rsid w:val="004F062F"/>
    <w:rsid w:val="004F4750"/>
    <w:rsid w:val="004F64C4"/>
    <w:rsid w:val="005000ED"/>
    <w:rsid w:val="00501630"/>
    <w:rsid w:val="00502688"/>
    <w:rsid w:val="00502FE1"/>
    <w:rsid w:val="005051ED"/>
    <w:rsid w:val="00507C84"/>
    <w:rsid w:val="00515717"/>
    <w:rsid w:val="00515EAC"/>
    <w:rsid w:val="00517B18"/>
    <w:rsid w:val="0052038A"/>
    <w:rsid w:val="0052281B"/>
    <w:rsid w:val="00522DC7"/>
    <w:rsid w:val="00522EBC"/>
    <w:rsid w:val="00523C40"/>
    <w:rsid w:val="0052422D"/>
    <w:rsid w:val="00525D38"/>
    <w:rsid w:val="005262D0"/>
    <w:rsid w:val="005269A7"/>
    <w:rsid w:val="005317CD"/>
    <w:rsid w:val="00531C7F"/>
    <w:rsid w:val="00532C82"/>
    <w:rsid w:val="00532D05"/>
    <w:rsid w:val="00534FB8"/>
    <w:rsid w:val="005402EB"/>
    <w:rsid w:val="00541F45"/>
    <w:rsid w:val="00543994"/>
    <w:rsid w:val="00543FDF"/>
    <w:rsid w:val="00544863"/>
    <w:rsid w:val="005456FE"/>
    <w:rsid w:val="005500D2"/>
    <w:rsid w:val="00551271"/>
    <w:rsid w:val="00552304"/>
    <w:rsid w:val="0055465C"/>
    <w:rsid w:val="00554DFF"/>
    <w:rsid w:val="00554F90"/>
    <w:rsid w:val="005552D9"/>
    <w:rsid w:val="0055603B"/>
    <w:rsid w:val="00556425"/>
    <w:rsid w:val="00557C57"/>
    <w:rsid w:val="00557F8C"/>
    <w:rsid w:val="00560188"/>
    <w:rsid w:val="00560857"/>
    <w:rsid w:val="005627E4"/>
    <w:rsid w:val="005640DD"/>
    <w:rsid w:val="00565263"/>
    <w:rsid w:val="005655B3"/>
    <w:rsid w:val="00566CE3"/>
    <w:rsid w:val="00570953"/>
    <w:rsid w:val="005713BF"/>
    <w:rsid w:val="00577281"/>
    <w:rsid w:val="00581D54"/>
    <w:rsid w:val="00583768"/>
    <w:rsid w:val="00585F89"/>
    <w:rsid w:val="0058611F"/>
    <w:rsid w:val="0058673B"/>
    <w:rsid w:val="00587307"/>
    <w:rsid w:val="00590248"/>
    <w:rsid w:val="00595B3F"/>
    <w:rsid w:val="005A03A9"/>
    <w:rsid w:val="005A0748"/>
    <w:rsid w:val="005A3402"/>
    <w:rsid w:val="005A3F83"/>
    <w:rsid w:val="005A582F"/>
    <w:rsid w:val="005A630A"/>
    <w:rsid w:val="005B476C"/>
    <w:rsid w:val="005B5086"/>
    <w:rsid w:val="005B6D68"/>
    <w:rsid w:val="005B7EEE"/>
    <w:rsid w:val="005C0BC4"/>
    <w:rsid w:val="005C0F8E"/>
    <w:rsid w:val="005C4C27"/>
    <w:rsid w:val="005D30ED"/>
    <w:rsid w:val="005D41A6"/>
    <w:rsid w:val="005D45B0"/>
    <w:rsid w:val="005D4B98"/>
    <w:rsid w:val="005E1655"/>
    <w:rsid w:val="005E4B59"/>
    <w:rsid w:val="005E79E4"/>
    <w:rsid w:val="005E7A73"/>
    <w:rsid w:val="005E7C39"/>
    <w:rsid w:val="005F0696"/>
    <w:rsid w:val="005F06A7"/>
    <w:rsid w:val="005F0A8E"/>
    <w:rsid w:val="005F30EC"/>
    <w:rsid w:val="005F3E97"/>
    <w:rsid w:val="00602C74"/>
    <w:rsid w:val="00604252"/>
    <w:rsid w:val="006047D1"/>
    <w:rsid w:val="00606A14"/>
    <w:rsid w:val="00612F1B"/>
    <w:rsid w:val="006139B6"/>
    <w:rsid w:val="00615902"/>
    <w:rsid w:val="006163C9"/>
    <w:rsid w:val="006203E1"/>
    <w:rsid w:val="00621AA3"/>
    <w:rsid w:val="00622DD4"/>
    <w:rsid w:val="006232C5"/>
    <w:rsid w:val="00626463"/>
    <w:rsid w:val="006278BB"/>
    <w:rsid w:val="00630E57"/>
    <w:rsid w:val="00632B54"/>
    <w:rsid w:val="00636069"/>
    <w:rsid w:val="006441C6"/>
    <w:rsid w:val="00647BBB"/>
    <w:rsid w:val="00650D90"/>
    <w:rsid w:val="0065227E"/>
    <w:rsid w:val="00652C57"/>
    <w:rsid w:val="00652E4F"/>
    <w:rsid w:val="0065441D"/>
    <w:rsid w:val="00656740"/>
    <w:rsid w:val="0066070A"/>
    <w:rsid w:val="00660D75"/>
    <w:rsid w:val="00662A96"/>
    <w:rsid w:val="006632D3"/>
    <w:rsid w:val="00667C31"/>
    <w:rsid w:val="006709D4"/>
    <w:rsid w:val="00670B49"/>
    <w:rsid w:val="00673F25"/>
    <w:rsid w:val="00684652"/>
    <w:rsid w:val="00684EC5"/>
    <w:rsid w:val="0068631A"/>
    <w:rsid w:val="00686EAF"/>
    <w:rsid w:val="00692931"/>
    <w:rsid w:val="00692A59"/>
    <w:rsid w:val="00693A66"/>
    <w:rsid w:val="0069464E"/>
    <w:rsid w:val="00695AAE"/>
    <w:rsid w:val="00695FEA"/>
    <w:rsid w:val="00696578"/>
    <w:rsid w:val="006A2490"/>
    <w:rsid w:val="006A437E"/>
    <w:rsid w:val="006A68A3"/>
    <w:rsid w:val="006A7D5C"/>
    <w:rsid w:val="006B073C"/>
    <w:rsid w:val="006B2B79"/>
    <w:rsid w:val="006B2E6B"/>
    <w:rsid w:val="006B2EEE"/>
    <w:rsid w:val="006B5163"/>
    <w:rsid w:val="006B5E68"/>
    <w:rsid w:val="006B5EF1"/>
    <w:rsid w:val="006B606F"/>
    <w:rsid w:val="006B70C9"/>
    <w:rsid w:val="006C10B2"/>
    <w:rsid w:val="006C2898"/>
    <w:rsid w:val="006C37CA"/>
    <w:rsid w:val="006C4553"/>
    <w:rsid w:val="006C58D0"/>
    <w:rsid w:val="006C624C"/>
    <w:rsid w:val="006C648F"/>
    <w:rsid w:val="006C66C5"/>
    <w:rsid w:val="006C69F7"/>
    <w:rsid w:val="006C703B"/>
    <w:rsid w:val="006D0178"/>
    <w:rsid w:val="006D3B92"/>
    <w:rsid w:val="006D6702"/>
    <w:rsid w:val="006E01A3"/>
    <w:rsid w:val="006E25AA"/>
    <w:rsid w:val="006E28AE"/>
    <w:rsid w:val="006E3365"/>
    <w:rsid w:val="006E366B"/>
    <w:rsid w:val="006E395C"/>
    <w:rsid w:val="006E703E"/>
    <w:rsid w:val="006E7A34"/>
    <w:rsid w:val="006F4361"/>
    <w:rsid w:val="006F6D5A"/>
    <w:rsid w:val="006F6FDC"/>
    <w:rsid w:val="00700DF6"/>
    <w:rsid w:val="00701BF4"/>
    <w:rsid w:val="00702EEB"/>
    <w:rsid w:val="007101E4"/>
    <w:rsid w:val="00710539"/>
    <w:rsid w:val="007157D9"/>
    <w:rsid w:val="0072040B"/>
    <w:rsid w:val="007211A6"/>
    <w:rsid w:val="0072191A"/>
    <w:rsid w:val="007219FF"/>
    <w:rsid w:val="00721A4F"/>
    <w:rsid w:val="00721EE5"/>
    <w:rsid w:val="00722738"/>
    <w:rsid w:val="0072609B"/>
    <w:rsid w:val="00733514"/>
    <w:rsid w:val="00733528"/>
    <w:rsid w:val="007357BB"/>
    <w:rsid w:val="00742627"/>
    <w:rsid w:val="007438C6"/>
    <w:rsid w:val="007442FF"/>
    <w:rsid w:val="00745C8F"/>
    <w:rsid w:val="0074676A"/>
    <w:rsid w:val="00750C4D"/>
    <w:rsid w:val="007511A8"/>
    <w:rsid w:val="00751A9A"/>
    <w:rsid w:val="00752985"/>
    <w:rsid w:val="007530A0"/>
    <w:rsid w:val="007539D3"/>
    <w:rsid w:val="007548E2"/>
    <w:rsid w:val="0075491B"/>
    <w:rsid w:val="007563AF"/>
    <w:rsid w:val="00757B60"/>
    <w:rsid w:val="00760AAC"/>
    <w:rsid w:val="00763293"/>
    <w:rsid w:val="00765646"/>
    <w:rsid w:val="00765FE8"/>
    <w:rsid w:val="0076637E"/>
    <w:rsid w:val="00766C74"/>
    <w:rsid w:val="00770FB7"/>
    <w:rsid w:val="00771FEE"/>
    <w:rsid w:val="00772F78"/>
    <w:rsid w:val="00775177"/>
    <w:rsid w:val="00776A4A"/>
    <w:rsid w:val="00780F41"/>
    <w:rsid w:val="00781171"/>
    <w:rsid w:val="0078315E"/>
    <w:rsid w:val="00783344"/>
    <w:rsid w:val="0078406C"/>
    <w:rsid w:val="00784F81"/>
    <w:rsid w:val="007855C4"/>
    <w:rsid w:val="0078584B"/>
    <w:rsid w:val="007866B3"/>
    <w:rsid w:val="00787AAA"/>
    <w:rsid w:val="00790419"/>
    <w:rsid w:val="0079043F"/>
    <w:rsid w:val="007970FC"/>
    <w:rsid w:val="00797327"/>
    <w:rsid w:val="007A44C8"/>
    <w:rsid w:val="007A46B6"/>
    <w:rsid w:val="007A57CE"/>
    <w:rsid w:val="007A69E5"/>
    <w:rsid w:val="007A7A34"/>
    <w:rsid w:val="007B3774"/>
    <w:rsid w:val="007B39BD"/>
    <w:rsid w:val="007B4ADD"/>
    <w:rsid w:val="007B6E44"/>
    <w:rsid w:val="007B7456"/>
    <w:rsid w:val="007C274D"/>
    <w:rsid w:val="007C4CC9"/>
    <w:rsid w:val="007C6FCD"/>
    <w:rsid w:val="007C7838"/>
    <w:rsid w:val="007D15EC"/>
    <w:rsid w:val="007D5EC9"/>
    <w:rsid w:val="007D6AC9"/>
    <w:rsid w:val="007D7B73"/>
    <w:rsid w:val="007D7CE9"/>
    <w:rsid w:val="007E0912"/>
    <w:rsid w:val="007E1A79"/>
    <w:rsid w:val="007E6E1E"/>
    <w:rsid w:val="007E72A4"/>
    <w:rsid w:val="007E756D"/>
    <w:rsid w:val="007E7574"/>
    <w:rsid w:val="007F4FF4"/>
    <w:rsid w:val="007F56FD"/>
    <w:rsid w:val="007F5D16"/>
    <w:rsid w:val="007F62E0"/>
    <w:rsid w:val="0080221C"/>
    <w:rsid w:val="0080303E"/>
    <w:rsid w:val="008031E0"/>
    <w:rsid w:val="008061EB"/>
    <w:rsid w:val="008140CE"/>
    <w:rsid w:val="008143EB"/>
    <w:rsid w:val="00814BC8"/>
    <w:rsid w:val="00815E2D"/>
    <w:rsid w:val="00816720"/>
    <w:rsid w:val="00817702"/>
    <w:rsid w:val="008203CF"/>
    <w:rsid w:val="00820560"/>
    <w:rsid w:val="00820D35"/>
    <w:rsid w:val="00826EB2"/>
    <w:rsid w:val="008334BC"/>
    <w:rsid w:val="00836399"/>
    <w:rsid w:val="00837319"/>
    <w:rsid w:val="00841DB4"/>
    <w:rsid w:val="0084517F"/>
    <w:rsid w:val="0084607B"/>
    <w:rsid w:val="008477F9"/>
    <w:rsid w:val="00850B59"/>
    <w:rsid w:val="00850CF4"/>
    <w:rsid w:val="00852827"/>
    <w:rsid w:val="008553E6"/>
    <w:rsid w:val="00855DB2"/>
    <w:rsid w:val="00856792"/>
    <w:rsid w:val="00857B4B"/>
    <w:rsid w:val="008602F4"/>
    <w:rsid w:val="00861822"/>
    <w:rsid w:val="00865E45"/>
    <w:rsid w:val="0086750B"/>
    <w:rsid w:val="00872644"/>
    <w:rsid w:val="008729F9"/>
    <w:rsid w:val="00873456"/>
    <w:rsid w:val="00873E89"/>
    <w:rsid w:val="008740BA"/>
    <w:rsid w:val="00874AD8"/>
    <w:rsid w:val="00874B5D"/>
    <w:rsid w:val="008765B8"/>
    <w:rsid w:val="00881FC9"/>
    <w:rsid w:val="00883AF8"/>
    <w:rsid w:val="0089058B"/>
    <w:rsid w:val="00890ADA"/>
    <w:rsid w:val="008914A3"/>
    <w:rsid w:val="00892685"/>
    <w:rsid w:val="00894E90"/>
    <w:rsid w:val="008955AB"/>
    <w:rsid w:val="008A6F05"/>
    <w:rsid w:val="008A71C7"/>
    <w:rsid w:val="008A7979"/>
    <w:rsid w:val="008A7C40"/>
    <w:rsid w:val="008B07FE"/>
    <w:rsid w:val="008B27F1"/>
    <w:rsid w:val="008B555B"/>
    <w:rsid w:val="008B5E39"/>
    <w:rsid w:val="008C4829"/>
    <w:rsid w:val="008C4BE1"/>
    <w:rsid w:val="008C608B"/>
    <w:rsid w:val="008C61E7"/>
    <w:rsid w:val="008D198C"/>
    <w:rsid w:val="008D2A81"/>
    <w:rsid w:val="008D4A5D"/>
    <w:rsid w:val="008D4E1C"/>
    <w:rsid w:val="008D51E3"/>
    <w:rsid w:val="008D6677"/>
    <w:rsid w:val="008D6C1C"/>
    <w:rsid w:val="008E24B1"/>
    <w:rsid w:val="008E4902"/>
    <w:rsid w:val="008E504D"/>
    <w:rsid w:val="008E60AD"/>
    <w:rsid w:val="008E6941"/>
    <w:rsid w:val="008F0586"/>
    <w:rsid w:val="008F0EB2"/>
    <w:rsid w:val="008F297B"/>
    <w:rsid w:val="008F5E1E"/>
    <w:rsid w:val="008F6F51"/>
    <w:rsid w:val="00902725"/>
    <w:rsid w:val="009028DE"/>
    <w:rsid w:val="00902A13"/>
    <w:rsid w:val="009045BC"/>
    <w:rsid w:val="009047D4"/>
    <w:rsid w:val="0090765B"/>
    <w:rsid w:val="009100ED"/>
    <w:rsid w:val="009104C1"/>
    <w:rsid w:val="00911BBE"/>
    <w:rsid w:val="0091267B"/>
    <w:rsid w:val="0091514C"/>
    <w:rsid w:val="009164D7"/>
    <w:rsid w:val="009166F7"/>
    <w:rsid w:val="00917C88"/>
    <w:rsid w:val="00923C7B"/>
    <w:rsid w:val="00924A44"/>
    <w:rsid w:val="00925AB6"/>
    <w:rsid w:val="00926BAC"/>
    <w:rsid w:val="00932D0E"/>
    <w:rsid w:val="00933F6F"/>
    <w:rsid w:val="00934111"/>
    <w:rsid w:val="00936CC7"/>
    <w:rsid w:val="00937AB2"/>
    <w:rsid w:val="00937C70"/>
    <w:rsid w:val="009418F2"/>
    <w:rsid w:val="00942AB5"/>
    <w:rsid w:val="009503DB"/>
    <w:rsid w:val="009508F3"/>
    <w:rsid w:val="009512D1"/>
    <w:rsid w:val="00953115"/>
    <w:rsid w:val="00954BAD"/>
    <w:rsid w:val="00956178"/>
    <w:rsid w:val="00956ACB"/>
    <w:rsid w:val="00961636"/>
    <w:rsid w:val="009616C6"/>
    <w:rsid w:val="0096217F"/>
    <w:rsid w:val="00965444"/>
    <w:rsid w:val="0096588B"/>
    <w:rsid w:val="0096594A"/>
    <w:rsid w:val="00965B19"/>
    <w:rsid w:val="00966312"/>
    <w:rsid w:val="00970A7A"/>
    <w:rsid w:val="009736EA"/>
    <w:rsid w:val="009759BA"/>
    <w:rsid w:val="00982C69"/>
    <w:rsid w:val="00984331"/>
    <w:rsid w:val="00984EDB"/>
    <w:rsid w:val="0098581B"/>
    <w:rsid w:val="0098656F"/>
    <w:rsid w:val="009866C6"/>
    <w:rsid w:val="00990724"/>
    <w:rsid w:val="009915D0"/>
    <w:rsid w:val="0099284A"/>
    <w:rsid w:val="0099341A"/>
    <w:rsid w:val="009937D3"/>
    <w:rsid w:val="009977CA"/>
    <w:rsid w:val="009A1948"/>
    <w:rsid w:val="009A4AE7"/>
    <w:rsid w:val="009A6699"/>
    <w:rsid w:val="009A69A1"/>
    <w:rsid w:val="009B02DC"/>
    <w:rsid w:val="009B2369"/>
    <w:rsid w:val="009B34EF"/>
    <w:rsid w:val="009B7D55"/>
    <w:rsid w:val="009C0487"/>
    <w:rsid w:val="009C193E"/>
    <w:rsid w:val="009C1F36"/>
    <w:rsid w:val="009C425C"/>
    <w:rsid w:val="009C43FC"/>
    <w:rsid w:val="009C4798"/>
    <w:rsid w:val="009C48AF"/>
    <w:rsid w:val="009C7A79"/>
    <w:rsid w:val="009D04DF"/>
    <w:rsid w:val="009D0EEF"/>
    <w:rsid w:val="009D14D9"/>
    <w:rsid w:val="009D3064"/>
    <w:rsid w:val="009D345E"/>
    <w:rsid w:val="009D3847"/>
    <w:rsid w:val="009D4405"/>
    <w:rsid w:val="009D5C88"/>
    <w:rsid w:val="009D610E"/>
    <w:rsid w:val="009D63B3"/>
    <w:rsid w:val="009D6410"/>
    <w:rsid w:val="009E03DC"/>
    <w:rsid w:val="009E1919"/>
    <w:rsid w:val="009E23E9"/>
    <w:rsid w:val="009E331A"/>
    <w:rsid w:val="009F0E40"/>
    <w:rsid w:val="009F48D5"/>
    <w:rsid w:val="009F4FCC"/>
    <w:rsid w:val="009F7364"/>
    <w:rsid w:val="00A00637"/>
    <w:rsid w:val="00A032D8"/>
    <w:rsid w:val="00A03D74"/>
    <w:rsid w:val="00A047A2"/>
    <w:rsid w:val="00A11CCE"/>
    <w:rsid w:val="00A11CFA"/>
    <w:rsid w:val="00A12226"/>
    <w:rsid w:val="00A13138"/>
    <w:rsid w:val="00A13F64"/>
    <w:rsid w:val="00A2027D"/>
    <w:rsid w:val="00A222EE"/>
    <w:rsid w:val="00A25042"/>
    <w:rsid w:val="00A2695D"/>
    <w:rsid w:val="00A2729D"/>
    <w:rsid w:val="00A27CCF"/>
    <w:rsid w:val="00A31D3D"/>
    <w:rsid w:val="00A33245"/>
    <w:rsid w:val="00A35CC8"/>
    <w:rsid w:val="00A35FA3"/>
    <w:rsid w:val="00A37042"/>
    <w:rsid w:val="00A37593"/>
    <w:rsid w:val="00A40656"/>
    <w:rsid w:val="00A40D32"/>
    <w:rsid w:val="00A42FE8"/>
    <w:rsid w:val="00A43416"/>
    <w:rsid w:val="00A44126"/>
    <w:rsid w:val="00A45ED0"/>
    <w:rsid w:val="00A4661C"/>
    <w:rsid w:val="00A5609C"/>
    <w:rsid w:val="00A5655B"/>
    <w:rsid w:val="00A57284"/>
    <w:rsid w:val="00A57B6B"/>
    <w:rsid w:val="00A57CE7"/>
    <w:rsid w:val="00A63B0F"/>
    <w:rsid w:val="00A63FEA"/>
    <w:rsid w:val="00A666E2"/>
    <w:rsid w:val="00A677AE"/>
    <w:rsid w:val="00A678DC"/>
    <w:rsid w:val="00A72986"/>
    <w:rsid w:val="00A73DD9"/>
    <w:rsid w:val="00A73EBE"/>
    <w:rsid w:val="00A751AD"/>
    <w:rsid w:val="00A77535"/>
    <w:rsid w:val="00A77D94"/>
    <w:rsid w:val="00A80347"/>
    <w:rsid w:val="00A8041B"/>
    <w:rsid w:val="00A81CBF"/>
    <w:rsid w:val="00A81E2D"/>
    <w:rsid w:val="00A82FF7"/>
    <w:rsid w:val="00A84C32"/>
    <w:rsid w:val="00A85694"/>
    <w:rsid w:val="00A9007D"/>
    <w:rsid w:val="00A903CD"/>
    <w:rsid w:val="00A91577"/>
    <w:rsid w:val="00A93BD4"/>
    <w:rsid w:val="00A96D21"/>
    <w:rsid w:val="00A97612"/>
    <w:rsid w:val="00A97A67"/>
    <w:rsid w:val="00AA1E24"/>
    <w:rsid w:val="00AA2EF5"/>
    <w:rsid w:val="00AA3934"/>
    <w:rsid w:val="00AA4288"/>
    <w:rsid w:val="00AA4FF1"/>
    <w:rsid w:val="00AB144E"/>
    <w:rsid w:val="00AB15D9"/>
    <w:rsid w:val="00AB1C75"/>
    <w:rsid w:val="00AB2179"/>
    <w:rsid w:val="00AB382C"/>
    <w:rsid w:val="00AB5173"/>
    <w:rsid w:val="00AB74F1"/>
    <w:rsid w:val="00AC0E01"/>
    <w:rsid w:val="00AC372A"/>
    <w:rsid w:val="00AC3A97"/>
    <w:rsid w:val="00AC3DFC"/>
    <w:rsid w:val="00AC4CCA"/>
    <w:rsid w:val="00AC7971"/>
    <w:rsid w:val="00AD2794"/>
    <w:rsid w:val="00AD2C13"/>
    <w:rsid w:val="00AD57A1"/>
    <w:rsid w:val="00AD5FE6"/>
    <w:rsid w:val="00AD7F26"/>
    <w:rsid w:val="00AE3967"/>
    <w:rsid w:val="00AE3F53"/>
    <w:rsid w:val="00AE4191"/>
    <w:rsid w:val="00AE569E"/>
    <w:rsid w:val="00AF0400"/>
    <w:rsid w:val="00AF0840"/>
    <w:rsid w:val="00AF1B63"/>
    <w:rsid w:val="00AF37A3"/>
    <w:rsid w:val="00AF412C"/>
    <w:rsid w:val="00AF4DE6"/>
    <w:rsid w:val="00AF59BE"/>
    <w:rsid w:val="00AF6A62"/>
    <w:rsid w:val="00AF7D14"/>
    <w:rsid w:val="00B005A8"/>
    <w:rsid w:val="00B02F42"/>
    <w:rsid w:val="00B04EF5"/>
    <w:rsid w:val="00B06E96"/>
    <w:rsid w:val="00B12818"/>
    <w:rsid w:val="00B13802"/>
    <w:rsid w:val="00B1435D"/>
    <w:rsid w:val="00B149E8"/>
    <w:rsid w:val="00B15FC2"/>
    <w:rsid w:val="00B16EFC"/>
    <w:rsid w:val="00B177E5"/>
    <w:rsid w:val="00B17BCB"/>
    <w:rsid w:val="00B239CF"/>
    <w:rsid w:val="00B23E47"/>
    <w:rsid w:val="00B27174"/>
    <w:rsid w:val="00B27EF7"/>
    <w:rsid w:val="00B300E6"/>
    <w:rsid w:val="00B3291E"/>
    <w:rsid w:val="00B3458B"/>
    <w:rsid w:val="00B363EF"/>
    <w:rsid w:val="00B40008"/>
    <w:rsid w:val="00B4072E"/>
    <w:rsid w:val="00B40FFF"/>
    <w:rsid w:val="00B4744E"/>
    <w:rsid w:val="00B47B8C"/>
    <w:rsid w:val="00B50CCA"/>
    <w:rsid w:val="00B513FB"/>
    <w:rsid w:val="00B51684"/>
    <w:rsid w:val="00B517AC"/>
    <w:rsid w:val="00B52A42"/>
    <w:rsid w:val="00B545DF"/>
    <w:rsid w:val="00B54822"/>
    <w:rsid w:val="00B54A9A"/>
    <w:rsid w:val="00B56424"/>
    <w:rsid w:val="00B565C7"/>
    <w:rsid w:val="00B56E9C"/>
    <w:rsid w:val="00B57AE1"/>
    <w:rsid w:val="00B60E86"/>
    <w:rsid w:val="00B615C5"/>
    <w:rsid w:val="00B63A24"/>
    <w:rsid w:val="00B641CF"/>
    <w:rsid w:val="00B66BA0"/>
    <w:rsid w:val="00B66FD6"/>
    <w:rsid w:val="00B7301F"/>
    <w:rsid w:val="00B737EC"/>
    <w:rsid w:val="00B73978"/>
    <w:rsid w:val="00B76A44"/>
    <w:rsid w:val="00B7791D"/>
    <w:rsid w:val="00B77A21"/>
    <w:rsid w:val="00B82E6B"/>
    <w:rsid w:val="00B8400C"/>
    <w:rsid w:val="00B84E36"/>
    <w:rsid w:val="00B854EC"/>
    <w:rsid w:val="00B85848"/>
    <w:rsid w:val="00B86CFF"/>
    <w:rsid w:val="00B9055E"/>
    <w:rsid w:val="00B965D5"/>
    <w:rsid w:val="00B970EA"/>
    <w:rsid w:val="00BA31DB"/>
    <w:rsid w:val="00BA4179"/>
    <w:rsid w:val="00BA54A6"/>
    <w:rsid w:val="00BA7D5C"/>
    <w:rsid w:val="00BB08E1"/>
    <w:rsid w:val="00BB1B71"/>
    <w:rsid w:val="00BB2FA7"/>
    <w:rsid w:val="00BB5078"/>
    <w:rsid w:val="00BB5A9C"/>
    <w:rsid w:val="00BB5AED"/>
    <w:rsid w:val="00BB5C25"/>
    <w:rsid w:val="00BB6001"/>
    <w:rsid w:val="00BB7C17"/>
    <w:rsid w:val="00BB7F3A"/>
    <w:rsid w:val="00BD00BD"/>
    <w:rsid w:val="00BD0668"/>
    <w:rsid w:val="00BD2F39"/>
    <w:rsid w:val="00BD5B6E"/>
    <w:rsid w:val="00BD64D4"/>
    <w:rsid w:val="00BE0655"/>
    <w:rsid w:val="00BF1526"/>
    <w:rsid w:val="00BF2297"/>
    <w:rsid w:val="00BF3ED4"/>
    <w:rsid w:val="00BF4600"/>
    <w:rsid w:val="00BF6C0E"/>
    <w:rsid w:val="00BF7294"/>
    <w:rsid w:val="00C04ADF"/>
    <w:rsid w:val="00C0689E"/>
    <w:rsid w:val="00C116A0"/>
    <w:rsid w:val="00C11826"/>
    <w:rsid w:val="00C11BEB"/>
    <w:rsid w:val="00C12758"/>
    <w:rsid w:val="00C16306"/>
    <w:rsid w:val="00C2403C"/>
    <w:rsid w:val="00C264AB"/>
    <w:rsid w:val="00C271B2"/>
    <w:rsid w:val="00C2749F"/>
    <w:rsid w:val="00C32D43"/>
    <w:rsid w:val="00C32EB7"/>
    <w:rsid w:val="00C33999"/>
    <w:rsid w:val="00C37D3A"/>
    <w:rsid w:val="00C41D05"/>
    <w:rsid w:val="00C450C2"/>
    <w:rsid w:val="00C46521"/>
    <w:rsid w:val="00C47787"/>
    <w:rsid w:val="00C503A4"/>
    <w:rsid w:val="00C52A48"/>
    <w:rsid w:val="00C53E74"/>
    <w:rsid w:val="00C55E9A"/>
    <w:rsid w:val="00C570DE"/>
    <w:rsid w:val="00C600A9"/>
    <w:rsid w:val="00C617EC"/>
    <w:rsid w:val="00C62A6A"/>
    <w:rsid w:val="00C63257"/>
    <w:rsid w:val="00C642E2"/>
    <w:rsid w:val="00C65228"/>
    <w:rsid w:val="00C65648"/>
    <w:rsid w:val="00C65E6E"/>
    <w:rsid w:val="00C66DCD"/>
    <w:rsid w:val="00C71468"/>
    <w:rsid w:val="00C730CE"/>
    <w:rsid w:val="00C7348F"/>
    <w:rsid w:val="00C746AC"/>
    <w:rsid w:val="00C77410"/>
    <w:rsid w:val="00C779DF"/>
    <w:rsid w:val="00C77C1E"/>
    <w:rsid w:val="00C77F02"/>
    <w:rsid w:val="00C81C24"/>
    <w:rsid w:val="00C821A0"/>
    <w:rsid w:val="00C84389"/>
    <w:rsid w:val="00C84DB9"/>
    <w:rsid w:val="00C92722"/>
    <w:rsid w:val="00C92CE5"/>
    <w:rsid w:val="00C9456D"/>
    <w:rsid w:val="00C94647"/>
    <w:rsid w:val="00C951F2"/>
    <w:rsid w:val="00C969DA"/>
    <w:rsid w:val="00CA1BCC"/>
    <w:rsid w:val="00CA1C66"/>
    <w:rsid w:val="00CA396F"/>
    <w:rsid w:val="00CA5B16"/>
    <w:rsid w:val="00CA5E50"/>
    <w:rsid w:val="00CA7D72"/>
    <w:rsid w:val="00CB2D0F"/>
    <w:rsid w:val="00CB6B70"/>
    <w:rsid w:val="00CB71BB"/>
    <w:rsid w:val="00CB7D01"/>
    <w:rsid w:val="00CC0209"/>
    <w:rsid w:val="00CC13CE"/>
    <w:rsid w:val="00CC56BB"/>
    <w:rsid w:val="00CC77F7"/>
    <w:rsid w:val="00CD0765"/>
    <w:rsid w:val="00CD196B"/>
    <w:rsid w:val="00CD1A40"/>
    <w:rsid w:val="00CD1D36"/>
    <w:rsid w:val="00CD3931"/>
    <w:rsid w:val="00CD447F"/>
    <w:rsid w:val="00CD4B73"/>
    <w:rsid w:val="00CD4DCD"/>
    <w:rsid w:val="00CD5CA2"/>
    <w:rsid w:val="00CD7487"/>
    <w:rsid w:val="00CE0FE5"/>
    <w:rsid w:val="00CE35E5"/>
    <w:rsid w:val="00CE3628"/>
    <w:rsid w:val="00CE5E50"/>
    <w:rsid w:val="00CF1ACE"/>
    <w:rsid w:val="00CF23D3"/>
    <w:rsid w:val="00CF24AA"/>
    <w:rsid w:val="00CF5C51"/>
    <w:rsid w:val="00CF67F2"/>
    <w:rsid w:val="00D00BE9"/>
    <w:rsid w:val="00D06E26"/>
    <w:rsid w:val="00D116BD"/>
    <w:rsid w:val="00D11BD4"/>
    <w:rsid w:val="00D1269D"/>
    <w:rsid w:val="00D12D20"/>
    <w:rsid w:val="00D1484E"/>
    <w:rsid w:val="00D16609"/>
    <w:rsid w:val="00D16652"/>
    <w:rsid w:val="00D16F1B"/>
    <w:rsid w:val="00D1777E"/>
    <w:rsid w:val="00D22D06"/>
    <w:rsid w:val="00D2787F"/>
    <w:rsid w:val="00D30FB9"/>
    <w:rsid w:val="00D31496"/>
    <w:rsid w:val="00D31641"/>
    <w:rsid w:val="00D34792"/>
    <w:rsid w:val="00D34969"/>
    <w:rsid w:val="00D42357"/>
    <w:rsid w:val="00D432CD"/>
    <w:rsid w:val="00D43FCD"/>
    <w:rsid w:val="00D46393"/>
    <w:rsid w:val="00D46D21"/>
    <w:rsid w:val="00D46EAF"/>
    <w:rsid w:val="00D472D6"/>
    <w:rsid w:val="00D5041A"/>
    <w:rsid w:val="00D50B8B"/>
    <w:rsid w:val="00D519C4"/>
    <w:rsid w:val="00D521A2"/>
    <w:rsid w:val="00D53342"/>
    <w:rsid w:val="00D54D84"/>
    <w:rsid w:val="00D55131"/>
    <w:rsid w:val="00D56CA8"/>
    <w:rsid w:val="00D60A99"/>
    <w:rsid w:val="00D6109E"/>
    <w:rsid w:val="00D6258D"/>
    <w:rsid w:val="00D649E7"/>
    <w:rsid w:val="00D6691B"/>
    <w:rsid w:val="00D66A08"/>
    <w:rsid w:val="00D67C70"/>
    <w:rsid w:val="00D75328"/>
    <w:rsid w:val="00D777E1"/>
    <w:rsid w:val="00D7783E"/>
    <w:rsid w:val="00D7784A"/>
    <w:rsid w:val="00D8067D"/>
    <w:rsid w:val="00D80C20"/>
    <w:rsid w:val="00D81047"/>
    <w:rsid w:val="00D823F1"/>
    <w:rsid w:val="00D84235"/>
    <w:rsid w:val="00D86BE2"/>
    <w:rsid w:val="00D873A6"/>
    <w:rsid w:val="00D877E4"/>
    <w:rsid w:val="00D90099"/>
    <w:rsid w:val="00D92EAF"/>
    <w:rsid w:val="00D93203"/>
    <w:rsid w:val="00D95C6A"/>
    <w:rsid w:val="00D97F10"/>
    <w:rsid w:val="00DA048F"/>
    <w:rsid w:val="00DA1548"/>
    <w:rsid w:val="00DA1775"/>
    <w:rsid w:val="00DA4709"/>
    <w:rsid w:val="00DA5C56"/>
    <w:rsid w:val="00DB0AA5"/>
    <w:rsid w:val="00DB284D"/>
    <w:rsid w:val="00DB2AEF"/>
    <w:rsid w:val="00DB6EA1"/>
    <w:rsid w:val="00DB72C0"/>
    <w:rsid w:val="00DC0419"/>
    <w:rsid w:val="00DC18F7"/>
    <w:rsid w:val="00DC4269"/>
    <w:rsid w:val="00DC5288"/>
    <w:rsid w:val="00DC702D"/>
    <w:rsid w:val="00DC7139"/>
    <w:rsid w:val="00DC7B1B"/>
    <w:rsid w:val="00DC7EA8"/>
    <w:rsid w:val="00DC7EC6"/>
    <w:rsid w:val="00DC7F9E"/>
    <w:rsid w:val="00DD12AC"/>
    <w:rsid w:val="00DD3956"/>
    <w:rsid w:val="00DD5DE2"/>
    <w:rsid w:val="00DD7CF4"/>
    <w:rsid w:val="00DE0A56"/>
    <w:rsid w:val="00DE12D1"/>
    <w:rsid w:val="00DE1C2F"/>
    <w:rsid w:val="00DE4C03"/>
    <w:rsid w:val="00DE4E2E"/>
    <w:rsid w:val="00DE52B7"/>
    <w:rsid w:val="00DE718F"/>
    <w:rsid w:val="00DE7BD9"/>
    <w:rsid w:val="00DE7CA1"/>
    <w:rsid w:val="00DF6BA1"/>
    <w:rsid w:val="00DF6C15"/>
    <w:rsid w:val="00DF77CF"/>
    <w:rsid w:val="00DF7D25"/>
    <w:rsid w:val="00E0502D"/>
    <w:rsid w:val="00E05129"/>
    <w:rsid w:val="00E056EA"/>
    <w:rsid w:val="00E0606C"/>
    <w:rsid w:val="00E10489"/>
    <w:rsid w:val="00E1065F"/>
    <w:rsid w:val="00E11DCA"/>
    <w:rsid w:val="00E13C42"/>
    <w:rsid w:val="00E145B7"/>
    <w:rsid w:val="00E244BC"/>
    <w:rsid w:val="00E24C24"/>
    <w:rsid w:val="00E25702"/>
    <w:rsid w:val="00E300D3"/>
    <w:rsid w:val="00E300F3"/>
    <w:rsid w:val="00E30E8E"/>
    <w:rsid w:val="00E33D52"/>
    <w:rsid w:val="00E342EE"/>
    <w:rsid w:val="00E34904"/>
    <w:rsid w:val="00E34905"/>
    <w:rsid w:val="00E37C9A"/>
    <w:rsid w:val="00E40DEB"/>
    <w:rsid w:val="00E43F74"/>
    <w:rsid w:val="00E44AC5"/>
    <w:rsid w:val="00E45758"/>
    <w:rsid w:val="00E50207"/>
    <w:rsid w:val="00E50803"/>
    <w:rsid w:val="00E55E0A"/>
    <w:rsid w:val="00E60213"/>
    <w:rsid w:val="00E7066A"/>
    <w:rsid w:val="00E7193F"/>
    <w:rsid w:val="00E71CBB"/>
    <w:rsid w:val="00E71E13"/>
    <w:rsid w:val="00E72BA6"/>
    <w:rsid w:val="00E735E6"/>
    <w:rsid w:val="00E83265"/>
    <w:rsid w:val="00E867C8"/>
    <w:rsid w:val="00E87352"/>
    <w:rsid w:val="00E949C3"/>
    <w:rsid w:val="00E950C2"/>
    <w:rsid w:val="00E9603B"/>
    <w:rsid w:val="00E961C0"/>
    <w:rsid w:val="00E96ECE"/>
    <w:rsid w:val="00E978DF"/>
    <w:rsid w:val="00EA21F5"/>
    <w:rsid w:val="00EA3142"/>
    <w:rsid w:val="00EA3A64"/>
    <w:rsid w:val="00EA3F16"/>
    <w:rsid w:val="00EA7128"/>
    <w:rsid w:val="00EA7A6E"/>
    <w:rsid w:val="00EB0D1B"/>
    <w:rsid w:val="00EB18DF"/>
    <w:rsid w:val="00EB517D"/>
    <w:rsid w:val="00EB56EC"/>
    <w:rsid w:val="00EB5CEB"/>
    <w:rsid w:val="00EB7CFB"/>
    <w:rsid w:val="00EC44B4"/>
    <w:rsid w:val="00EC4DE1"/>
    <w:rsid w:val="00EC5AA1"/>
    <w:rsid w:val="00ED0CCD"/>
    <w:rsid w:val="00ED179F"/>
    <w:rsid w:val="00ED2811"/>
    <w:rsid w:val="00ED5950"/>
    <w:rsid w:val="00ED64AC"/>
    <w:rsid w:val="00ED79E7"/>
    <w:rsid w:val="00EE2C6E"/>
    <w:rsid w:val="00EE3F6A"/>
    <w:rsid w:val="00EE61D9"/>
    <w:rsid w:val="00EE648E"/>
    <w:rsid w:val="00EE67FF"/>
    <w:rsid w:val="00EE6BB2"/>
    <w:rsid w:val="00EF1713"/>
    <w:rsid w:val="00EF195F"/>
    <w:rsid w:val="00EF2CD8"/>
    <w:rsid w:val="00EF315C"/>
    <w:rsid w:val="00EF338E"/>
    <w:rsid w:val="00EF3DE4"/>
    <w:rsid w:val="00EF509C"/>
    <w:rsid w:val="00EF5281"/>
    <w:rsid w:val="00EF5B50"/>
    <w:rsid w:val="00EF637F"/>
    <w:rsid w:val="00EF679E"/>
    <w:rsid w:val="00EF7C7A"/>
    <w:rsid w:val="00F0073B"/>
    <w:rsid w:val="00F00A71"/>
    <w:rsid w:val="00F012E3"/>
    <w:rsid w:val="00F029D8"/>
    <w:rsid w:val="00F03D12"/>
    <w:rsid w:val="00F04C10"/>
    <w:rsid w:val="00F0545B"/>
    <w:rsid w:val="00F05CC2"/>
    <w:rsid w:val="00F05F9E"/>
    <w:rsid w:val="00F0612E"/>
    <w:rsid w:val="00F071E7"/>
    <w:rsid w:val="00F1065D"/>
    <w:rsid w:val="00F10EE0"/>
    <w:rsid w:val="00F12EBE"/>
    <w:rsid w:val="00F12F97"/>
    <w:rsid w:val="00F14DBB"/>
    <w:rsid w:val="00F16325"/>
    <w:rsid w:val="00F218B4"/>
    <w:rsid w:val="00F24B98"/>
    <w:rsid w:val="00F26802"/>
    <w:rsid w:val="00F26DAE"/>
    <w:rsid w:val="00F27547"/>
    <w:rsid w:val="00F27C96"/>
    <w:rsid w:val="00F308F0"/>
    <w:rsid w:val="00F46C7C"/>
    <w:rsid w:val="00F4791E"/>
    <w:rsid w:val="00F50357"/>
    <w:rsid w:val="00F538A8"/>
    <w:rsid w:val="00F55E37"/>
    <w:rsid w:val="00F56538"/>
    <w:rsid w:val="00F56659"/>
    <w:rsid w:val="00F57CBE"/>
    <w:rsid w:val="00F57EDB"/>
    <w:rsid w:val="00F61A3B"/>
    <w:rsid w:val="00F71915"/>
    <w:rsid w:val="00F72FE9"/>
    <w:rsid w:val="00F74380"/>
    <w:rsid w:val="00F76912"/>
    <w:rsid w:val="00F7795A"/>
    <w:rsid w:val="00F77A1B"/>
    <w:rsid w:val="00F77AFE"/>
    <w:rsid w:val="00F84761"/>
    <w:rsid w:val="00F847DE"/>
    <w:rsid w:val="00F85AE3"/>
    <w:rsid w:val="00F866A6"/>
    <w:rsid w:val="00F86F9E"/>
    <w:rsid w:val="00F87629"/>
    <w:rsid w:val="00F949D3"/>
    <w:rsid w:val="00FA04AC"/>
    <w:rsid w:val="00FA0748"/>
    <w:rsid w:val="00FA0E23"/>
    <w:rsid w:val="00FA1888"/>
    <w:rsid w:val="00FA1AC6"/>
    <w:rsid w:val="00FA37C5"/>
    <w:rsid w:val="00FA3B61"/>
    <w:rsid w:val="00FA40E0"/>
    <w:rsid w:val="00FA64EB"/>
    <w:rsid w:val="00FA7409"/>
    <w:rsid w:val="00FB103B"/>
    <w:rsid w:val="00FB2AD9"/>
    <w:rsid w:val="00FB35AD"/>
    <w:rsid w:val="00FB3E05"/>
    <w:rsid w:val="00FB4245"/>
    <w:rsid w:val="00FB7964"/>
    <w:rsid w:val="00FC216B"/>
    <w:rsid w:val="00FC2B34"/>
    <w:rsid w:val="00FC45AD"/>
    <w:rsid w:val="00FC46CF"/>
    <w:rsid w:val="00FC5D32"/>
    <w:rsid w:val="00FC713A"/>
    <w:rsid w:val="00FD26AC"/>
    <w:rsid w:val="00FD47A2"/>
    <w:rsid w:val="00FD4C50"/>
    <w:rsid w:val="00FD5EED"/>
    <w:rsid w:val="00FD6908"/>
    <w:rsid w:val="00FE118B"/>
    <w:rsid w:val="00FE19A2"/>
    <w:rsid w:val="00FE2557"/>
    <w:rsid w:val="00FE2EF0"/>
    <w:rsid w:val="00FE4085"/>
    <w:rsid w:val="00FE6951"/>
    <w:rsid w:val="00FE69D5"/>
    <w:rsid w:val="00FE79F3"/>
    <w:rsid w:val="00FF0B97"/>
    <w:rsid w:val="00FF0CE8"/>
    <w:rsid w:val="00FF1356"/>
    <w:rsid w:val="00FF3035"/>
    <w:rsid w:val="00FF6FF6"/>
    <w:rsid w:val="00FF7195"/>
    <w:rsid w:val="00FF7BF7"/>
    <w:rsid w:val="00FF7D73"/>
    <w:rsid w:val="00FF7F74"/>
    <w:rsid w:val="086A6259"/>
    <w:rsid w:val="0BF873AE"/>
    <w:rsid w:val="135E1B2C"/>
    <w:rsid w:val="184602AC"/>
    <w:rsid w:val="1A7D34DD"/>
    <w:rsid w:val="1A960192"/>
    <w:rsid w:val="22796B9E"/>
    <w:rsid w:val="23767606"/>
    <w:rsid w:val="29E231D7"/>
    <w:rsid w:val="2BD22704"/>
    <w:rsid w:val="36A267C1"/>
    <w:rsid w:val="46781CD5"/>
    <w:rsid w:val="49B63867"/>
    <w:rsid w:val="50935FF2"/>
    <w:rsid w:val="5F66131F"/>
    <w:rsid w:val="600914DC"/>
    <w:rsid w:val="61851AB4"/>
    <w:rsid w:val="62266CE7"/>
    <w:rsid w:val="635E3296"/>
    <w:rsid w:val="69236745"/>
    <w:rsid w:val="729D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outlineLvl w:val="0"/>
    </w:pPr>
    <w:rPr>
      <w:rFonts w:eastAsia="黑体"/>
      <w:b/>
      <w:bCs/>
      <w:kern w:val="44"/>
      <w:sz w:val="32"/>
      <w:szCs w:val="44"/>
    </w:rPr>
  </w:style>
  <w:style w:type="paragraph" w:styleId="2">
    <w:name w:val="heading 2"/>
    <w:basedOn w:val="1"/>
    <w:next w:val="3"/>
    <w:link w:val="35"/>
    <w:unhideWhenUsed/>
    <w:qFormat/>
    <w:uiPriority w:val="9"/>
    <w:pPr>
      <w:keepNext/>
      <w:keepLines/>
      <w:spacing w:before="260" w:after="260" w:line="560" w:lineRule="exact"/>
      <w:ind w:firstLine="643" w:firstLineChars="200"/>
      <w:outlineLvl w:val="1"/>
    </w:pPr>
    <w:rPr>
      <w:rFonts w:eastAsia="黑体" w:asciiTheme="majorHAnsi" w:hAnsiTheme="majorHAnsi" w:cstheme="majorBidi"/>
      <w:bCs/>
      <w:sz w:val="32"/>
      <w:szCs w:val="32"/>
    </w:rPr>
  </w:style>
  <w:style w:type="paragraph" w:styleId="5">
    <w:name w:val="heading 3"/>
    <w:basedOn w:val="1"/>
    <w:next w:val="1"/>
    <w:link w:val="25"/>
    <w:qFormat/>
    <w:uiPriority w:val="0"/>
    <w:pPr>
      <w:keepNext/>
      <w:keepLines/>
      <w:spacing w:before="260" w:after="260" w:line="416" w:lineRule="auto"/>
      <w:outlineLvl w:val="2"/>
    </w:pPr>
    <w:rPr>
      <w:rFonts w:ascii="Times New Roman" w:hAnsi="Times New Roman" w:eastAsia="楷体" w:cs="Times New Roman"/>
      <w:bCs/>
      <w:sz w:val="32"/>
      <w:szCs w:val="32"/>
    </w:rPr>
  </w:style>
  <w:style w:type="paragraph" w:styleId="6">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7">
    <w:name w:val="annotation text"/>
    <w:basedOn w:val="1"/>
    <w:link w:val="26"/>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Date"/>
    <w:basedOn w:val="1"/>
    <w:next w:val="1"/>
    <w:link w:val="37"/>
    <w:unhideWhenUsed/>
    <w:qFormat/>
    <w:uiPriority w:val="0"/>
    <w:pPr>
      <w:spacing w:line="360" w:lineRule="auto"/>
      <w:ind w:left="100" w:leftChars="2500" w:firstLine="200" w:firstLineChars="200"/>
    </w:pPr>
    <w:rPr>
      <w:rFonts w:ascii="Times New Roman" w:hAnsi="Times New Roman" w:eastAsia="楷体" w:cs="Times New Roman"/>
      <w:sz w:val="24"/>
      <w:szCs w:val="20"/>
    </w:rPr>
  </w:style>
  <w:style w:type="paragraph" w:styleId="10">
    <w:name w:val="Balloon Text"/>
    <w:basedOn w:val="1"/>
    <w:link w:val="28"/>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060"/>
      </w:tabs>
      <w:spacing w:line="276" w:lineRule="auto"/>
    </w:pPr>
    <w:rPr>
      <w:b/>
    </w:rPr>
  </w:style>
  <w:style w:type="paragraph" w:styleId="14">
    <w:name w:val="toc 2"/>
    <w:basedOn w:val="1"/>
    <w:next w:val="1"/>
    <w:unhideWhenUsed/>
    <w:qFormat/>
    <w:uiPriority w:val="39"/>
    <w:pPr>
      <w:ind w:left="420" w:leftChars="200"/>
    </w:pPr>
  </w:style>
  <w:style w:type="paragraph" w:styleId="15">
    <w:name w:val="Title"/>
    <w:basedOn w:val="1"/>
    <w:next w:val="1"/>
    <w:link w:val="36"/>
    <w:qFormat/>
    <w:uiPriority w:val="10"/>
    <w:pPr>
      <w:spacing w:before="240" w:after="60" w:line="360" w:lineRule="auto"/>
      <w:ind w:firstLine="200" w:firstLineChars="200"/>
      <w:jc w:val="center"/>
      <w:outlineLvl w:val="0"/>
    </w:pPr>
    <w:rPr>
      <w:rFonts w:ascii="Cambria" w:hAnsi="Cambria" w:eastAsia="楷体" w:cs="Times New Roman"/>
      <w:b/>
      <w:sz w:val="36"/>
      <w:szCs w:val="20"/>
    </w:rPr>
  </w:style>
  <w:style w:type="paragraph" w:styleId="16">
    <w:name w:val="annotation subject"/>
    <w:basedOn w:val="7"/>
    <w:next w:val="7"/>
    <w:link w:val="27"/>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character" w:customStyle="1" w:styleId="23">
    <w:name w:val="页眉 Char"/>
    <w:basedOn w:val="19"/>
    <w:link w:val="12"/>
    <w:qFormat/>
    <w:uiPriority w:val="99"/>
    <w:rPr>
      <w:sz w:val="18"/>
      <w:szCs w:val="18"/>
    </w:rPr>
  </w:style>
  <w:style w:type="character" w:customStyle="1" w:styleId="24">
    <w:name w:val="页脚 Char"/>
    <w:basedOn w:val="19"/>
    <w:link w:val="11"/>
    <w:qFormat/>
    <w:uiPriority w:val="99"/>
    <w:rPr>
      <w:sz w:val="18"/>
      <w:szCs w:val="18"/>
    </w:rPr>
  </w:style>
  <w:style w:type="character" w:customStyle="1" w:styleId="25">
    <w:name w:val="标题 3 Char"/>
    <w:basedOn w:val="19"/>
    <w:link w:val="5"/>
    <w:qFormat/>
    <w:uiPriority w:val="0"/>
    <w:rPr>
      <w:rFonts w:ascii="Times New Roman" w:hAnsi="Times New Roman" w:eastAsia="楷体" w:cs="Times New Roman"/>
      <w:bCs/>
      <w:sz w:val="32"/>
      <w:szCs w:val="32"/>
    </w:rPr>
  </w:style>
  <w:style w:type="character" w:customStyle="1" w:styleId="26">
    <w:name w:val="批注文字 Char"/>
    <w:basedOn w:val="19"/>
    <w:link w:val="7"/>
    <w:qFormat/>
    <w:uiPriority w:val="99"/>
  </w:style>
  <w:style w:type="character" w:customStyle="1" w:styleId="27">
    <w:name w:val="批注主题 Char"/>
    <w:basedOn w:val="26"/>
    <w:link w:val="16"/>
    <w:semiHidden/>
    <w:qFormat/>
    <w:uiPriority w:val="99"/>
    <w:rPr>
      <w:b/>
      <w:bCs/>
    </w:rPr>
  </w:style>
  <w:style w:type="character" w:customStyle="1" w:styleId="28">
    <w:name w:val="批注框文本 Char"/>
    <w:basedOn w:val="19"/>
    <w:link w:val="10"/>
    <w:semiHidden/>
    <w:qFormat/>
    <w:uiPriority w:val="99"/>
    <w:rPr>
      <w:sz w:val="18"/>
      <w:szCs w:val="18"/>
    </w:rPr>
  </w:style>
  <w:style w:type="character" w:customStyle="1" w:styleId="29">
    <w:name w:val="标题 4 Char"/>
    <w:basedOn w:val="19"/>
    <w:link w:val="6"/>
    <w:qFormat/>
    <w:uiPriority w:val="9"/>
    <w:rPr>
      <w:rFonts w:asciiTheme="majorHAnsi" w:hAnsiTheme="majorHAnsi" w:eastAsiaTheme="majorEastAsia" w:cstheme="majorBidi"/>
      <w:b/>
      <w:bCs/>
      <w:sz w:val="28"/>
      <w:szCs w:val="28"/>
    </w:rPr>
  </w:style>
  <w:style w:type="paragraph" w:styleId="30">
    <w:name w:val="List Paragraph"/>
    <w:basedOn w:val="1"/>
    <w:link w:val="31"/>
    <w:qFormat/>
    <w:uiPriority w:val="34"/>
    <w:pPr>
      <w:ind w:firstLine="420" w:firstLineChars="200"/>
    </w:pPr>
  </w:style>
  <w:style w:type="character" w:customStyle="1" w:styleId="31">
    <w:name w:val="列出段落 Char"/>
    <w:link w:val="30"/>
    <w:qFormat/>
    <w:uiPriority w:val="34"/>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标题 1 Char"/>
    <w:basedOn w:val="19"/>
    <w:link w:val="4"/>
    <w:qFormat/>
    <w:uiPriority w:val="9"/>
    <w:rPr>
      <w:rFonts w:eastAsia="黑体"/>
      <w:b/>
      <w:bCs/>
      <w:kern w:val="44"/>
      <w:sz w:val="32"/>
      <w:szCs w:val="44"/>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2 Char"/>
    <w:basedOn w:val="19"/>
    <w:link w:val="2"/>
    <w:qFormat/>
    <w:uiPriority w:val="9"/>
    <w:rPr>
      <w:rFonts w:eastAsia="黑体" w:asciiTheme="majorHAnsi" w:hAnsiTheme="majorHAnsi" w:cstheme="majorBidi"/>
      <w:bCs/>
      <w:sz w:val="32"/>
      <w:szCs w:val="32"/>
    </w:rPr>
  </w:style>
  <w:style w:type="character" w:customStyle="1" w:styleId="36">
    <w:name w:val="标题 Char"/>
    <w:basedOn w:val="19"/>
    <w:link w:val="15"/>
    <w:qFormat/>
    <w:uiPriority w:val="10"/>
    <w:rPr>
      <w:rFonts w:ascii="Cambria" w:hAnsi="Cambria" w:eastAsia="楷体" w:cs="Times New Roman"/>
      <w:b/>
      <w:sz w:val="36"/>
      <w:szCs w:val="20"/>
    </w:rPr>
  </w:style>
  <w:style w:type="character" w:customStyle="1" w:styleId="37">
    <w:name w:val="日期 Char"/>
    <w:basedOn w:val="19"/>
    <w:link w:val="9"/>
    <w:qFormat/>
    <w:uiPriority w:val="0"/>
    <w:rPr>
      <w:rFonts w:ascii="Times New Roman" w:hAnsi="Times New Roman" w:eastAsia="楷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52EE3-E3C0-431D-825C-F92CE44EC285}">
  <ds:schemaRefs/>
</ds:datastoreItem>
</file>

<file path=customXml/itemProps2.xml><?xml version="1.0" encoding="utf-8"?>
<ds:datastoreItem xmlns:ds="http://schemas.openxmlformats.org/officeDocument/2006/customXml" ds:itemID="{6C3140BA-A9DD-4097-B0FB-854902D746B8}">
  <ds:schemaRefs/>
</ds:datastoreItem>
</file>

<file path=customXml/itemProps3.xml><?xml version="1.0" encoding="utf-8"?>
<ds:datastoreItem xmlns:ds="http://schemas.openxmlformats.org/officeDocument/2006/customXml" ds:itemID="{A206E3E8-9F0B-4382-9844-1B21C86762C7}">
  <ds:schemaRefs/>
</ds:datastoreItem>
</file>

<file path=customXml/itemProps4.xml><?xml version="1.0" encoding="utf-8"?>
<ds:datastoreItem xmlns:ds="http://schemas.openxmlformats.org/officeDocument/2006/customXml" ds:itemID="{DB6E9B19-344F-4059-A1A6-BE748E98EFCD}">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3007</Words>
  <Characters>17141</Characters>
  <Lines>142</Lines>
  <Paragraphs>40</Paragraphs>
  <TotalTime>24</TotalTime>
  <ScaleCrop>false</ScaleCrop>
  <LinksUpToDate>false</LinksUpToDate>
  <CharactersWithSpaces>20108</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2021-01-26T07:47:00Z</dcterms:created>
  <dc:creator>王先超[xcwang]</dc:creator>
  <cp:lastModifiedBy>辛雅婷</cp:lastModifiedBy>
  <dcterms:modified xsi:type="dcterms:W3CDTF">2025-12-31T09:52:52Z</dcterms:modified>
  <cp:revision>2191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y fmtid="{D5CDD505-2E9C-101B-9397-08002B2CF9AE}" pid="3" name="KSOProductBuildVer">
    <vt:lpwstr>2052-11.8.0.17013</vt:lpwstr>
  </property>
  <property fmtid="{D5CDD505-2E9C-101B-9397-08002B2CF9AE}" pid="4" name="ICV">
    <vt:lpwstr>D9561E53070B46AE9F53BFD21B39344D</vt:lpwstr>
  </property>
</Properties>
</file>