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933E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21761AB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0E2335A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6DFB029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19C639D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16212F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1599B93E">
      <w:pPr>
        <w:spacing w:line="560" w:lineRule="exact"/>
        <w:ind w:firstLine="0" w:firstLineChars="0"/>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kern w:val="0"/>
          <w:sz w:val="44"/>
          <w:szCs w:val="44"/>
          <w:highlight w:val="none"/>
        </w:rPr>
        <w:t>上海证券交易所</w:t>
      </w:r>
      <w:r>
        <w:rPr>
          <w:rFonts w:hint="eastAsia" w:ascii="Times New Roman" w:hAnsi="Times New Roman" w:eastAsia="方正大标宋简体" w:cs="Times New Roman"/>
          <w:bCs/>
          <w:kern w:val="0"/>
          <w:sz w:val="44"/>
          <w:szCs w:val="44"/>
          <w:highlight w:val="none"/>
          <w:lang w:eastAsia="zh-CN"/>
        </w:rPr>
        <w:t>科创板</w:t>
      </w:r>
      <w:r>
        <w:rPr>
          <w:rFonts w:hint="default" w:ascii="Times New Roman" w:hAnsi="Times New Roman" w:eastAsia="方正大标宋简体" w:cs="Times New Roman"/>
          <w:bCs/>
          <w:kern w:val="0"/>
          <w:sz w:val="44"/>
          <w:szCs w:val="44"/>
          <w:highlight w:val="none"/>
        </w:rPr>
        <w:t>上市公司自律监管指南第</w:t>
      </w:r>
      <w:r>
        <w:rPr>
          <w:rFonts w:hint="eastAsia" w:ascii="Times New Roman" w:hAnsi="Times New Roman" w:eastAsia="方正大标宋简体" w:cs="Times New Roman"/>
          <w:bCs/>
          <w:kern w:val="0"/>
          <w:sz w:val="44"/>
          <w:szCs w:val="44"/>
          <w:highlight w:val="none"/>
          <w:lang w:val="en-US" w:eastAsia="zh-CN"/>
        </w:rPr>
        <w:t>13</w:t>
      </w:r>
      <w:r>
        <w:rPr>
          <w:rFonts w:hint="default" w:ascii="Times New Roman" w:hAnsi="Times New Roman" w:eastAsia="方正大标宋简体" w:cs="Times New Roman"/>
          <w:bCs/>
          <w:kern w:val="0"/>
          <w:sz w:val="44"/>
          <w:szCs w:val="44"/>
          <w:highlight w:val="none"/>
        </w:rPr>
        <w:t>号——可持续发展报告编制</w:t>
      </w:r>
    </w:p>
    <w:p w14:paraId="0D2A50D0">
      <w:pPr>
        <w:adjustRightInd w:val="0"/>
        <w:snapToGrid w:val="0"/>
        <w:spacing w:line="560" w:lineRule="exact"/>
        <w:jc w:val="center"/>
        <w:rPr>
          <w:rFonts w:ascii="Times New Roman" w:hAnsi="Times New Roman" w:eastAsia="黑体" w:cs="Times New Roman"/>
          <w:b/>
          <w:bCs/>
          <w:sz w:val="36"/>
          <w:szCs w:val="36"/>
          <w:highlight w:val="none"/>
          <w14:ligatures w14:val="standardContextual"/>
        </w:rPr>
      </w:pPr>
    </w:p>
    <w:p w14:paraId="2B6AFBB4">
      <w:pPr>
        <w:adjustRightInd w:val="0"/>
        <w:snapToGrid w:val="0"/>
        <w:spacing w:line="560" w:lineRule="exact"/>
        <w:jc w:val="center"/>
        <w:rPr>
          <w:rFonts w:ascii="Times New Roman" w:hAnsi="Times New Roman" w:eastAsia="黑体" w:cs="Times New Roman"/>
          <w:b/>
          <w:bCs/>
          <w:sz w:val="36"/>
          <w:szCs w:val="36"/>
          <w:highlight w:val="none"/>
          <w14:ligatures w14:val="standardContextual"/>
        </w:rPr>
      </w:pPr>
    </w:p>
    <w:p w14:paraId="613C9B1F">
      <w:pPr>
        <w:adjustRightInd w:val="0"/>
        <w:snapToGrid w:val="0"/>
        <w:spacing w:line="560" w:lineRule="exact"/>
        <w:jc w:val="center"/>
        <w:rPr>
          <w:rFonts w:ascii="Times New Roman" w:hAnsi="Times New Roman" w:eastAsia="黑体" w:cs="Times New Roman"/>
          <w:b/>
          <w:bCs/>
          <w:sz w:val="36"/>
          <w:szCs w:val="36"/>
          <w:highlight w:val="none"/>
          <w14:ligatures w14:val="standardContextual"/>
        </w:rPr>
      </w:pPr>
    </w:p>
    <w:p w14:paraId="4246EE73">
      <w:pPr>
        <w:spacing w:line="560" w:lineRule="exact"/>
        <w:ind w:firstLine="0" w:firstLineChars="0"/>
        <w:jc w:val="center"/>
        <w:rPr>
          <w:rFonts w:ascii="Times New Roman" w:hAnsi="Times New Roman" w:eastAsia="黑体" w:cs="Times New Roman"/>
          <w:b/>
          <w:bCs/>
          <w:sz w:val="36"/>
          <w:szCs w:val="36"/>
          <w:highlight w:val="none"/>
        </w:rPr>
      </w:pPr>
      <w:r>
        <w:rPr>
          <w:rFonts w:hint="eastAsia" w:ascii="Times New Roman" w:hAnsi="Times New Roman" w:eastAsia="黑体" w:cs="Times New Roman"/>
          <w:b/>
          <w:bCs/>
          <w:sz w:val="36"/>
          <w:szCs w:val="36"/>
          <w:highlight w:val="none"/>
        </w:rPr>
        <w:t>第五号</w:t>
      </w:r>
      <w:r>
        <w:rPr>
          <w:rFonts w:ascii="Times New Roman" w:hAnsi="Times New Roman" w:eastAsia="黑体" w:cs="Times New Roman"/>
          <w:b/>
          <w:bCs/>
          <w:sz w:val="36"/>
          <w:szCs w:val="36"/>
          <w:highlight w:val="none"/>
        </w:rPr>
        <w:t xml:space="preserve"> </w:t>
      </w:r>
      <w:r>
        <w:rPr>
          <w:rFonts w:hint="eastAsia" w:ascii="Times New Roman" w:hAnsi="Times New Roman" w:eastAsia="黑体" w:cs="Times New Roman"/>
          <w:b/>
          <w:bCs/>
          <w:sz w:val="36"/>
          <w:szCs w:val="36"/>
          <w:highlight w:val="none"/>
        </w:rPr>
        <w:t>水资源利用</w:t>
      </w:r>
    </w:p>
    <w:p w14:paraId="145BBF19">
      <w:pPr>
        <w:adjustRightInd w:val="0"/>
        <w:snapToGrid w:val="0"/>
        <w:spacing w:line="560" w:lineRule="exact"/>
        <w:ind w:firstLine="643" w:firstLineChars="200"/>
        <w:jc w:val="center"/>
        <w:rPr>
          <w:rFonts w:ascii="仿宋" w:hAnsi="minorHAnsi" w:eastAsia="仿宋" w:cs="Times New Roman"/>
          <w:b/>
          <w:bCs/>
          <w:sz w:val="32"/>
          <w:highlight w:val="none"/>
          <w:lang w:val="zh-CN"/>
          <w14:ligatures w14:val="standardContextual"/>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cols w:space="425" w:num="1"/>
          <w:titlePg/>
          <w:docGrid w:type="lines" w:linePitch="435" w:charSpace="0"/>
        </w:sectPr>
      </w:pPr>
    </w:p>
    <w:sdt>
      <w:sdtPr>
        <w:rPr>
          <w:rFonts w:ascii="仿宋" w:hAnsi="minorHAnsi" w:eastAsia="仿宋" w:cs="Times New Roman"/>
          <w:b/>
          <w:bCs/>
          <w:sz w:val="32"/>
          <w:highlight w:val="none"/>
          <w:lang w:val="zh-CN"/>
          <w14:ligatures w14:val="standardContextual"/>
        </w:rPr>
        <w:id w:val="147463795"/>
        <w:docPartObj>
          <w:docPartGallery w:val="Table of Contents"/>
          <w:docPartUnique/>
        </w:docPartObj>
      </w:sdtPr>
      <w:sdtEndPr>
        <w:rPr>
          <w:rFonts w:ascii="仿宋" w:hAnsi="minorHAnsi" w:eastAsia="仿宋" w:cs="Times New Roman"/>
          <w:b/>
          <w:bCs/>
          <w:sz w:val="32"/>
          <w:highlight w:val="none"/>
          <w:lang w:val="zh-CN"/>
          <w14:ligatures w14:val="standardContextual"/>
        </w:rPr>
      </w:sdtEndPr>
      <w:sdtContent>
        <w:p w14:paraId="40BC2C8E">
          <w:pPr>
            <w:adjustRightInd w:val="0"/>
            <w:snapToGrid w:val="0"/>
            <w:spacing w:line="560" w:lineRule="exact"/>
            <w:ind w:firstLine="643" w:firstLineChars="200"/>
            <w:jc w:val="center"/>
            <w:rPr>
              <w:rFonts w:ascii="等线 Light" w:hAnsi="等线 Light" w:eastAsia="黑体" w:cs="Times New Roman"/>
              <w:b/>
              <w:bCs/>
              <w:szCs w:val="30"/>
              <w:highlight w:val="none"/>
            </w:rPr>
          </w:pPr>
          <w:r>
            <w:rPr>
              <w:rFonts w:ascii="等线 Light" w:hAnsi="等线 Light" w:eastAsia="黑体" w:cs="Times New Roman"/>
              <w:b/>
              <w:bCs/>
              <w:szCs w:val="30"/>
              <w:highlight w:val="none"/>
            </w:rPr>
            <w:t>目</w:t>
          </w:r>
          <w:r>
            <w:rPr>
              <w:rFonts w:ascii="黑体" w:hAnsi="黑体" w:eastAsia="黑体" w:cs="黑体"/>
              <w:b/>
              <w:bCs/>
              <w:kern w:val="0"/>
              <w:sz w:val="32"/>
              <w:szCs w:val="30"/>
              <w:highlight w:val="none"/>
            </w:rPr>
            <w:t xml:space="preserve">  </w:t>
          </w:r>
          <w:r>
            <w:rPr>
              <w:rFonts w:ascii="等线 Light" w:hAnsi="等线 Light" w:eastAsia="黑体" w:cs="Times New Roman"/>
              <w:b/>
              <w:bCs/>
              <w:szCs w:val="30"/>
              <w:highlight w:val="none"/>
            </w:rPr>
            <w:t>录</w:t>
          </w:r>
        </w:p>
        <w:p w14:paraId="0571FFA3">
          <w:pPr>
            <w:adjustRightInd w:val="0"/>
            <w:snapToGrid w:val="0"/>
            <w:spacing w:line="560" w:lineRule="exact"/>
            <w:ind w:firstLine="440" w:firstLineChars="200"/>
            <w:jc w:val="center"/>
            <w:rPr>
              <w:sz w:val="20"/>
              <w:szCs w:val="20"/>
              <w:highlight w:val="none"/>
            </w:rPr>
          </w:pPr>
          <w:r>
            <w:rPr>
              <w:rFonts w:ascii="等线" w:hAnsi="等线" w:eastAsia="等线" w:cs="Times New Roman"/>
              <w:kern w:val="0"/>
              <w:sz w:val="22"/>
              <w:highlight w:val="none"/>
              <w14:ligatures w14:val="standardContextual"/>
            </w:rPr>
            <w:fldChar w:fldCharType="begin"/>
          </w:r>
          <w:r>
            <w:rPr>
              <w:rFonts w:ascii="等线" w:hAnsi="等线" w:eastAsia="等线" w:cs="Times New Roman"/>
              <w:kern w:val="0"/>
              <w:sz w:val="22"/>
              <w:highlight w:val="none"/>
              <w14:ligatures w14:val="standardContextual"/>
            </w:rPr>
            <w:instrText xml:space="preserve"> TOC \o "1-3" \h \z \u </w:instrText>
          </w:r>
          <w:r>
            <w:rPr>
              <w:rFonts w:ascii="等线" w:hAnsi="等线" w:eastAsia="等线" w:cs="Times New Roman"/>
              <w:kern w:val="0"/>
              <w:sz w:val="22"/>
              <w:highlight w:val="none"/>
              <w14:ligatures w14:val="standardContextual"/>
            </w:rPr>
            <w:fldChar w:fldCharType="separate"/>
          </w:r>
        </w:p>
        <w:p w14:paraId="5F8D43AA">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bCs/>
              <w:sz w:val="20"/>
              <w:szCs w:val="20"/>
              <w:highlight w:val="none"/>
              <w:lang w:val="zh-CN"/>
              <w14:ligatures w14:val="standardContextual"/>
            </w:rPr>
            <w:fldChar w:fldCharType="begin"/>
          </w:r>
          <w:r>
            <w:rPr>
              <w:rFonts w:hint="eastAsia" w:ascii="黑体" w:hAnsi="黑体" w:eastAsia="黑体" w:cs="黑体"/>
              <w:b/>
              <w:bCs/>
              <w:sz w:val="20"/>
              <w:szCs w:val="20"/>
              <w:highlight w:val="none"/>
              <w:lang w:val="zh-CN"/>
              <w14:ligatures w14:val="standardContextual"/>
            </w:rPr>
            <w:instrText xml:space="preserve"> HYPERLINK \l _Toc174132909 </w:instrText>
          </w:r>
          <w:r>
            <w:rPr>
              <w:rFonts w:hint="eastAsia" w:ascii="黑体" w:hAnsi="黑体" w:eastAsia="黑体" w:cs="黑体"/>
              <w:b/>
              <w:bCs/>
              <w:sz w:val="20"/>
              <w:szCs w:val="20"/>
              <w:highlight w:val="none"/>
              <w:lang w:val="zh-CN"/>
              <w14:ligatures w14:val="standardContextual"/>
            </w:rPr>
            <w:fldChar w:fldCharType="separate"/>
          </w:r>
          <w:r>
            <w:rPr>
              <w:rFonts w:hint="eastAsia" w:ascii="黑体" w:hAnsi="黑体" w:eastAsia="黑体" w:cs="黑体"/>
              <w:b/>
              <w:bCs/>
              <w:sz w:val="20"/>
              <w:szCs w:val="20"/>
              <w:highlight w:val="none"/>
            </w:rPr>
            <w:t>第一章 水资源相关风险和机遇评估</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_Toc174132909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1</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lang w:val="zh-CN"/>
              <w14:ligatures w14:val="standardContextual"/>
            </w:rPr>
            <w:fldChar w:fldCharType="end"/>
          </w:r>
        </w:p>
        <w:p w14:paraId="44E88263">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val="0"/>
              <w:bCs w:val="0"/>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_Toc1588895852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一、水资源风险和机遇</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_Toc1588895852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1</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58D4C46B">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_Toc72485464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14:ligatures w14:val="standardContextual"/>
            </w:rPr>
            <w:t>二、水资源相关风险和机遇的财务影响</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_Toc72485464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5</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349DAFED">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bCs/>
              <w:sz w:val="20"/>
              <w:szCs w:val="20"/>
              <w:highlight w:val="none"/>
              <w:lang w:val="zh-CN"/>
              <w14:ligatures w14:val="standardContextual"/>
            </w:rPr>
            <w:fldChar w:fldCharType="begin"/>
          </w:r>
          <w:r>
            <w:rPr>
              <w:rFonts w:hint="eastAsia" w:ascii="黑体" w:hAnsi="黑体" w:eastAsia="黑体" w:cs="黑体"/>
              <w:b/>
              <w:bCs/>
              <w:sz w:val="20"/>
              <w:szCs w:val="20"/>
              <w:highlight w:val="none"/>
              <w:lang w:val="zh-CN"/>
              <w14:ligatures w14:val="standardContextual"/>
            </w:rPr>
            <w:instrText xml:space="preserve"> HYPERLINK \l _Toc1659285286 </w:instrText>
          </w:r>
          <w:r>
            <w:rPr>
              <w:rFonts w:hint="eastAsia" w:ascii="黑体" w:hAnsi="黑体" w:eastAsia="黑体" w:cs="黑体"/>
              <w:b/>
              <w:bCs/>
              <w:sz w:val="20"/>
              <w:szCs w:val="20"/>
              <w:highlight w:val="none"/>
              <w:lang w:val="zh-CN"/>
              <w14:ligatures w14:val="standardContextual"/>
            </w:rPr>
            <w:fldChar w:fldCharType="separate"/>
          </w:r>
          <w:r>
            <w:rPr>
              <w:rFonts w:hint="eastAsia" w:ascii="黑体" w:hAnsi="黑体" w:eastAsia="黑体" w:cs="黑体"/>
              <w:b/>
              <w:bCs/>
              <w:sz w:val="20"/>
              <w:szCs w:val="20"/>
              <w:highlight w:val="none"/>
            </w:rPr>
            <w:t>第二章 常见用水量核算方法</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_Toc1659285286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7</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lang w:val="zh-CN"/>
              <w14:ligatures w14:val="standardContextual"/>
            </w:rPr>
            <w:fldChar w:fldCharType="end"/>
          </w:r>
        </w:p>
        <w:p w14:paraId="1FB23683">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val="0"/>
              <w:bCs w:val="0"/>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_Toc1797759920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一、取水量</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_Toc1797759920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7</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4C329D53">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_Toc577825940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二、耗水量</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_Toc577825940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7</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1FE6CA3F">
          <w:pPr>
            <w:pStyle w:val="14"/>
            <w:keepNext w:val="0"/>
            <w:keepLines w:val="0"/>
            <w:pageBreakBefore w:val="0"/>
            <w:widowControl/>
            <w:tabs>
              <w:tab w:val="right" w:leader="dot" w:pos="8306"/>
              <w:tab w:val="clear" w:pos="420"/>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sz w:val="20"/>
              <w:szCs w:val="20"/>
              <w:highlight w:val="none"/>
            </w:rPr>
          </w:pPr>
          <w:r>
            <w:rPr>
              <w:rFonts w:hint="eastAsia" w:ascii="黑体" w:hAnsi="黑体" w:eastAsia="黑体" w:cs="黑体"/>
              <w:b/>
              <w:bCs/>
              <w:sz w:val="20"/>
              <w:szCs w:val="20"/>
              <w:highlight w:val="none"/>
              <w:lang w:val="zh-CN"/>
              <w14:ligatures w14:val="standardContextual"/>
            </w:rPr>
            <w:fldChar w:fldCharType="begin"/>
          </w:r>
          <w:r>
            <w:rPr>
              <w:rFonts w:hint="eastAsia" w:ascii="黑体" w:hAnsi="黑体" w:eastAsia="黑体" w:cs="黑体"/>
              <w:b/>
              <w:bCs/>
              <w:sz w:val="20"/>
              <w:szCs w:val="20"/>
              <w:highlight w:val="none"/>
              <w:lang w:val="zh-CN"/>
              <w14:ligatures w14:val="standardContextual"/>
            </w:rPr>
            <w:instrText xml:space="preserve"> HYPERLINK \l _Toc235636120 </w:instrText>
          </w:r>
          <w:r>
            <w:rPr>
              <w:rFonts w:hint="eastAsia" w:ascii="黑体" w:hAnsi="黑体" w:eastAsia="黑体" w:cs="黑体"/>
              <w:b/>
              <w:bCs/>
              <w:sz w:val="20"/>
              <w:szCs w:val="20"/>
              <w:highlight w:val="none"/>
              <w:lang w:val="zh-CN"/>
              <w14:ligatures w14:val="standardContextual"/>
            </w:rPr>
            <w:fldChar w:fldCharType="separate"/>
          </w:r>
          <w:r>
            <w:rPr>
              <w:rFonts w:hint="eastAsia" w:ascii="黑体" w:hAnsi="黑体" w:eastAsia="黑体" w:cs="黑体"/>
              <w:b/>
              <w:bCs/>
              <w:sz w:val="20"/>
              <w:szCs w:val="20"/>
              <w:highlight w:val="none"/>
            </w:rPr>
            <w:t>第三章 披露要点</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_Toc235636120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9</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lang w:val="zh-CN"/>
              <w14:ligatures w14:val="standardContextual"/>
            </w:rPr>
            <w:fldChar w:fldCharType="end"/>
          </w:r>
        </w:p>
        <w:p w14:paraId="0C0049E5">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黑体" w:hAnsi="黑体" w:eastAsia="黑体" w:cs="黑体"/>
              <w:b w:val="0"/>
              <w:bCs w:val="0"/>
              <w:sz w:val="20"/>
              <w:szCs w:val="20"/>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_Toc485521738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披露要点1 水资源使用的基本情况</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_Toc485521738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9</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34D8D357">
          <w:pPr>
            <w:pStyle w:val="18"/>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highlight w:val="none"/>
            </w:rPr>
          </w:pPr>
          <w:r>
            <w:rPr>
              <w:rFonts w:hint="eastAsia" w:ascii="黑体" w:hAnsi="黑体" w:eastAsia="黑体" w:cs="黑体"/>
              <w:b w:val="0"/>
              <w:bCs w:val="0"/>
              <w:sz w:val="20"/>
              <w:szCs w:val="20"/>
              <w:highlight w:val="none"/>
              <w:lang w:val="zh-CN"/>
              <w14:ligatures w14:val="standardContextual"/>
            </w:rPr>
            <w:fldChar w:fldCharType="begin"/>
          </w:r>
          <w:r>
            <w:rPr>
              <w:rFonts w:hint="eastAsia" w:ascii="黑体" w:hAnsi="黑体" w:eastAsia="黑体" w:cs="黑体"/>
              <w:b w:val="0"/>
              <w:bCs w:val="0"/>
              <w:sz w:val="20"/>
              <w:szCs w:val="20"/>
              <w:highlight w:val="none"/>
              <w:lang w:val="zh-CN"/>
              <w14:ligatures w14:val="standardContextual"/>
            </w:rPr>
            <w:instrText xml:space="preserve"> HYPERLINK \l _Toc957803568 </w:instrText>
          </w:r>
          <w:r>
            <w:rPr>
              <w:rFonts w:hint="eastAsia" w:ascii="黑体" w:hAnsi="黑体" w:eastAsia="黑体" w:cs="黑体"/>
              <w:b w:val="0"/>
              <w:bCs w:val="0"/>
              <w:sz w:val="20"/>
              <w:szCs w:val="20"/>
              <w:highlight w:val="none"/>
              <w:lang w:val="zh-CN"/>
              <w14:ligatures w14:val="standardContextual"/>
            </w:rPr>
            <w:fldChar w:fldCharType="separate"/>
          </w:r>
          <w:r>
            <w:rPr>
              <w:rFonts w:hint="eastAsia" w:ascii="黑体" w:hAnsi="黑体" w:eastAsia="黑体" w:cs="黑体"/>
              <w:b w:val="0"/>
              <w:bCs w:val="0"/>
              <w:sz w:val="20"/>
              <w:szCs w:val="20"/>
              <w:highlight w:val="none"/>
            </w:rPr>
            <w:t>披露要点2 水资源节约目标以及具体措施情况</w:t>
          </w:r>
          <w:r>
            <w:rPr>
              <w:rFonts w:hint="eastAsia" w:ascii="黑体" w:hAnsi="黑体" w:eastAsia="黑体" w:cs="黑体"/>
              <w:b w:val="0"/>
              <w:bCs w:val="0"/>
              <w:sz w:val="20"/>
              <w:szCs w:val="20"/>
              <w:highlight w:val="none"/>
            </w:rPr>
            <w:tab/>
          </w:r>
          <w:r>
            <w:rPr>
              <w:rFonts w:hint="eastAsia" w:ascii="黑体" w:hAnsi="黑体" w:eastAsia="黑体" w:cs="黑体"/>
              <w:b w:val="0"/>
              <w:bCs w:val="0"/>
              <w:sz w:val="20"/>
              <w:szCs w:val="20"/>
              <w:highlight w:val="none"/>
            </w:rPr>
            <w:fldChar w:fldCharType="begin"/>
          </w:r>
          <w:r>
            <w:rPr>
              <w:rFonts w:hint="eastAsia" w:ascii="黑体" w:hAnsi="黑体" w:eastAsia="黑体" w:cs="黑体"/>
              <w:b w:val="0"/>
              <w:bCs w:val="0"/>
              <w:sz w:val="20"/>
              <w:szCs w:val="20"/>
              <w:highlight w:val="none"/>
            </w:rPr>
            <w:instrText xml:space="preserve"> PAGEREF _Toc957803568 \h </w:instrText>
          </w:r>
          <w:r>
            <w:rPr>
              <w:rFonts w:hint="eastAsia" w:ascii="黑体" w:hAnsi="黑体" w:eastAsia="黑体" w:cs="黑体"/>
              <w:b w:val="0"/>
              <w:bCs w:val="0"/>
              <w:sz w:val="20"/>
              <w:szCs w:val="20"/>
              <w:highlight w:val="none"/>
            </w:rPr>
            <w:fldChar w:fldCharType="separate"/>
          </w:r>
          <w:r>
            <w:rPr>
              <w:rFonts w:hint="eastAsia" w:ascii="黑体" w:hAnsi="黑体" w:eastAsia="黑体" w:cs="黑体"/>
              <w:b w:val="0"/>
              <w:bCs w:val="0"/>
              <w:sz w:val="20"/>
              <w:szCs w:val="20"/>
              <w:highlight w:val="none"/>
            </w:rPr>
            <w:t>9</w:t>
          </w:r>
          <w:r>
            <w:rPr>
              <w:rFonts w:hint="eastAsia" w:ascii="黑体" w:hAnsi="黑体" w:eastAsia="黑体" w:cs="黑体"/>
              <w:b w:val="0"/>
              <w:bCs w:val="0"/>
              <w:sz w:val="20"/>
              <w:szCs w:val="20"/>
              <w:highlight w:val="none"/>
            </w:rPr>
            <w:fldChar w:fldCharType="end"/>
          </w:r>
          <w:r>
            <w:rPr>
              <w:rFonts w:hint="eastAsia" w:ascii="黑体" w:hAnsi="黑体" w:eastAsia="黑体" w:cs="黑体"/>
              <w:b w:val="0"/>
              <w:bCs w:val="0"/>
              <w:sz w:val="20"/>
              <w:szCs w:val="20"/>
              <w:highlight w:val="none"/>
              <w:lang w:val="zh-CN"/>
              <w14:ligatures w14:val="standardContextual"/>
            </w:rPr>
            <w:fldChar w:fldCharType="end"/>
          </w:r>
        </w:p>
        <w:p w14:paraId="68318DB5">
          <w:pPr>
            <w:keepNext/>
            <w:keepLines/>
            <w:widowControl/>
            <w:adjustRightInd w:val="0"/>
            <w:snapToGrid w:val="0"/>
            <w:spacing w:before="240" w:line="259" w:lineRule="auto"/>
            <w:ind w:firstLine="640" w:firstLineChars="200"/>
            <w:jc w:val="center"/>
            <w:rPr>
              <w:rFonts w:hint="eastAsia" w:ascii="仿宋" w:hAnsi="minorHAnsi" w:eastAsia="仿宋" w:cs="Times New Roman"/>
              <w:sz w:val="32"/>
              <w:highlight w:val="none"/>
              <w14:ligatures w14:val="standardContextual"/>
            </w:rPr>
          </w:pPr>
          <w:r>
            <w:rPr>
              <w:rFonts w:ascii="仿宋" w:hAnsi="minorHAnsi" w:eastAsia="仿宋" w:cs="Times New Roman"/>
              <w:bCs/>
              <w:highlight w:val="none"/>
              <w:lang w:val="zh-CN"/>
              <w14:ligatures w14:val="standardContextual"/>
            </w:rPr>
            <w:fldChar w:fldCharType="end"/>
          </w:r>
        </w:p>
      </w:sdtContent>
    </w:sdt>
    <w:p w14:paraId="6AC2219F">
      <w:pPr>
        <w:widowControl/>
        <w:jc w:val="left"/>
        <w:rPr>
          <w:rFonts w:ascii="Times New Roman" w:hAnsi="Times New Roman" w:cs="Times New Roman"/>
          <w:szCs w:val="30"/>
          <w:highlight w:val="none"/>
        </w:rPr>
        <w:sectPr>
          <w:footerReference r:id="rId10" w:type="first"/>
          <w:footerReference r:id="rId9" w:type="default"/>
          <w:pgSz w:w="11906" w:h="16838"/>
          <w:pgMar w:top="1440" w:right="1800" w:bottom="1440" w:left="1800" w:header="851" w:footer="992" w:gutter="0"/>
          <w:pgNumType w:fmt="decimal" w:start="1"/>
          <w:cols w:space="425" w:num="1"/>
          <w:titlePg/>
          <w:docGrid w:type="lines" w:linePitch="435" w:charSpace="0"/>
        </w:sectPr>
      </w:pPr>
      <w:r>
        <w:rPr>
          <w:rFonts w:ascii="Times New Roman" w:hAnsi="Times New Roman" w:cs="Times New Roman"/>
          <w:szCs w:val="30"/>
          <w:highlight w:val="none"/>
        </w:rPr>
        <w:br w:type="page"/>
      </w:r>
    </w:p>
    <w:p w14:paraId="00EF4DA5">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为了帮助</w:t>
      </w:r>
      <w:r>
        <w:rPr>
          <w:rFonts w:hint="eastAsia" w:ascii="仿宋_GB2312" w:hAnsi="仿宋_GB2312" w:eastAsia="仿宋_GB2312" w:cs="仿宋_GB2312"/>
          <w:sz w:val="30"/>
          <w:szCs w:val="30"/>
          <w:highlight w:val="none"/>
          <w:lang w:eastAsia="zh-CN"/>
        </w:rPr>
        <w:t>科创板</w:t>
      </w:r>
      <w:r>
        <w:rPr>
          <w:rFonts w:hint="eastAsia" w:ascii="仿宋_GB2312" w:hAnsi="仿宋_GB2312" w:eastAsia="仿宋_GB2312" w:cs="仿宋_GB2312"/>
          <w:sz w:val="30"/>
          <w:szCs w:val="30"/>
          <w:highlight w:val="none"/>
        </w:rPr>
        <w:t>上市公司准确理解适用《上海证券交易所上市公司自律监管指引第14号——可持续发展报告（试行）》（以下简称《指引》）相关规定，规范编制可持续发展报告中涉及水资源利用议题有关内容，上海证券交易所（以下简称本所）制定了《</w:t>
      </w:r>
      <w:r>
        <w:rPr>
          <w:rFonts w:hint="eastAsia" w:ascii="仿宋_GB2312" w:hAnsi="Times New Roman" w:eastAsia="仿宋_GB2312"/>
          <w:sz w:val="30"/>
          <w:szCs w:val="30"/>
          <w:highlight w:val="none"/>
        </w:rPr>
        <w:t>上海证券交易所</w:t>
      </w:r>
      <w:r>
        <w:rPr>
          <w:rFonts w:hint="eastAsia" w:ascii="仿宋_GB2312" w:hAnsi="Times New Roman" w:eastAsia="仿宋_GB2312"/>
          <w:sz w:val="30"/>
          <w:szCs w:val="30"/>
          <w:highlight w:val="none"/>
          <w:lang w:eastAsia="zh-CN"/>
        </w:rPr>
        <w:t>科创板</w:t>
      </w:r>
      <w:r>
        <w:rPr>
          <w:rFonts w:hint="eastAsia" w:ascii="仿宋_GB2312" w:hAnsi="Times New Roman" w:eastAsia="仿宋_GB2312"/>
          <w:sz w:val="30"/>
          <w:szCs w:val="30"/>
          <w:highlight w:val="none"/>
        </w:rPr>
        <w:t>上市公司自律监管指南第</w:t>
      </w:r>
      <w:r>
        <w:rPr>
          <w:rFonts w:hint="eastAsia" w:ascii="仿宋_GB2312" w:hAnsi="Times New Roman" w:eastAsia="仿宋_GB2312"/>
          <w:sz w:val="30"/>
          <w:szCs w:val="30"/>
          <w:highlight w:val="none"/>
          <w:lang w:val="en-US" w:eastAsia="zh-CN"/>
        </w:rPr>
        <w:t>13</w:t>
      </w:r>
      <w:r>
        <w:rPr>
          <w:rFonts w:hint="eastAsia" w:ascii="仿宋_GB2312" w:hAnsi="Times New Roman" w:eastAsia="仿宋_GB2312"/>
          <w:sz w:val="30"/>
          <w:szCs w:val="30"/>
          <w:highlight w:val="none"/>
        </w:rPr>
        <w:t>号——可持续发展报告编制</w:t>
      </w:r>
      <w:r>
        <w:rPr>
          <w:rFonts w:hint="eastAsia" w:ascii="仿宋_GB2312" w:hAnsi="仿宋_GB2312" w:eastAsia="仿宋_GB2312" w:cs="仿宋_GB2312"/>
          <w:sz w:val="30"/>
          <w:szCs w:val="30"/>
          <w:highlight w:val="none"/>
        </w:rPr>
        <w:t>》之《第五号 水资源利用》（以下简称本指南）。</w:t>
      </w:r>
    </w:p>
    <w:p w14:paraId="3E44E6F0">
      <w:pPr>
        <w:overflowPunct w:val="0"/>
        <w:spacing w:line="560" w:lineRule="exact"/>
        <w:ind w:firstLine="0" w:firstLineChars="0"/>
        <w:jc w:val="center"/>
        <w:outlineLvl w:val="0"/>
        <w:rPr>
          <w:rFonts w:ascii="Times New Roman" w:hAnsi="Times New Roman" w:eastAsia="黑体" w:cs="方正小标宋简体"/>
          <w:b/>
          <w:bCs/>
          <w:sz w:val="30"/>
          <w:szCs w:val="30"/>
          <w:highlight w:val="none"/>
        </w:rPr>
      </w:pPr>
      <w:bookmarkStart w:id="0" w:name="_Toc174132909"/>
      <w:bookmarkStart w:id="1" w:name="_Toc206501849"/>
      <w:bookmarkStart w:id="2" w:name="_Toc1262"/>
      <w:r>
        <w:rPr>
          <w:rFonts w:ascii="Times New Roman" w:hAnsi="Times New Roman" w:eastAsia="黑体" w:cs="Times New Roman"/>
          <w:b/>
          <w:bCs/>
          <w:sz w:val="30"/>
          <w:szCs w:val="30"/>
          <w:highlight w:val="none"/>
        </w:rPr>
        <w:t xml:space="preserve">第一章 </w:t>
      </w:r>
      <w:r>
        <w:rPr>
          <w:rFonts w:hint="eastAsia" w:ascii="Times New Roman" w:hAnsi="Times New Roman" w:eastAsia="黑体" w:cs="Times New Roman"/>
          <w:b/>
          <w:bCs/>
          <w:sz w:val="30"/>
          <w:szCs w:val="30"/>
          <w:highlight w:val="none"/>
        </w:rPr>
        <w:t>水资源相关风险和机遇评估</w:t>
      </w:r>
      <w:bookmarkEnd w:id="0"/>
      <w:bookmarkEnd w:id="1"/>
      <w:bookmarkEnd w:id="2"/>
    </w:p>
    <w:p w14:paraId="745C5EB9">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相关风险和机遇可能对披露主体的商业模式、业务运营、发展战略、财务状况等产生负面或正面影响。企业应当集约、高效利用水资源，加强水资源使用过程节约管理，推动生产、流通过程的减量化、再利用、再循环。</w:t>
      </w:r>
    </w:p>
    <w:p w14:paraId="16AAE1BC">
      <w:pPr>
        <w:widowControl/>
        <w:adjustRightInd w:val="0"/>
        <w:snapToGrid w:val="0"/>
        <w:spacing w:line="560" w:lineRule="exact"/>
        <w:ind w:firstLine="643" w:firstLineChars="200"/>
        <w:outlineLvl w:val="1"/>
        <w:rPr>
          <w:rFonts w:ascii="Times New Roman" w:hAnsi="Times New Roman" w:eastAsia="黑体" w:cs="黑体"/>
          <w:b/>
          <w:sz w:val="32"/>
          <w:highlight w:val="none"/>
          <w14:ligatures w14:val="standardContextual"/>
        </w:rPr>
      </w:pPr>
      <w:bookmarkStart w:id="3" w:name="_Toc206501850"/>
      <w:bookmarkStart w:id="4" w:name="_Toc22144"/>
      <w:bookmarkStart w:id="5" w:name="_Toc1588895852"/>
      <w:r>
        <w:rPr>
          <w:rFonts w:hint="eastAsia" w:ascii="Times New Roman" w:hAnsi="Times New Roman" w:eastAsia="黑体" w:cs="Times New Roman"/>
          <w:b/>
          <w:szCs w:val="30"/>
          <w:highlight w:val="none"/>
        </w:rPr>
        <w:t>一、水资源风险和机遇</w:t>
      </w:r>
      <w:bookmarkEnd w:id="3"/>
      <w:bookmarkEnd w:id="4"/>
      <w:bookmarkEnd w:id="5"/>
    </w:p>
    <w:p w14:paraId="34A2ACF5">
      <w:pPr>
        <w:widowControl/>
        <w:adjustRightInd w:val="0"/>
        <w:snapToGrid w:val="0"/>
        <w:spacing w:line="560" w:lineRule="exact"/>
        <w:ind w:firstLine="602" w:firstLineChars="200"/>
        <w:rPr>
          <w:rFonts w:hint="eastAsia" w:ascii="仿宋_GB2312" w:hAnsi="仿宋_GB2312" w:eastAsia="仿宋_GB2312" w:cs="仿宋_GB2312"/>
          <w:b/>
          <w:bCs/>
          <w:kern w:val="0"/>
          <w:sz w:val="30"/>
          <w:szCs w:val="30"/>
          <w:highlight w:val="none"/>
        </w:rPr>
      </w:pPr>
      <w:bookmarkStart w:id="6" w:name="_Toc11626"/>
      <w:bookmarkStart w:id="7" w:name="_Toc1446277458"/>
      <w:bookmarkStart w:id="8" w:name="_Toc206501851"/>
      <w:bookmarkStart w:id="9" w:name="_Toc9469"/>
      <w:r>
        <w:rPr>
          <w:rFonts w:hint="eastAsia" w:ascii="仿宋_GB2312" w:hAnsi="仿宋_GB2312" w:eastAsia="仿宋_GB2312" w:cs="仿宋_GB2312"/>
          <w:b/>
          <w:bCs/>
          <w:kern w:val="0"/>
          <w:sz w:val="30"/>
          <w:szCs w:val="30"/>
          <w:highlight w:val="none"/>
        </w:rPr>
        <w:t>（一）水资源相关风险</w:t>
      </w:r>
      <w:bookmarkEnd w:id="6"/>
      <w:bookmarkEnd w:id="7"/>
      <w:bookmarkEnd w:id="8"/>
      <w:bookmarkEnd w:id="9"/>
    </w:p>
    <w:p w14:paraId="5FD20DAA">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水资源相关风险主要包括物理风险和转型风险，如流域或区域存在的水量（缺水等）和水质（是否满足使用需求，是否需要预处理等）等。</w:t>
      </w:r>
    </w:p>
    <w:p w14:paraId="2F6AA744">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表1：水资源相关风险示例</w:t>
      </w:r>
    </w:p>
    <w:tbl>
      <w:tblPr>
        <w:tblStyle w:val="21"/>
        <w:tblW w:w="4998" w:type="pct"/>
        <w:tblInd w:w="0" w:type="dxa"/>
        <w:tblLayout w:type="autofit"/>
        <w:tblCellMar>
          <w:top w:w="0" w:type="dxa"/>
          <w:left w:w="108" w:type="dxa"/>
          <w:bottom w:w="0" w:type="dxa"/>
          <w:right w:w="108" w:type="dxa"/>
        </w:tblCellMar>
      </w:tblPr>
      <w:tblGrid>
        <w:gridCol w:w="1464"/>
        <w:gridCol w:w="7055"/>
      </w:tblGrid>
      <w:tr w14:paraId="037558F3">
        <w:tblPrEx>
          <w:tblCellMar>
            <w:top w:w="0" w:type="dxa"/>
            <w:left w:w="108" w:type="dxa"/>
            <w:bottom w:w="0" w:type="dxa"/>
            <w:right w:w="108" w:type="dxa"/>
          </w:tblCellMar>
        </w:tblPrEx>
        <w:trPr>
          <w:trHeight w:val="315" w:hRule="atLeast"/>
          <w:tblHeader/>
        </w:trPr>
        <w:tc>
          <w:tcPr>
            <w:tcW w:w="859" w:type="pct"/>
            <w:tcBorders>
              <w:top w:val="single" w:color="000000" w:sz="8" w:space="0"/>
              <w:left w:val="single" w:color="000000" w:sz="8" w:space="0"/>
              <w:bottom w:val="single" w:color="000000" w:sz="8" w:space="0"/>
              <w:right w:val="single" w:color="000000" w:sz="8" w:space="0"/>
            </w:tcBorders>
          </w:tcPr>
          <w:p w14:paraId="299FAE0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类型</w:t>
            </w:r>
          </w:p>
        </w:tc>
        <w:tc>
          <w:tcPr>
            <w:tcW w:w="4140" w:type="pct"/>
            <w:tcBorders>
              <w:top w:val="single" w:color="000000" w:sz="8" w:space="0"/>
              <w:left w:val="nil"/>
              <w:bottom w:val="single" w:color="000000" w:sz="8" w:space="0"/>
              <w:right w:val="single" w:color="000000" w:sz="8" w:space="0"/>
            </w:tcBorders>
          </w:tcPr>
          <w:p w14:paraId="6DE4F41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风险示例</w:t>
            </w:r>
          </w:p>
        </w:tc>
      </w:tr>
      <w:tr w14:paraId="36566229">
        <w:tblPrEx>
          <w:tblCellMar>
            <w:top w:w="0" w:type="dxa"/>
            <w:left w:w="108" w:type="dxa"/>
            <w:bottom w:w="0" w:type="dxa"/>
            <w:right w:w="108" w:type="dxa"/>
          </w:tblCellMar>
        </w:tblPrEx>
        <w:trPr>
          <w:trHeight w:val="244" w:hRule="atLeast"/>
        </w:trPr>
        <w:tc>
          <w:tcPr>
            <w:tcW w:w="859" w:type="pct"/>
            <w:tcBorders>
              <w:top w:val="nil"/>
              <w:left w:val="single" w:color="000000" w:sz="8" w:space="0"/>
              <w:bottom w:val="single" w:color="000000" w:sz="8" w:space="0"/>
              <w:right w:val="single" w:color="000000" w:sz="8" w:space="0"/>
            </w:tcBorders>
            <w:vAlign w:val="center"/>
          </w:tcPr>
          <w:p w14:paraId="47E20B1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水资源相关物理风险</w:t>
            </w:r>
          </w:p>
        </w:tc>
        <w:tc>
          <w:tcPr>
            <w:tcW w:w="4140" w:type="pct"/>
            <w:tcBorders>
              <w:top w:val="single" w:color="000000" w:sz="8" w:space="0"/>
              <w:left w:val="nil"/>
              <w:bottom w:val="single" w:color="000000" w:sz="8" w:space="0"/>
              <w:right w:val="single" w:color="000000" w:sz="8" w:space="0"/>
            </w:tcBorders>
          </w:tcPr>
          <w:p w14:paraId="45D1312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1.干旱导致资产价值受损。</w:t>
            </w:r>
          </w:p>
          <w:p w14:paraId="055761F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2.突发水资源污染事件导致无可用净水。</w:t>
            </w:r>
          </w:p>
          <w:p w14:paraId="0454F39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3.当替代水源不可得时，企业可能被迫关停或迁移。</w:t>
            </w:r>
          </w:p>
          <w:p w14:paraId="4A1141D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4.水资源短缺直接冲击农业灌溉、工业冷却、产品清洗等主要用水环节。例如，缺水使得农业灌溉受限导致减产。</w:t>
            </w:r>
          </w:p>
          <w:p w14:paraId="1318B7F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5.水质恶化迫使企业增加水处理投入，如预处理设备、废水回用系统等，增加额外预处理成本。</w:t>
            </w:r>
          </w:p>
        </w:tc>
      </w:tr>
      <w:tr w14:paraId="08726247">
        <w:tblPrEx>
          <w:tblCellMar>
            <w:top w:w="0" w:type="dxa"/>
            <w:left w:w="108" w:type="dxa"/>
            <w:bottom w:w="0" w:type="dxa"/>
            <w:right w:w="108" w:type="dxa"/>
          </w:tblCellMar>
        </w:tblPrEx>
        <w:trPr>
          <w:trHeight w:val="4064" w:hRule="atLeast"/>
        </w:trPr>
        <w:tc>
          <w:tcPr>
            <w:tcW w:w="859" w:type="pct"/>
            <w:tcBorders>
              <w:top w:val="nil"/>
              <w:left w:val="single" w:color="000000" w:sz="8" w:space="0"/>
              <w:bottom w:val="single" w:color="000000" w:sz="8" w:space="0"/>
              <w:right w:val="single" w:color="000000" w:sz="8" w:space="0"/>
            </w:tcBorders>
            <w:vAlign w:val="center"/>
          </w:tcPr>
          <w:p w14:paraId="2B009A2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水资源相关转型风险</w:t>
            </w:r>
          </w:p>
        </w:tc>
        <w:tc>
          <w:tcPr>
            <w:tcW w:w="4140" w:type="pct"/>
            <w:tcBorders>
              <w:top w:val="nil"/>
              <w:left w:val="nil"/>
              <w:bottom w:val="single" w:color="000000" w:sz="8" w:space="0"/>
              <w:right w:val="single" w:color="000000" w:sz="8" w:space="0"/>
            </w:tcBorders>
            <w:vAlign w:val="center"/>
          </w:tcPr>
          <w:p w14:paraId="5126D38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1.法规或政策趋严（如改变水量分配或限制用水等供水流量调节、强化或制定新的取水许可、制定更严格的废水排放标准、水质法规要求变化等）。</w:t>
            </w:r>
          </w:p>
          <w:p w14:paraId="598D206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2.包括水资源供应、需求和水价的变化，如水资源可用量以及水价波动导致的成本增加。</w:t>
            </w:r>
          </w:p>
          <w:p w14:paraId="16210B2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3.由水资源密集型产品或服务过渡到更高效的技术，或水净化技术进步的过程中，可能会导致原有技术被淘汰、新技术研发成本增加等。</w:t>
            </w:r>
          </w:p>
          <w:p w14:paraId="0CB4A03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4.对水资源具有影响的生产活动（或产品、服务）导致利益相关者（如消费者、投资者、当地社区等）对公司的投诉、或引发群体</w:t>
            </w:r>
            <w:r>
              <w:rPr>
                <w:rFonts w:hint="eastAsia" w:ascii="仿宋_GB2312" w:hAnsi="仿宋_GB2312" w:eastAsia="仿宋_GB2312" w:cs="仿宋_GB2312"/>
                <w:sz w:val="24"/>
                <w:szCs w:val="24"/>
                <w:highlight w:val="none"/>
                <w:lang w:val="en-US" w:eastAsia="zh-CN"/>
                <w14:ligatures w14:val="standardContextual"/>
              </w:rPr>
              <w:t>性</w:t>
            </w:r>
            <w:r>
              <w:rPr>
                <w:rFonts w:hint="eastAsia" w:ascii="仿宋_GB2312" w:hAnsi="仿宋_GB2312" w:eastAsia="仿宋_GB2312" w:cs="仿宋_GB2312"/>
                <w:sz w:val="24"/>
                <w:szCs w:val="24"/>
                <w:highlight w:val="none"/>
                <w14:ligatures w14:val="standardContextual"/>
              </w:rPr>
              <w:t>事件。水资源日趋紧张使企业更易受到声誉风险的影响，可用水量和水质下降会加剧对清洁水源的竞争，影响公司和当地社区之间的关系。</w:t>
            </w:r>
          </w:p>
        </w:tc>
      </w:tr>
    </w:tbl>
    <w:p w14:paraId="2730F58B">
      <w:pPr>
        <w:adjustRightInd w:val="0"/>
        <w:snapToGrid w:val="0"/>
        <w:spacing w:line="560" w:lineRule="exact"/>
        <w:ind w:firstLine="600" w:firstLineChars="200"/>
        <w:rPr>
          <w:rFonts w:hint="eastAsia" w:ascii="仿宋_GB2312" w:hAnsi="仿宋_GB2312" w:eastAsia="仿宋_GB2312" w:cs="仿宋_GB2312"/>
          <w:sz w:val="30"/>
          <w:szCs w:val="30"/>
          <w:highlight w:val="none"/>
        </w:rPr>
      </w:pPr>
      <w:bookmarkStart w:id="10" w:name="_Toc206501852"/>
      <w:r>
        <w:rPr>
          <w:rFonts w:hint="eastAsia" w:ascii="仿宋_GB2312" w:hAnsi="仿宋_GB2312" w:eastAsia="仿宋_GB2312" w:cs="仿宋_GB2312"/>
          <w:sz w:val="30"/>
          <w:szCs w:val="30"/>
          <w:highlight w:val="none"/>
        </w:rPr>
        <w:t>企业可以通过如下步骤，有针对性地评估水资源相关风险。</w:t>
      </w:r>
    </w:p>
    <w:p w14:paraId="1C488E5F">
      <w:pPr>
        <w:widowControl/>
        <w:adjustRightInd w:val="0"/>
        <w:snapToGrid w:val="0"/>
        <w:spacing w:line="560" w:lineRule="exact"/>
        <w:ind w:firstLine="602"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步骤一：</w:t>
      </w:r>
      <w:r>
        <w:rPr>
          <w:rFonts w:hint="eastAsia" w:ascii="仿宋_GB2312" w:hAnsi="仿宋_GB2312" w:eastAsia="仿宋_GB2312" w:cs="仿宋_GB2312"/>
          <w:sz w:val="30"/>
          <w:szCs w:val="30"/>
          <w:highlight w:val="none"/>
        </w:rPr>
        <w:t>了解企业目前各业务环节的水资源使用数据，评估业务全流程中对水资源具有依赖性或影响的关键环节。</w:t>
      </w:r>
    </w:p>
    <w:p w14:paraId="268A80D2">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表2：业务环节拆分示例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5565"/>
      </w:tblGrid>
      <w:tr w14:paraId="3784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15" w:type="dxa"/>
            <w:vAlign w:val="center"/>
          </w:tcPr>
          <w:p w14:paraId="2A7CB58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业务环节</w:t>
            </w:r>
          </w:p>
        </w:tc>
        <w:tc>
          <w:tcPr>
            <w:tcW w:w="5565" w:type="dxa"/>
            <w:vAlign w:val="center"/>
          </w:tcPr>
          <w:p w14:paraId="0D4BFF1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业务中水资源的具体使用示例</w:t>
            </w:r>
          </w:p>
        </w:tc>
      </w:tr>
      <w:tr w14:paraId="0810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001A70C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研发</w:t>
            </w:r>
          </w:p>
        </w:tc>
        <w:tc>
          <w:tcPr>
            <w:tcW w:w="5565" w:type="dxa"/>
            <w:vAlign w:val="center"/>
          </w:tcPr>
          <w:p w14:paraId="1165C3B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在新产品的研究开发和现有产品的改进阶段，使用水资源用于实验、研究及测试。</w:t>
            </w:r>
          </w:p>
        </w:tc>
      </w:tr>
      <w:tr w14:paraId="42EE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0AECB0D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生产</w:t>
            </w:r>
          </w:p>
        </w:tc>
        <w:tc>
          <w:tcPr>
            <w:tcW w:w="5565" w:type="dxa"/>
            <w:vAlign w:val="center"/>
          </w:tcPr>
          <w:p w14:paraId="3548BFB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水资源作为核心生产原料，公司生产环节直接依赖于水资源的可用性和水源质量；水资源作为生产辅助，参与清洗、生产设备冷却等环节。</w:t>
            </w:r>
          </w:p>
        </w:tc>
      </w:tr>
      <w:tr w14:paraId="5E78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596D7C1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销售与物流</w:t>
            </w:r>
          </w:p>
        </w:tc>
        <w:tc>
          <w:tcPr>
            <w:tcW w:w="5565" w:type="dxa"/>
            <w:vAlign w:val="center"/>
          </w:tcPr>
          <w:p w14:paraId="583E05F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水资源作为物流与仓储中的辅助，如用于运输工具的清洁、产品包装、销售门店体验等活动。</w:t>
            </w:r>
          </w:p>
        </w:tc>
      </w:tr>
      <w:tr w14:paraId="28BB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6176F41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5565" w:type="dxa"/>
            <w:vAlign w:val="center"/>
          </w:tcPr>
          <w:p w14:paraId="2B7E562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r>
    </w:tbl>
    <w:p w14:paraId="3D9F9EEE">
      <w:pPr>
        <w:widowControl/>
        <w:adjustRightInd w:val="0"/>
        <w:snapToGrid w:val="0"/>
        <w:spacing w:line="560" w:lineRule="exact"/>
        <w:ind w:firstLine="602"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步骤二：</w:t>
      </w:r>
      <w:r>
        <w:rPr>
          <w:rFonts w:hint="eastAsia" w:ascii="仿宋_GB2312" w:hAnsi="仿宋_GB2312" w:eastAsia="仿宋_GB2312" w:cs="仿宋_GB2312"/>
          <w:sz w:val="30"/>
          <w:szCs w:val="30"/>
          <w:highlight w:val="none"/>
        </w:rPr>
        <w:t>了解企业运营所在区域水环境现状及相关用水政策，掌握当地用水要求及限制，进一步评估和识别位于缺水或其他高风险区域的运营地。</w:t>
      </w:r>
    </w:p>
    <w:p w14:paraId="4918D6DD">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风险很大程度上取决于区域环境，企业可以重点关注水资源的区域状况。水资源短缺地区的生态系统对水资源耗用更为敏感，取水量超过水源的自然补给能力或耗水量突破生态系统的承载极限，可能引发连锁生态问题，如地下水位下降导致地面沉降、河流断流破坏水生生物栖息地、湿地干涸加剧区域干旱等。企业可通过识别面临较高水资源压力的经营区域，确定在不同地理区域开展水资源风险管理措施的重要性和优先级。</w:t>
      </w:r>
    </w:p>
    <w:p w14:paraId="58F7B3A6">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表3：经营所在流域水资源物理风险评估指标示例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3260"/>
        <w:gridCol w:w="3163"/>
      </w:tblGrid>
      <w:tr w14:paraId="661B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9" w:type="dxa"/>
            <w:vAlign w:val="center"/>
          </w:tcPr>
          <w:p w14:paraId="31B3DF9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风险类型</w:t>
            </w:r>
          </w:p>
        </w:tc>
        <w:tc>
          <w:tcPr>
            <w:tcW w:w="3260" w:type="dxa"/>
            <w:vAlign w:val="center"/>
          </w:tcPr>
          <w:p w14:paraId="5C94859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常见的评估指标示例</w:t>
            </w:r>
          </w:p>
        </w:tc>
        <w:tc>
          <w:tcPr>
            <w:tcW w:w="3163" w:type="dxa"/>
            <w:vAlign w:val="center"/>
          </w:tcPr>
          <w:p w14:paraId="48D6738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来源</w:t>
            </w:r>
          </w:p>
        </w:tc>
      </w:tr>
      <w:tr w14:paraId="70A5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restart"/>
            <w:vAlign w:val="center"/>
          </w:tcPr>
          <w:p w14:paraId="390070B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物理风险</w:t>
            </w:r>
          </w:p>
        </w:tc>
        <w:tc>
          <w:tcPr>
            <w:tcW w:w="3260" w:type="dxa"/>
            <w:vAlign w:val="center"/>
          </w:tcPr>
          <w:p w14:paraId="60F10C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综合考虑水资源量、用水需求量的水资源稀缺程度评价</w:t>
            </w:r>
          </w:p>
        </w:tc>
        <w:tc>
          <w:tcPr>
            <w:tcW w:w="3163" w:type="dxa"/>
            <w:vAlign w:val="center"/>
          </w:tcPr>
          <w:p w14:paraId="1A70B39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例如，水利部《中国水资源公报》、各地水资源公报等</w:t>
            </w:r>
          </w:p>
        </w:tc>
      </w:tr>
      <w:tr w14:paraId="091E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49" w:type="dxa"/>
            <w:vMerge w:val="continue"/>
            <w:vAlign w:val="center"/>
          </w:tcPr>
          <w:p w14:paraId="1F3FE69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color w:val="333333"/>
                <w:sz w:val="32"/>
                <w:szCs w:val="24"/>
                <w:highlight w:val="none"/>
                <w14:ligatures w14:val="standardContextual"/>
              </w:rPr>
            </w:pPr>
          </w:p>
        </w:tc>
        <w:tc>
          <w:tcPr>
            <w:tcW w:w="3260" w:type="dxa"/>
            <w:vAlign w:val="center"/>
          </w:tcPr>
          <w:p w14:paraId="717EE4D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干旱、洪水发生频次</w:t>
            </w:r>
          </w:p>
        </w:tc>
        <w:tc>
          <w:tcPr>
            <w:tcW w:w="3163" w:type="dxa"/>
            <w:vAlign w:val="center"/>
          </w:tcPr>
          <w:p w14:paraId="2C1DAA6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例如，水利部中国水旱灾害数据、水情数据等</w:t>
            </w:r>
          </w:p>
        </w:tc>
      </w:tr>
      <w:tr w14:paraId="10D1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continue"/>
            <w:vAlign w:val="center"/>
          </w:tcPr>
          <w:p w14:paraId="60F4EAC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color w:val="333333"/>
                <w:sz w:val="32"/>
                <w:szCs w:val="24"/>
                <w:highlight w:val="none"/>
                <w14:ligatures w14:val="standardContextual"/>
              </w:rPr>
            </w:pPr>
          </w:p>
        </w:tc>
        <w:tc>
          <w:tcPr>
            <w:tcW w:w="3260" w:type="dxa"/>
            <w:vAlign w:val="center"/>
          </w:tcPr>
          <w:p w14:paraId="2EE0B82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区域水质状况</w:t>
            </w:r>
          </w:p>
        </w:tc>
        <w:tc>
          <w:tcPr>
            <w:tcW w:w="3163" w:type="dxa"/>
            <w:vAlign w:val="center"/>
          </w:tcPr>
          <w:p w14:paraId="7E0494E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例如，生态环境部水环境质量数据、国家地表水水质自动监测实时数据发布系统等</w:t>
            </w:r>
          </w:p>
        </w:tc>
      </w:tr>
      <w:tr w14:paraId="59DD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14:paraId="5ADC622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3260" w:type="dxa"/>
            <w:vAlign w:val="center"/>
          </w:tcPr>
          <w:p w14:paraId="53AE964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3163" w:type="dxa"/>
            <w:vAlign w:val="center"/>
          </w:tcPr>
          <w:p w14:paraId="6BC75A3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r>
    </w:tbl>
    <w:p w14:paraId="2606C095">
      <w:pPr>
        <w:widowControl/>
        <w:adjustRightInd w:val="0"/>
        <w:snapToGrid w:val="0"/>
        <w:spacing w:line="560" w:lineRule="exact"/>
        <w:ind w:firstLine="602"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步骤三：</w:t>
      </w:r>
      <w:r>
        <w:rPr>
          <w:rFonts w:hint="eastAsia" w:ascii="仿宋_GB2312" w:hAnsi="仿宋_GB2312" w:eastAsia="仿宋_GB2312" w:cs="仿宋_GB2312"/>
          <w:sz w:val="30"/>
          <w:szCs w:val="30"/>
          <w:highlight w:val="none"/>
        </w:rPr>
        <w:t>综合分析企业水资源使用情况、业务重要性与特定区域状况等，以识别企业水资源相关风险较为集中的业务运营地及潜在的财务影响，针对性开展管理措施。</w:t>
      </w:r>
    </w:p>
    <w:p w14:paraId="002DA206">
      <w:pPr>
        <w:widowControl/>
        <w:adjustRightInd w:val="0"/>
        <w:snapToGrid w:val="0"/>
        <w:spacing w:line="560" w:lineRule="exact"/>
        <w:jc w:val="center"/>
        <w:rPr>
          <w:rFonts w:hint="eastAsia" w:ascii="Times New Roman" w:hAnsi="Times New Roman" w:eastAsia="黑体" w:cs="Times New Roman"/>
          <w:kern w:val="0"/>
          <w:sz w:val="24"/>
          <w:szCs w:val="24"/>
          <w:highlight w:val="none"/>
          <w14:ligatures w14:val="standardContextual"/>
        </w:rPr>
      </w:pPr>
    </w:p>
    <w:p w14:paraId="6FA8F4A5">
      <w:pPr>
        <w:widowControl/>
        <w:adjustRightInd w:val="0"/>
        <w:snapToGrid w:val="0"/>
        <w:spacing w:line="560" w:lineRule="exact"/>
        <w:jc w:val="center"/>
        <w:rPr>
          <w:rFonts w:hint="eastAsia" w:ascii="Times New Roman" w:hAnsi="Times New Roman" w:eastAsia="黑体" w:cs="Times New Roman"/>
          <w:kern w:val="0"/>
          <w:sz w:val="24"/>
          <w:szCs w:val="24"/>
          <w:highlight w:val="none"/>
          <w14:ligatures w14:val="standardContextual"/>
        </w:rPr>
      </w:pPr>
    </w:p>
    <w:p w14:paraId="6C16E101">
      <w:pPr>
        <w:widowControl/>
        <w:adjustRightInd w:val="0"/>
        <w:snapToGrid w:val="0"/>
        <w:spacing w:line="560" w:lineRule="exact"/>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表4：经营地综合水资源相关风险评估示例</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20"/>
        <w:gridCol w:w="1163"/>
        <w:gridCol w:w="1576"/>
        <w:gridCol w:w="1705"/>
        <w:gridCol w:w="1705"/>
      </w:tblGrid>
      <w:tr w14:paraId="0E0F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0" w:type="dxa"/>
            <w:vAlign w:val="center"/>
          </w:tcPr>
          <w:p w14:paraId="44C2CB2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经营地</w:t>
            </w:r>
          </w:p>
        </w:tc>
        <w:tc>
          <w:tcPr>
            <w:tcW w:w="1120" w:type="dxa"/>
            <w:vAlign w:val="center"/>
          </w:tcPr>
          <w:p w14:paraId="7FF7ED9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业务重要性</w:t>
            </w:r>
          </w:p>
        </w:tc>
        <w:tc>
          <w:tcPr>
            <w:tcW w:w="1163" w:type="dxa"/>
            <w:vAlign w:val="center"/>
          </w:tcPr>
          <w:p w14:paraId="65624E3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业务用水量</w:t>
            </w:r>
          </w:p>
        </w:tc>
        <w:tc>
          <w:tcPr>
            <w:tcW w:w="1576" w:type="dxa"/>
            <w:vAlign w:val="center"/>
          </w:tcPr>
          <w:p w14:paraId="07603D3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所在区域水资源可用量分类</w:t>
            </w:r>
          </w:p>
        </w:tc>
        <w:tc>
          <w:tcPr>
            <w:tcW w:w="1705" w:type="dxa"/>
            <w:vAlign w:val="center"/>
          </w:tcPr>
          <w:p w14:paraId="12197CF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所在区域水质分类</w:t>
            </w:r>
          </w:p>
        </w:tc>
        <w:tc>
          <w:tcPr>
            <w:tcW w:w="1705" w:type="dxa"/>
            <w:vAlign w:val="center"/>
          </w:tcPr>
          <w:p w14:paraId="76DCC21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综合评估结果</w:t>
            </w:r>
          </w:p>
        </w:tc>
      </w:tr>
      <w:tr w14:paraId="25E8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8C5228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A地区</w:t>
            </w:r>
          </w:p>
        </w:tc>
        <w:tc>
          <w:tcPr>
            <w:tcW w:w="1120" w:type="dxa"/>
            <w:vAlign w:val="center"/>
          </w:tcPr>
          <w:p w14:paraId="0DCA457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重要</w:t>
            </w:r>
          </w:p>
        </w:tc>
        <w:tc>
          <w:tcPr>
            <w:tcW w:w="1163" w:type="dxa"/>
            <w:vAlign w:val="center"/>
          </w:tcPr>
          <w:p w14:paraId="23D70D4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在企业总用水量中占比较高</w:t>
            </w:r>
          </w:p>
        </w:tc>
        <w:tc>
          <w:tcPr>
            <w:tcW w:w="1576" w:type="dxa"/>
            <w:vAlign w:val="center"/>
          </w:tcPr>
          <w:p w14:paraId="0C25B8C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水资源短缺地区</w:t>
            </w:r>
          </w:p>
        </w:tc>
        <w:tc>
          <w:tcPr>
            <w:tcW w:w="1705" w:type="dxa"/>
            <w:vAlign w:val="center"/>
          </w:tcPr>
          <w:p w14:paraId="1E2EB5E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Ⅰ类</w:t>
            </w:r>
          </w:p>
        </w:tc>
        <w:tc>
          <w:tcPr>
            <w:tcW w:w="1705" w:type="dxa"/>
            <w:vAlign w:val="center"/>
          </w:tcPr>
          <w:p w14:paraId="0104882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一级水风险等级，重点开展节水项目</w:t>
            </w:r>
          </w:p>
        </w:tc>
      </w:tr>
      <w:tr w14:paraId="5793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24666E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B地区</w:t>
            </w:r>
          </w:p>
        </w:tc>
        <w:tc>
          <w:tcPr>
            <w:tcW w:w="1120" w:type="dxa"/>
            <w:vAlign w:val="center"/>
          </w:tcPr>
          <w:p w14:paraId="71E684F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重要</w:t>
            </w:r>
          </w:p>
        </w:tc>
        <w:tc>
          <w:tcPr>
            <w:tcW w:w="1163" w:type="dxa"/>
            <w:vAlign w:val="center"/>
          </w:tcPr>
          <w:p w14:paraId="3388068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在企业总用水量中占比较高</w:t>
            </w:r>
          </w:p>
        </w:tc>
        <w:tc>
          <w:tcPr>
            <w:tcW w:w="1576" w:type="dxa"/>
            <w:vAlign w:val="center"/>
          </w:tcPr>
          <w:p w14:paraId="046FE46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非水资源短缺地区</w:t>
            </w:r>
          </w:p>
        </w:tc>
        <w:tc>
          <w:tcPr>
            <w:tcW w:w="1705" w:type="dxa"/>
            <w:vAlign w:val="center"/>
          </w:tcPr>
          <w:p w14:paraId="539B12F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Ⅲ类</w:t>
            </w:r>
          </w:p>
        </w:tc>
        <w:tc>
          <w:tcPr>
            <w:tcW w:w="1705" w:type="dxa"/>
            <w:vAlign w:val="center"/>
          </w:tcPr>
          <w:p w14:paraId="7F32B69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二级水风险等级，持续监控区域水质状况变化</w:t>
            </w:r>
          </w:p>
        </w:tc>
      </w:tr>
      <w:tr w14:paraId="3363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2E8A6C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C地区</w:t>
            </w:r>
          </w:p>
        </w:tc>
        <w:tc>
          <w:tcPr>
            <w:tcW w:w="1120" w:type="dxa"/>
            <w:vAlign w:val="center"/>
          </w:tcPr>
          <w:p w14:paraId="4252528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非核心运营地</w:t>
            </w:r>
          </w:p>
        </w:tc>
        <w:tc>
          <w:tcPr>
            <w:tcW w:w="1163" w:type="dxa"/>
            <w:vAlign w:val="center"/>
          </w:tcPr>
          <w:p w14:paraId="6B347D5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在企业总用水量中占比较低</w:t>
            </w:r>
          </w:p>
        </w:tc>
        <w:tc>
          <w:tcPr>
            <w:tcW w:w="1576" w:type="dxa"/>
            <w:vAlign w:val="center"/>
          </w:tcPr>
          <w:p w14:paraId="57B8BE2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水资源短缺地区</w:t>
            </w:r>
          </w:p>
        </w:tc>
        <w:tc>
          <w:tcPr>
            <w:tcW w:w="1705" w:type="dxa"/>
            <w:vAlign w:val="center"/>
          </w:tcPr>
          <w:p w14:paraId="6563D8A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Ⅱ类</w:t>
            </w:r>
          </w:p>
        </w:tc>
        <w:tc>
          <w:tcPr>
            <w:tcW w:w="1705" w:type="dxa"/>
            <w:vAlign w:val="center"/>
          </w:tcPr>
          <w:p w14:paraId="427C3E0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三级水风险等级，非核心运营地、保持关注</w:t>
            </w:r>
          </w:p>
        </w:tc>
      </w:tr>
      <w:tr w14:paraId="3B13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187FFC0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p>
        </w:tc>
        <w:tc>
          <w:tcPr>
            <w:tcW w:w="1120" w:type="dxa"/>
            <w:vAlign w:val="center"/>
          </w:tcPr>
          <w:p w14:paraId="00F5233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p>
        </w:tc>
        <w:tc>
          <w:tcPr>
            <w:tcW w:w="1163" w:type="dxa"/>
            <w:vAlign w:val="center"/>
          </w:tcPr>
          <w:p w14:paraId="5754BA1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1576" w:type="dxa"/>
            <w:vAlign w:val="center"/>
          </w:tcPr>
          <w:p w14:paraId="6872E3C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c>
          <w:tcPr>
            <w:tcW w:w="1705" w:type="dxa"/>
            <w:vAlign w:val="center"/>
          </w:tcPr>
          <w:p w14:paraId="1A99718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p>
        </w:tc>
        <w:tc>
          <w:tcPr>
            <w:tcW w:w="1705" w:type="dxa"/>
            <w:vAlign w:val="center"/>
          </w:tcPr>
          <w:p w14:paraId="0BA459C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w:t>
            </w:r>
          </w:p>
        </w:tc>
      </w:tr>
    </w:tbl>
    <w:p w14:paraId="05732F5D">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b/>
          <w:bCs/>
          <w:szCs w:val="30"/>
          <w:highlight w:val="none"/>
        </w:rPr>
      </w:pPr>
      <w:r>
        <w:rPr>
          <w:rFonts w:hint="eastAsia" w:ascii="仿宋_GB2312" w:hAnsi="仿宋_GB2312" w:eastAsia="仿宋_GB2312" w:cs="仿宋_GB2312"/>
          <w:sz w:val="24"/>
          <w:szCs w:val="24"/>
          <w:highlight w:val="none"/>
          <w14:ligatures w14:val="standardContextual"/>
        </w:rPr>
        <w:t>注：表格中文字、数值仅供示例参考，公司应</w:t>
      </w:r>
      <w:r>
        <w:rPr>
          <w:rFonts w:hint="eastAsia" w:ascii="仿宋_GB2312" w:hAnsi="仿宋_GB2312" w:eastAsia="仿宋_GB2312" w:cs="仿宋_GB2312"/>
          <w:sz w:val="24"/>
          <w:szCs w:val="24"/>
          <w:highlight w:val="none"/>
          <w:lang w:eastAsia="zh-CN"/>
          <w14:ligatures w14:val="standardContextual"/>
        </w:rPr>
        <w:t>当</w:t>
      </w:r>
      <w:r>
        <w:rPr>
          <w:rFonts w:hint="eastAsia" w:ascii="仿宋_GB2312" w:hAnsi="仿宋_GB2312" w:eastAsia="仿宋_GB2312" w:cs="仿宋_GB2312"/>
          <w:sz w:val="24"/>
          <w:szCs w:val="24"/>
          <w:highlight w:val="none"/>
          <w14:ligatures w14:val="standardContextual"/>
        </w:rPr>
        <w:t>结合自身情况确定。例如，所在区域水质分类可</w:t>
      </w:r>
      <w:r>
        <w:rPr>
          <w:rFonts w:hint="eastAsia" w:ascii="仿宋_GB2312" w:hAnsi="仿宋_GB2312" w:eastAsia="仿宋_GB2312" w:cs="仿宋_GB2312"/>
          <w:sz w:val="24"/>
          <w:szCs w:val="24"/>
          <w:highlight w:val="none"/>
          <w:lang w:eastAsia="zh-CN"/>
          <w14:ligatures w14:val="standardContextual"/>
        </w:rPr>
        <w:t>以</w:t>
      </w:r>
      <w:r>
        <w:rPr>
          <w:rFonts w:hint="eastAsia" w:ascii="仿宋_GB2312" w:hAnsi="仿宋_GB2312" w:eastAsia="仿宋_GB2312" w:cs="仿宋_GB2312"/>
          <w:sz w:val="24"/>
          <w:szCs w:val="24"/>
          <w:highlight w:val="none"/>
          <w14:ligatures w14:val="standardContextual"/>
        </w:rPr>
        <w:t>参考国家地表水水质自动监测实时数据发布系统分类。</w:t>
      </w:r>
    </w:p>
    <w:p w14:paraId="2EECA76D">
      <w:pPr>
        <w:widowControl/>
        <w:adjustRightInd w:val="0"/>
        <w:snapToGrid w:val="0"/>
        <w:spacing w:line="560" w:lineRule="exact"/>
        <w:ind w:firstLine="602" w:firstLineChars="200"/>
        <w:rPr>
          <w:rFonts w:hint="eastAsia" w:ascii="仿宋_GB2312" w:hAnsi="仿宋_GB2312" w:eastAsia="仿宋_GB2312" w:cs="仿宋_GB2312"/>
          <w:b/>
          <w:bCs/>
          <w:kern w:val="0"/>
          <w:sz w:val="30"/>
          <w:szCs w:val="30"/>
          <w:highlight w:val="none"/>
        </w:rPr>
      </w:pPr>
      <w:bookmarkStart w:id="11" w:name="_Toc10493"/>
      <w:bookmarkStart w:id="12" w:name="_Toc23807"/>
      <w:bookmarkStart w:id="13" w:name="_Toc1954134785"/>
      <w:r>
        <w:rPr>
          <w:rFonts w:hint="eastAsia" w:ascii="仿宋_GB2312" w:hAnsi="仿宋_GB2312" w:eastAsia="仿宋_GB2312" w:cs="仿宋_GB2312"/>
          <w:b/>
          <w:bCs/>
          <w:kern w:val="0"/>
          <w:sz w:val="30"/>
          <w:szCs w:val="30"/>
          <w:highlight w:val="none"/>
        </w:rPr>
        <w:t>（二）水资源相关机遇</w:t>
      </w:r>
      <w:bookmarkEnd w:id="10"/>
      <w:bookmarkEnd w:id="11"/>
      <w:bookmarkEnd w:id="12"/>
      <w:bookmarkEnd w:id="13"/>
    </w:p>
    <w:p w14:paraId="47DFD39E">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水资源相关机遇主要表现在新市场开拓、资源利用效率提升、产品和服务需求提升等方面。</w:t>
      </w:r>
    </w:p>
    <w:p w14:paraId="70C63820">
      <w:pPr>
        <w:widowControl/>
        <w:adjustRightInd w:val="0"/>
        <w:snapToGrid w:val="0"/>
        <w:spacing w:line="560" w:lineRule="exact"/>
        <w:jc w:val="center"/>
        <w:rPr>
          <w:rFonts w:ascii="Times New Roman" w:hAnsi="Times New Roman" w:cs="Times New Roman"/>
          <w:sz w:val="32"/>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表5：水资源相关机遇示例</w:t>
      </w:r>
    </w:p>
    <w:tbl>
      <w:tblPr>
        <w:tblStyle w:val="21"/>
        <w:tblW w:w="8760" w:type="dxa"/>
        <w:tblInd w:w="93" w:type="dxa"/>
        <w:tblLayout w:type="autofit"/>
        <w:tblCellMar>
          <w:top w:w="0" w:type="dxa"/>
          <w:left w:w="108" w:type="dxa"/>
          <w:bottom w:w="0" w:type="dxa"/>
          <w:right w:w="108" w:type="dxa"/>
        </w:tblCellMar>
      </w:tblPr>
      <w:tblGrid>
        <w:gridCol w:w="2030"/>
        <w:gridCol w:w="6730"/>
      </w:tblGrid>
      <w:tr w14:paraId="09D1E560">
        <w:tblPrEx>
          <w:tblCellMar>
            <w:top w:w="0" w:type="dxa"/>
            <w:left w:w="108" w:type="dxa"/>
            <w:bottom w:w="0" w:type="dxa"/>
            <w:right w:w="108" w:type="dxa"/>
          </w:tblCellMar>
        </w:tblPrEx>
        <w:trPr>
          <w:trHeight w:val="330" w:hRule="atLeast"/>
          <w:tblHeader/>
        </w:trPr>
        <w:tc>
          <w:tcPr>
            <w:tcW w:w="2030" w:type="dxa"/>
            <w:tcBorders>
              <w:top w:val="single" w:color="000000" w:sz="8" w:space="0"/>
              <w:left w:val="single" w:color="000000" w:sz="8" w:space="0"/>
              <w:bottom w:val="single" w:color="000000" w:sz="8" w:space="0"/>
              <w:right w:val="single" w:color="000000" w:sz="8" w:space="0"/>
            </w:tcBorders>
          </w:tcPr>
          <w:p w14:paraId="7F641AC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仿宋_GB2312" w:hAnsi="仿宋_GB2312" w:eastAsia="仿宋_GB2312" w:cs="仿宋_GB2312"/>
                <w:b/>
                <w:bCs/>
                <w:color w:val="333333"/>
                <w:sz w:val="24"/>
                <w:szCs w:val="24"/>
                <w:highlight w:val="none"/>
                <w14:ligatures w14:val="standardContextual"/>
              </w:rPr>
            </w:pPr>
            <w:r>
              <w:rPr>
                <w:rFonts w:hint="eastAsia" w:ascii="仿宋_GB2312" w:hAnsi="仿宋_GB2312" w:eastAsia="仿宋_GB2312" w:cs="仿宋_GB2312"/>
                <w:b/>
                <w:bCs/>
                <w:color w:val="333333"/>
                <w:kern w:val="0"/>
                <w:sz w:val="24"/>
                <w:szCs w:val="24"/>
                <w:highlight w:val="none"/>
                <w:lang w:bidi="ar"/>
                <w14:ligatures w14:val="standardContextual"/>
              </w:rPr>
              <w:t>类型</w:t>
            </w:r>
          </w:p>
        </w:tc>
        <w:tc>
          <w:tcPr>
            <w:tcW w:w="6730" w:type="dxa"/>
            <w:tcBorders>
              <w:top w:val="single" w:color="000000" w:sz="8" w:space="0"/>
              <w:left w:val="nil"/>
              <w:bottom w:val="single" w:color="000000" w:sz="8" w:space="0"/>
              <w:right w:val="single" w:color="000000" w:sz="8" w:space="0"/>
            </w:tcBorders>
          </w:tcPr>
          <w:p w14:paraId="3E637D7C">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仿宋_GB2312" w:hAnsi="仿宋_GB2312" w:eastAsia="仿宋_GB2312" w:cs="仿宋_GB2312"/>
                <w:b/>
                <w:bCs/>
                <w:color w:val="333333"/>
                <w:sz w:val="24"/>
                <w:szCs w:val="24"/>
                <w:highlight w:val="none"/>
                <w14:ligatures w14:val="standardContextual"/>
              </w:rPr>
            </w:pPr>
            <w:r>
              <w:rPr>
                <w:rFonts w:hint="eastAsia" w:ascii="仿宋_GB2312" w:hAnsi="仿宋_GB2312" w:eastAsia="仿宋_GB2312" w:cs="仿宋_GB2312"/>
                <w:b/>
                <w:bCs/>
                <w:color w:val="333333"/>
                <w:kern w:val="0"/>
                <w:sz w:val="24"/>
                <w:szCs w:val="24"/>
                <w:highlight w:val="none"/>
                <w:lang w:bidi="ar"/>
                <w14:ligatures w14:val="standardContextual"/>
              </w:rPr>
              <w:t>机遇示例</w:t>
            </w:r>
            <w:r>
              <w:rPr>
                <w:rFonts w:hint="eastAsia" w:ascii="仿宋_GB2312" w:hAnsi="仿宋_GB2312" w:eastAsia="仿宋_GB2312" w:cs="仿宋_GB2312"/>
                <w:b/>
                <w:bCs/>
                <w:kern w:val="0"/>
                <w:sz w:val="24"/>
                <w:szCs w:val="24"/>
                <w:highlight w:val="none"/>
                <w:lang w:bidi="ar"/>
                <w14:ligatures w14:val="standardContextual"/>
              </w:rPr>
              <w:t>（公司可结合自身情况进行分析）</w:t>
            </w:r>
          </w:p>
        </w:tc>
      </w:tr>
      <w:tr w14:paraId="70C6F8B1">
        <w:tblPrEx>
          <w:tblCellMar>
            <w:top w:w="0" w:type="dxa"/>
            <w:left w:w="108" w:type="dxa"/>
            <w:bottom w:w="0" w:type="dxa"/>
            <w:right w:w="108" w:type="dxa"/>
          </w:tblCellMar>
        </w:tblPrEx>
        <w:trPr>
          <w:trHeight w:val="454" w:hRule="atLeast"/>
        </w:trPr>
        <w:tc>
          <w:tcPr>
            <w:tcW w:w="2030" w:type="dxa"/>
            <w:tcBorders>
              <w:top w:val="nil"/>
              <w:left w:val="single" w:color="000000" w:sz="8" w:space="0"/>
              <w:bottom w:val="single" w:color="auto" w:sz="4" w:space="0"/>
              <w:right w:val="single" w:color="000000" w:sz="8" w:space="0"/>
            </w:tcBorders>
            <w:vAlign w:val="center"/>
          </w:tcPr>
          <w:p w14:paraId="545959DB">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水资源相关机遇</w:t>
            </w:r>
          </w:p>
        </w:tc>
        <w:tc>
          <w:tcPr>
            <w:tcW w:w="6730" w:type="dxa"/>
            <w:tcBorders>
              <w:top w:val="single" w:color="000000" w:sz="8" w:space="0"/>
              <w:left w:val="nil"/>
              <w:bottom w:val="single" w:color="000000" w:sz="8" w:space="0"/>
              <w:right w:val="single" w:color="000000" w:sz="8" w:space="0"/>
            </w:tcBorders>
          </w:tcPr>
          <w:p w14:paraId="02D9196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1.新市场开拓，例如水质差的区域可能会对家用水过滤系统产生更大的需求；漏损率高的区域可能会对智慧水务系统等技术解决方案产生需求。</w:t>
            </w:r>
          </w:p>
          <w:p w14:paraId="5DB12F8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2.工业、农业等领域的节水设备、污水处理技术市场需求增长，相关企业也能借此扩大市场份额，提升竞争力。</w:t>
            </w:r>
          </w:p>
          <w:p w14:paraId="7179527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3.由于在水资源风险管理方面采取积极主动措施，获得与开展供应链水管理的企业的合作伙伴机会。</w:t>
            </w:r>
          </w:p>
          <w:p w14:paraId="565CA85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4.提升水资源利用效率可直接减少企业对新鲜水资源的消耗，降低水资源采购成本。</w:t>
            </w:r>
          </w:p>
          <w:p w14:paraId="3BB2219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5.通过优化用水流程、引入水循环利用系统等方式，将废水处理后再次用于生产或其他非饮用用途，提高水资源的重复利用率，在减少水资源浪费的同时降低废水排放处理成本。</w:t>
            </w:r>
          </w:p>
          <w:p w14:paraId="3BBF627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6.为其他市场主体提供水资源审计、节水方案设计、污水处理运营维护等专业服务，填补市场空白，带来新的盈利增长点。</w:t>
            </w:r>
          </w:p>
          <w:p w14:paraId="38323DF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7.水资源利用效率高、具备水资源可持续管理能力的企业和项目获得资金支持，用于技术研发、设备更新和业务扩张，加速自身发展。</w:t>
            </w:r>
          </w:p>
          <w:p w14:paraId="7A7EE29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8.在水资源稀缺区域建立差异化优势，生产用水效率高、节水产品或投资于改善当地水资源的公司更易获取当地客户忠诚度，获得品牌价值及声誉提升。</w:t>
            </w:r>
          </w:p>
        </w:tc>
      </w:tr>
    </w:tbl>
    <w:p w14:paraId="4C79CCB9">
      <w:pPr>
        <w:widowControl/>
        <w:adjustRightInd w:val="0"/>
        <w:snapToGrid w:val="0"/>
        <w:spacing w:before="0" w:beforeLines="-2147483648" w:line="560" w:lineRule="exact"/>
        <w:ind w:firstLine="600" w:firstLineChars="200"/>
        <w:outlineLvl w:val="9"/>
        <w:rPr>
          <w:rFonts w:hint="eastAsia" w:ascii="Times New Roman" w:hAnsi="Times New Roman" w:eastAsia="仿宋_GB2312" w:cs="Times New Roman"/>
          <w:sz w:val="30"/>
          <w:szCs w:val="30"/>
          <w:highlight w:val="none"/>
          <w14:ligatures w14:val="none"/>
        </w:rPr>
      </w:pPr>
      <w:bookmarkStart w:id="14" w:name="_Toc19389"/>
      <w:r>
        <w:rPr>
          <w:rFonts w:hint="eastAsia" w:ascii="Times New Roman" w:hAnsi="Times New Roman" w:eastAsia="仿宋_GB2312" w:cs="Times New Roman"/>
          <w:sz w:val="30"/>
          <w:szCs w:val="30"/>
          <w:highlight w:val="none"/>
          <w14:ligatures w14:val="none"/>
        </w:rPr>
        <w:t>公司自身业务模式或所面临的政策环境、自然环境未发生重大变化的，无需每年开展评估工作。评估工作应结合自身实际，兼顾成本的可负担性。</w:t>
      </w:r>
    </w:p>
    <w:p w14:paraId="1C3F8FAB">
      <w:pPr>
        <w:widowControl/>
        <w:adjustRightInd w:val="0"/>
        <w:snapToGrid w:val="0"/>
        <w:spacing w:before="217" w:beforeLines="50" w:line="560" w:lineRule="exact"/>
        <w:ind w:firstLine="640" w:firstLineChars="200"/>
        <w:outlineLvl w:val="1"/>
        <w:rPr>
          <w:rFonts w:ascii="Times New Roman" w:hAnsi="Times New Roman" w:eastAsia="黑体" w:cs="Times New Roman"/>
          <w:szCs w:val="30"/>
          <w:highlight w:val="none"/>
          <w14:ligatures w14:val="standardContextual"/>
        </w:rPr>
      </w:pPr>
      <w:bookmarkStart w:id="15" w:name="_Toc72485464"/>
      <w:r>
        <w:rPr>
          <w:rFonts w:hint="eastAsia" w:ascii="Times New Roman" w:hAnsi="Times New Roman" w:eastAsia="黑体" w:cs="Times New Roman"/>
          <w:szCs w:val="30"/>
          <w:highlight w:val="none"/>
          <w14:ligatures w14:val="standardContextual"/>
        </w:rPr>
        <w:t>二、水资源相关风险和机遇的财务影响</w:t>
      </w:r>
      <w:bookmarkEnd w:id="14"/>
      <w:bookmarkEnd w:id="15"/>
    </w:p>
    <w:p w14:paraId="4D776637">
      <w:pPr>
        <w:adjustRightInd w:val="0"/>
        <w:snapToGrid w:val="0"/>
        <w:spacing w:line="560" w:lineRule="exact"/>
        <w:ind w:firstLine="600" w:firstLineChars="200"/>
        <w:rPr>
          <w:rFonts w:hint="eastAsia" w:ascii="仿宋_GB2312" w:hAnsi="仿宋_GB2312" w:eastAsia="仿宋_GB2312" w:cs="仿宋_GB2312"/>
          <w:sz w:val="30"/>
          <w:szCs w:val="30"/>
          <w:highlight w:val="none"/>
          <w14:ligatures w14:val="standardContextual"/>
        </w:rPr>
      </w:pPr>
      <w:r>
        <w:rPr>
          <w:rFonts w:hint="eastAsia" w:ascii="仿宋_GB2312" w:hAnsi="仿宋_GB2312" w:eastAsia="仿宋_GB2312" w:cs="仿宋_GB2312"/>
          <w:sz w:val="30"/>
          <w:szCs w:val="30"/>
          <w:highlight w:val="none"/>
          <w14:ligatures w14:val="standardContextual"/>
        </w:rPr>
        <w:t>水资源相关风险和机遇对披露主体的财务影响，是披露主体面临的水资源相关风险和机遇引发的，也与披露主体管理这些风险和机遇的战略和决策有关。水资源相关风险和机遇可能会影响披露主体财务状况、经营成果和现金流，包括当期和预期财务影响。以</w:t>
      </w:r>
      <w:r>
        <w:rPr>
          <w:rFonts w:hint="eastAsia" w:ascii="仿宋_GB2312" w:hAnsi="仿宋_GB2312" w:eastAsia="仿宋_GB2312" w:cs="仿宋_GB2312"/>
          <w:sz w:val="30"/>
          <w:szCs w:val="30"/>
          <w:highlight w:val="none"/>
        </w:rPr>
        <w:t>水资源短缺为例，缺少水资源支撑，企业的经营可能会中断，相应预期财务影响可以通过所在地水资源短缺发生频次、单次严重程度以及经营中断造成的经济价值损失进行定性或定量估计。</w:t>
      </w:r>
    </w:p>
    <w:p w14:paraId="789936AD">
      <w:pPr>
        <w:adjustRightInd w:val="0"/>
        <w:snapToGrid w:val="0"/>
        <w:spacing w:line="560" w:lineRule="exact"/>
        <w:ind w:firstLine="600" w:firstLineChars="200"/>
        <w:rPr>
          <w:rFonts w:hint="eastAsia" w:ascii="仿宋_GB2312" w:hAnsi="仿宋_GB2312" w:eastAsia="仿宋_GB2312" w:cs="仿宋_GB2312"/>
          <w:sz w:val="30"/>
          <w:szCs w:val="30"/>
          <w:highlight w:val="none"/>
          <w14:ligatures w14:val="standardContextual"/>
        </w:rPr>
      </w:pPr>
      <w:r>
        <w:rPr>
          <w:rFonts w:hint="eastAsia" w:ascii="仿宋_GB2312" w:hAnsi="仿宋_GB2312" w:eastAsia="仿宋_GB2312" w:cs="仿宋_GB2312"/>
          <w:sz w:val="30"/>
          <w:szCs w:val="30"/>
          <w:highlight w:val="none"/>
          <w14:ligatures w14:val="standardContextual"/>
        </w:rPr>
        <w:t>水资源相关风险和机遇的财务影响主要涉及的财务类别包括收入、支出（利润表）；资产和负债（资产负债表）以及现金流入和流出（现金流量表）等。</w:t>
      </w:r>
    </w:p>
    <w:p w14:paraId="28D37DDD">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表6：水资源利用相关财务影响的主要类别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4877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tcPr>
          <w:p w14:paraId="54905A3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财务类别</w:t>
            </w:r>
          </w:p>
        </w:tc>
        <w:tc>
          <w:tcPr>
            <w:tcW w:w="6741" w:type="dxa"/>
          </w:tcPr>
          <w:p w14:paraId="40E2663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描述</w:t>
            </w:r>
          </w:p>
        </w:tc>
      </w:tr>
      <w:tr w14:paraId="4D59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6D34E9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收入</w:t>
            </w:r>
          </w:p>
        </w:tc>
        <w:tc>
          <w:tcPr>
            <w:tcW w:w="6741" w:type="dxa"/>
          </w:tcPr>
          <w:p w14:paraId="137A13E1">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水资源短缺或水质问题可能导致生产中断、产量下降，直接影响企业收入，水源供应不足会导致企业被迫缩减产能；若运营地被判定为水资源超载地区（如地表水超载或地下水超载），不得新增取水许可会导致公司潜在业务扩张受限；积极管理水资源（如投资节水技术）可创造新收入来源，如污水回收利用技术可能带来额外收益。</w:t>
            </w:r>
          </w:p>
        </w:tc>
      </w:tr>
      <w:tr w14:paraId="5188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701762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支出</w:t>
            </w:r>
          </w:p>
        </w:tc>
        <w:tc>
          <w:tcPr>
            <w:tcW w:w="6741" w:type="dxa"/>
          </w:tcPr>
          <w:p w14:paraId="0E1EE01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水资源短缺或污染会增加取水、水处理成本，增加运营支出；水价上涨、水资源税或环保罚款缴纳等增加支出；为应对水风险（如设备升级、水源替代项目等），企业需增加资本支出；水资源超载地区的超载综合治理会采取产业结构调整、强化节水、水源置换、严格水资源监管、用水权交易等措施，使得公司运营成本发生变化；通过高效水资源管理（如循环用水），企业可降低长期生产成本。</w:t>
            </w:r>
          </w:p>
        </w:tc>
      </w:tr>
      <w:tr w14:paraId="521C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3AB458F">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资产和负债</w:t>
            </w:r>
          </w:p>
        </w:tc>
        <w:tc>
          <w:tcPr>
            <w:tcW w:w="6741" w:type="dxa"/>
          </w:tcPr>
          <w:p w14:paraId="0C988466">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如水资源短缺可能导致资产减值，高耗水设备</w:t>
            </w:r>
            <w:r>
              <w:rPr>
                <w:rFonts w:hint="eastAsia" w:ascii="仿宋_GB2312" w:hAnsi="仿宋_GB2312" w:eastAsia="仿宋_GB2312" w:cs="仿宋_GB2312"/>
                <w:kern w:val="0"/>
                <w:sz w:val="24"/>
                <w:szCs w:val="24"/>
                <w:highlight w:val="none"/>
                <w:lang w:eastAsia="zh-CN"/>
              </w:rPr>
              <w:t>可能</w:t>
            </w:r>
            <w:r>
              <w:rPr>
                <w:rFonts w:hint="eastAsia" w:ascii="仿宋_GB2312" w:hAnsi="仿宋_GB2312" w:eastAsia="仿宋_GB2312" w:cs="仿宋_GB2312"/>
                <w:kern w:val="0"/>
                <w:sz w:val="24"/>
                <w:szCs w:val="24"/>
                <w:highlight w:val="none"/>
              </w:rPr>
              <w:t>被限制使用；因违规用水（如无证取水、超标排污）被处罚可能引发罚款、诉讼赔偿等，产生或有负债。</w:t>
            </w:r>
          </w:p>
        </w:tc>
      </w:tr>
      <w:tr w14:paraId="37A4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7CD01B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现金流等</w:t>
            </w:r>
          </w:p>
        </w:tc>
        <w:tc>
          <w:tcPr>
            <w:tcW w:w="6741" w:type="dxa"/>
          </w:tcPr>
          <w:p w14:paraId="2EC78773">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如</w:t>
            </w:r>
            <w:r>
              <w:rPr>
                <w:rFonts w:hint="eastAsia" w:ascii="仿宋_GB2312" w:hAnsi="仿宋_GB2312" w:eastAsia="仿宋_GB2312" w:cs="仿宋_GB2312"/>
                <w:kern w:val="0"/>
                <w:sz w:val="24"/>
                <w:szCs w:val="24"/>
                <w:highlight w:val="none"/>
              </w:rPr>
              <w:t>极端天气、政策要求等，导致取水、水处理费用以及水资源税的变动，对经营活动现金流产生影响。</w:t>
            </w:r>
          </w:p>
        </w:tc>
      </w:tr>
    </w:tbl>
    <w:p w14:paraId="2A0372EE">
      <w:pPr>
        <w:widowControl/>
        <w:jc w:val="left"/>
        <w:rPr>
          <w:rFonts w:ascii="Times New Roman" w:hAnsi="Times New Roman" w:cs="Times New Roman"/>
          <w:szCs w:val="30"/>
          <w:highlight w:val="none"/>
        </w:rPr>
      </w:pPr>
      <w:bookmarkStart w:id="16" w:name="_Toc8133"/>
      <w:bookmarkStart w:id="17" w:name="_Toc206501855"/>
    </w:p>
    <w:p w14:paraId="615CF0C5">
      <w:pPr>
        <w:widowControl/>
        <w:jc w:val="left"/>
        <w:rPr>
          <w:rFonts w:ascii="Times New Roman" w:hAnsi="Times New Roman" w:eastAsia="黑体" w:cs="Times New Roman"/>
          <w:b/>
          <w:bCs/>
          <w:szCs w:val="30"/>
          <w:highlight w:val="none"/>
        </w:rPr>
      </w:pPr>
    </w:p>
    <w:p w14:paraId="07B1B5BE">
      <w:pPr>
        <w:rPr>
          <w:rFonts w:hint="eastAsia" w:ascii="Times New Roman" w:hAnsi="Times New Roman" w:eastAsia="黑体" w:cs="Times New Roman"/>
          <w:b/>
          <w:bCs/>
          <w:szCs w:val="30"/>
          <w:highlight w:val="none"/>
        </w:rPr>
      </w:pPr>
      <w:r>
        <w:rPr>
          <w:rFonts w:hint="eastAsia" w:ascii="Times New Roman" w:hAnsi="Times New Roman" w:eastAsia="黑体" w:cs="Times New Roman"/>
          <w:b/>
          <w:bCs/>
          <w:szCs w:val="30"/>
          <w:highlight w:val="none"/>
        </w:rPr>
        <w:br w:type="page"/>
      </w:r>
    </w:p>
    <w:p w14:paraId="458DAD60">
      <w:pPr>
        <w:spacing w:line="560" w:lineRule="exact"/>
        <w:jc w:val="center"/>
        <w:outlineLvl w:val="0"/>
        <w:rPr>
          <w:rFonts w:ascii="Times New Roman" w:hAnsi="Times New Roman" w:eastAsia="黑体" w:cs="Times New Roman"/>
          <w:b/>
          <w:bCs/>
          <w:szCs w:val="30"/>
          <w:highlight w:val="none"/>
        </w:rPr>
      </w:pPr>
      <w:bookmarkStart w:id="18" w:name="_Toc1659285286"/>
      <w:r>
        <w:rPr>
          <w:rFonts w:hint="eastAsia" w:ascii="Times New Roman" w:hAnsi="Times New Roman" w:eastAsia="黑体" w:cs="Times New Roman"/>
          <w:b/>
          <w:bCs/>
          <w:szCs w:val="30"/>
          <w:highlight w:val="none"/>
        </w:rPr>
        <w:t>第二章</w:t>
      </w:r>
      <w:r>
        <w:rPr>
          <w:rFonts w:ascii="Times New Roman" w:hAnsi="Times New Roman" w:eastAsia="黑体" w:cs="Times New Roman"/>
          <w:b/>
          <w:bCs/>
          <w:szCs w:val="30"/>
          <w:highlight w:val="none"/>
        </w:rPr>
        <w:t xml:space="preserve"> </w:t>
      </w:r>
      <w:r>
        <w:rPr>
          <w:rFonts w:hint="eastAsia" w:ascii="Times New Roman" w:hAnsi="Times New Roman" w:eastAsia="黑体" w:cs="Times New Roman"/>
          <w:b/>
          <w:bCs/>
          <w:szCs w:val="30"/>
          <w:highlight w:val="none"/>
        </w:rPr>
        <w:t>常见用水量核算方法</w:t>
      </w:r>
      <w:bookmarkEnd w:id="16"/>
      <w:bookmarkEnd w:id="17"/>
      <w:bookmarkEnd w:id="18"/>
    </w:p>
    <w:p w14:paraId="674126B8">
      <w:pPr>
        <w:widowControl/>
        <w:adjustRightInd w:val="0"/>
        <w:snapToGrid w:val="0"/>
        <w:spacing w:line="560" w:lineRule="exact"/>
        <w:ind w:firstLine="602" w:firstLineChars="200"/>
        <w:outlineLvl w:val="1"/>
        <w:rPr>
          <w:rFonts w:ascii="Times New Roman" w:hAnsi="Times New Roman" w:eastAsia="黑体" w:cs="Times New Roman"/>
          <w:b/>
          <w:sz w:val="30"/>
          <w:szCs w:val="30"/>
          <w:highlight w:val="none"/>
        </w:rPr>
      </w:pPr>
      <w:bookmarkStart w:id="19" w:name="_Toc14529"/>
      <w:bookmarkStart w:id="20" w:name="_Toc1797759920"/>
      <w:bookmarkStart w:id="21" w:name="_Toc206501856"/>
      <w:r>
        <w:rPr>
          <w:rFonts w:hint="eastAsia" w:ascii="Times New Roman" w:hAnsi="Times New Roman" w:eastAsia="黑体" w:cs="Times New Roman"/>
          <w:b/>
          <w:sz w:val="30"/>
          <w:szCs w:val="30"/>
          <w:highlight w:val="none"/>
        </w:rPr>
        <w:t>一、取水量</w:t>
      </w:r>
      <w:bookmarkEnd w:id="19"/>
      <w:bookmarkEnd w:id="20"/>
      <w:bookmarkEnd w:id="21"/>
    </w:p>
    <w:p w14:paraId="497761CC">
      <w:pPr>
        <w:widowControl/>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取水量是指从各种水源或途径获取的水量，包括常规水源取水量和非常规水源利用量，企业可结合自身可得数据进行核算统计。</w:t>
      </w:r>
    </w:p>
    <w:p w14:paraId="03EF99BE">
      <w:pPr>
        <w:widowControl/>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常规水源（即新鲜水），是指取自自然环境的淡水或来自城镇供水厂的供水。</w:t>
      </w:r>
    </w:p>
    <w:p w14:paraId="04DE081C">
      <w:pPr>
        <w:widowControl/>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非常规水源为再生水（即污</w:t>
      </w:r>
      <w:r>
        <w:rPr>
          <w:rFonts w:hint="eastAsia" w:ascii="Times New Roman" w:hAnsi="Times New Roman" w:cs="Times New Roman"/>
          <w:sz w:val="30"/>
          <w:szCs w:val="30"/>
          <w:highlight w:val="none"/>
          <w:lang w:eastAsia="zh-CN"/>
        </w:rPr>
        <w:t>水或废</w:t>
      </w:r>
      <w:r>
        <w:rPr>
          <w:rFonts w:hint="eastAsia" w:ascii="Times New Roman" w:hAnsi="Times New Roman" w:cs="Times New Roman"/>
          <w:sz w:val="30"/>
          <w:szCs w:val="30"/>
          <w:highlight w:val="none"/>
        </w:rPr>
        <w:t>水经过处理后，达到某种用途的水质标准和要求，可以再次利用的水）、集蓄雨水、海水淡化水、矿坑（井）水</w:t>
      </w:r>
      <w:r>
        <w:rPr>
          <w:rFonts w:hint="eastAsia" w:ascii="Times New Roman" w:hAnsi="Times New Roman" w:cs="Times New Roman"/>
          <w:sz w:val="30"/>
          <w:szCs w:val="30"/>
          <w:highlight w:val="none"/>
          <w:lang w:eastAsia="zh-CN"/>
        </w:rPr>
        <w:t>、</w:t>
      </w:r>
      <w:r>
        <w:rPr>
          <w:rFonts w:hint="eastAsia" w:ascii="Times New Roman" w:hAnsi="Times New Roman" w:cs="Times New Roman"/>
          <w:sz w:val="30"/>
          <w:szCs w:val="30"/>
          <w:highlight w:val="none"/>
        </w:rPr>
        <w:t>微咸水的总称。其中，非常规水源若为非生产用途（如绿化、保洁、员工生活），可不计入取水量；若为生产用途（如冷却、清洗、工艺用水），一般计入取水量。披露主体</w:t>
      </w:r>
      <w:r>
        <w:rPr>
          <w:rFonts w:hint="eastAsia" w:ascii="Times New Roman" w:hAnsi="Times New Roman" w:cs="Times New Roman"/>
          <w:sz w:val="30"/>
          <w:szCs w:val="30"/>
          <w:highlight w:val="none"/>
          <w:lang w:eastAsia="zh-CN"/>
        </w:rPr>
        <w:t>也可依据</w:t>
      </w:r>
      <w:r>
        <w:rPr>
          <w:rFonts w:hint="eastAsia" w:ascii="Times New Roman" w:hAnsi="Times New Roman" w:cs="Times New Roman"/>
          <w:sz w:val="30"/>
          <w:szCs w:val="30"/>
          <w:highlight w:val="none"/>
        </w:rPr>
        <w:t>国家主管部门</w:t>
      </w:r>
      <w:r>
        <w:rPr>
          <w:rFonts w:hint="eastAsia" w:ascii="Times New Roman" w:hAnsi="Times New Roman" w:cs="Times New Roman"/>
          <w:sz w:val="30"/>
          <w:szCs w:val="30"/>
          <w:highlight w:val="none"/>
          <w:lang w:eastAsia="zh-CN"/>
        </w:rPr>
        <w:t>要求或</w:t>
      </w:r>
      <w:r>
        <w:rPr>
          <w:rFonts w:hint="eastAsia" w:ascii="Times New Roman" w:hAnsi="Times New Roman" w:cs="Times New Roman"/>
          <w:sz w:val="30"/>
          <w:szCs w:val="30"/>
          <w:highlight w:val="none"/>
        </w:rPr>
        <w:t>行业通行</w:t>
      </w:r>
      <w:r>
        <w:rPr>
          <w:rFonts w:hint="eastAsia" w:ascii="Times New Roman" w:hAnsi="Times New Roman" w:cs="Times New Roman"/>
          <w:sz w:val="30"/>
          <w:szCs w:val="30"/>
          <w:highlight w:val="none"/>
          <w:lang w:eastAsia="zh-CN"/>
        </w:rPr>
        <w:t>做法将</w:t>
      </w:r>
      <w:r>
        <w:rPr>
          <w:rFonts w:hint="eastAsia" w:ascii="Times New Roman" w:hAnsi="Times New Roman" w:cs="Times New Roman"/>
          <w:sz w:val="30"/>
          <w:szCs w:val="30"/>
          <w:highlight w:val="none"/>
        </w:rPr>
        <w:t>非常规水源</w:t>
      </w:r>
      <w:r>
        <w:rPr>
          <w:rFonts w:hint="eastAsia" w:ascii="Times New Roman" w:hAnsi="Times New Roman" w:cs="Times New Roman"/>
          <w:sz w:val="30"/>
          <w:szCs w:val="30"/>
          <w:highlight w:val="none"/>
          <w:lang w:eastAsia="zh-CN"/>
        </w:rPr>
        <w:t>按照一定比例折算为常规水源，核算取水量。</w:t>
      </w:r>
    </w:p>
    <w:p w14:paraId="3732A2D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Times New Roman" w:hAnsi="Times New Roman" w:cs="Times New Roman"/>
          <w:sz w:val="30"/>
          <w:szCs w:val="30"/>
          <w:highlight w:val="none"/>
          <w14:ligatures w14:val="standardContextual"/>
        </w:rPr>
      </w:pPr>
      <m:oMathPara>
        <m:oMath>
          <m:sSub>
            <m:sSubPr>
              <m:ctrlPr>
                <w:rPr>
                  <w:rFonts w:ascii="DejaVu Math TeX Gyre" w:hAnsi="DejaVu Math TeX Gyre" w:cs="Times New Roman"/>
                  <w:i/>
                  <w:sz w:val="30"/>
                  <w:szCs w:val="30"/>
                  <w:highlight w:val="none"/>
                </w:rPr>
              </m:ctrlPr>
            </m:sSubPr>
            <m:e>
              <m:r>
                <m:rPr/>
                <w:rPr>
                  <w:rFonts w:ascii="DejaVu Math TeX Gyre" w:hAnsi="DejaVu Math TeX Gyre" w:cs="Times New Roman"/>
                  <w:sz w:val="30"/>
                  <w:szCs w:val="30"/>
                  <w:highlight w:val="none"/>
                </w:rPr>
                <m:t>V</m:t>
              </m:r>
              <m:ctrlPr>
                <w:rPr>
                  <w:rFonts w:ascii="DejaVu Math TeX Gyre" w:hAnsi="DejaVu Math TeX Gyre" w:cs="Times New Roman"/>
                  <w:i/>
                  <w:sz w:val="30"/>
                  <w:szCs w:val="30"/>
                  <w:highlight w:val="none"/>
                </w:rPr>
              </m:ctrlPr>
            </m:e>
            <m:sub>
              <m:r>
                <m:rPr/>
                <w:rPr>
                  <w:rFonts w:ascii="DejaVu Math TeX Gyre" w:hAnsi="DejaVu Math TeX Gyre" w:cs="Times New Roman"/>
                  <w:sz w:val="30"/>
                  <w:szCs w:val="30"/>
                  <w:highlight w:val="none"/>
                </w:rPr>
                <m:t>i</m:t>
              </m:r>
              <m:ctrlPr>
                <w:rPr>
                  <w:rFonts w:ascii="DejaVu Math TeX Gyre" w:hAnsi="DejaVu Math TeX Gyre" w:cs="Times New Roman"/>
                  <w:i/>
                  <w:sz w:val="30"/>
                  <w:szCs w:val="30"/>
                  <w:highlight w:val="none"/>
                </w:rPr>
              </m:ctrlPr>
            </m:sub>
          </m:sSub>
          <m:r>
            <m:rPr/>
            <w:rPr>
              <w:rFonts w:ascii="DejaVu Math TeX Gyre" w:hAnsi="DejaVu Math TeX Gyre" w:cs="Times New Roman"/>
              <w:sz w:val="30"/>
              <w:szCs w:val="30"/>
              <w:highlight w:val="none"/>
            </w:rPr>
            <m:t>=</m:t>
          </m:r>
          <m:nary>
            <m:naryPr>
              <m:chr m:val="∑"/>
              <m:limLoc m:val="subSup"/>
              <m:ctrlPr>
                <w:rPr>
                  <w:rFonts w:ascii="DejaVu Math TeX Gyre" w:hAnsi="DejaVu Math TeX Gyre" w:cs="Times New Roman"/>
                  <w:sz w:val="30"/>
                  <w:szCs w:val="30"/>
                  <w:highlight w:val="none"/>
                </w:rPr>
              </m:ctrlPr>
            </m:naryPr>
            <m:sub>
              <m:r>
                <m:rPr/>
                <w:rPr>
                  <w:rFonts w:ascii="DejaVu Math TeX Gyre" w:hAnsi="DejaVu Math TeX Gyre" w:cs="Times New Roman"/>
                  <w:sz w:val="30"/>
                  <w:szCs w:val="30"/>
                  <w:highlight w:val="none"/>
                </w:rPr>
                <m:t>j=1</m:t>
              </m:r>
              <m:ctrlPr>
                <w:rPr>
                  <w:rFonts w:ascii="DejaVu Math TeX Gyre" w:hAnsi="DejaVu Math TeX Gyre" w:cs="Times New Roman"/>
                  <w:sz w:val="30"/>
                  <w:szCs w:val="30"/>
                  <w:highlight w:val="none"/>
                </w:rPr>
              </m:ctrlPr>
            </m:sub>
            <m:sup>
              <m:r>
                <m:rPr/>
                <w:rPr>
                  <w:rFonts w:ascii="DejaVu Math TeX Gyre" w:hAnsi="DejaVu Math TeX Gyre" w:cs="Times New Roman"/>
                  <w:sz w:val="30"/>
                  <w:szCs w:val="30"/>
                  <w:highlight w:val="none"/>
                </w:rPr>
                <m:t>n</m:t>
              </m:r>
              <m:ctrlPr>
                <w:rPr>
                  <w:rFonts w:ascii="DejaVu Math TeX Gyre" w:hAnsi="DejaVu Math TeX Gyre" w:cs="Times New Roman"/>
                  <w:sz w:val="30"/>
                  <w:szCs w:val="30"/>
                  <w:highlight w:val="none"/>
                </w:rPr>
              </m:ctrlPr>
            </m:sup>
            <m:e>
              <m:sSub>
                <m:sSubPr>
                  <m:ctrlPr>
                    <w:rPr>
                      <w:rFonts w:ascii="DejaVu Math TeX Gyre" w:hAnsi="DejaVu Math TeX Gyre" w:cs="Times New Roman"/>
                      <w:i/>
                      <w:sz w:val="30"/>
                      <w:szCs w:val="30"/>
                      <w:highlight w:val="none"/>
                    </w:rPr>
                  </m:ctrlPr>
                </m:sSubPr>
                <m:e>
                  <m:r>
                    <m:rPr/>
                    <w:rPr>
                      <w:rFonts w:ascii="DejaVu Math TeX Gyre" w:hAnsi="DejaVu Math TeX Gyre" w:cs="Times New Roman"/>
                      <w:sz w:val="30"/>
                      <w:szCs w:val="30"/>
                      <w:highlight w:val="none"/>
                    </w:rPr>
                    <m:t>V</m:t>
                  </m:r>
                  <m:ctrlPr>
                    <w:rPr>
                      <w:rFonts w:ascii="DejaVu Math TeX Gyre" w:hAnsi="DejaVu Math TeX Gyre" w:cs="Times New Roman"/>
                      <w:i/>
                      <w:sz w:val="30"/>
                      <w:szCs w:val="30"/>
                      <w:highlight w:val="none"/>
                    </w:rPr>
                  </m:ctrlPr>
                </m:e>
                <m:sub>
                  <m:r>
                    <m:rPr/>
                    <w:rPr>
                      <w:rFonts w:ascii="DejaVu Math TeX Gyre" w:hAnsi="DejaVu Math TeX Gyre" w:cs="Times New Roman"/>
                      <w:sz w:val="30"/>
                      <w:szCs w:val="30"/>
                      <w:highlight w:val="none"/>
                    </w:rPr>
                    <m:t>ij</m:t>
                  </m:r>
                  <m:ctrlPr>
                    <w:rPr>
                      <w:rFonts w:ascii="DejaVu Math TeX Gyre" w:hAnsi="DejaVu Math TeX Gyre" w:cs="Times New Roman"/>
                      <w:i/>
                      <w:sz w:val="30"/>
                      <w:szCs w:val="30"/>
                      <w:highlight w:val="none"/>
                    </w:rPr>
                  </m:ctrlPr>
                </m:sub>
              </m:sSub>
              <m:ctrlPr>
                <w:rPr>
                  <w:rFonts w:ascii="DejaVu Math TeX Gyre" w:hAnsi="DejaVu Math TeX Gyre" w:cs="Times New Roman"/>
                  <w:sz w:val="30"/>
                  <w:szCs w:val="30"/>
                  <w:highlight w:val="none"/>
                </w:rPr>
              </m:ctrlPr>
            </m:e>
          </m:nary>
        </m:oMath>
      </m:oMathPara>
    </w:p>
    <w:p w14:paraId="2C9EC730">
      <w:pPr>
        <w:widowControl/>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式中：</w:t>
      </w:r>
    </w:p>
    <w:p w14:paraId="22146291">
      <w:pPr>
        <w:widowControl/>
        <w:ind w:firstLine="600"/>
        <w:rPr>
          <w:rFonts w:ascii="Times New Roman" w:hAnsi="Times New Roman"/>
          <w:sz w:val="30"/>
          <w:szCs w:val="30"/>
          <w:highlight w:val="none"/>
        </w:rPr>
      </w:pPr>
      <m:oMath>
        <m:sSub>
          <m:sSubPr>
            <m:ctrlPr>
              <w:rPr>
                <w:rFonts w:hint="eastAsia" w:ascii="DejaVu Math TeX Gyre" w:hAnsi="DejaVu Math TeX Gyre"/>
                <w:sz w:val="30"/>
                <w:szCs w:val="30"/>
                <w:highlight w:val="none"/>
              </w:rPr>
            </m:ctrlPr>
          </m:sSubPr>
          <m:e>
            <m:r>
              <m:rPr>
                <m:sty m:val="p"/>
              </m:rPr>
              <w:rPr>
                <w:rFonts w:ascii="DejaVu Math TeX Gyre" w:hAnsi="DejaVu Math TeX Gyre"/>
                <w:sz w:val="30"/>
                <w:szCs w:val="30"/>
                <w:highlight w:val="none"/>
              </w:rPr>
              <m:t>V</m:t>
            </m:r>
            <m:ctrlPr>
              <w:rPr>
                <w:rFonts w:hint="eastAsia" w:ascii="DejaVu Math TeX Gyre" w:hAnsi="DejaVu Math TeX Gyre"/>
                <w:sz w:val="30"/>
                <w:szCs w:val="30"/>
                <w:highlight w:val="none"/>
              </w:rPr>
            </m:ctrlPr>
          </m:e>
          <m:sub>
            <m:r>
              <m:rPr>
                <m:sty m:val="p"/>
              </m:rPr>
              <w:rPr>
                <w:rFonts w:ascii="DejaVu Math TeX Gyre" w:hAnsi="DejaVu Math TeX Gyre"/>
                <w:sz w:val="30"/>
                <w:szCs w:val="30"/>
                <w:highlight w:val="none"/>
              </w:rPr>
              <m:t>i</m:t>
            </m:r>
            <m:ctrlPr>
              <w:rPr>
                <w:rFonts w:hint="eastAsia" w:ascii="DejaVu Math TeX Gyre" w:hAnsi="DejaVu Math TeX Gyre"/>
                <w:sz w:val="30"/>
                <w:szCs w:val="30"/>
                <w:highlight w:val="none"/>
              </w:rPr>
            </m:ctrlPr>
          </m:sub>
        </m:sSub>
        <m:r>
          <m:rPr/>
          <w:rPr>
            <w:rFonts w:hint="eastAsia" w:ascii="DejaVu Math TeX Gyre" w:hAnsi="DejaVu Math TeX Gyre"/>
            <w:sz w:val="30"/>
            <w:szCs w:val="30"/>
            <w:highlight w:val="none"/>
          </w:rPr>
          <m:t xml:space="preserve"> </m:t>
        </m:r>
      </m:oMath>
      <w:r>
        <w:rPr>
          <w:rFonts w:hint="eastAsia" w:eastAsia="仿宋_GB2312"/>
          <w:sz w:val="30"/>
          <w:szCs w:val="30"/>
          <w:highlight w:val="none"/>
        </w:rPr>
        <w:t>——</w:t>
      </w:r>
      <w:r>
        <w:rPr>
          <w:rFonts w:hint="eastAsia" w:ascii="Times New Roman" w:hAnsi="Times New Roman"/>
          <w:sz w:val="30"/>
          <w:szCs w:val="30"/>
          <w:highlight w:val="none"/>
        </w:rPr>
        <w:t>统计期内取水量，单位为吨；</w:t>
      </w:r>
    </w:p>
    <w:p w14:paraId="1F8F9549">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ascii="Times New Roman" w:hAnsi="Times New Roman"/>
          <w:sz w:val="30"/>
          <w:szCs w:val="30"/>
          <w:highlight w:val="none"/>
        </w:rPr>
      </w:pPr>
      <m:oMath>
        <m:sSub>
          <m:sSubPr>
            <m:ctrlPr>
              <w:rPr>
                <w:rFonts w:hint="eastAsia" w:ascii="DejaVu Math TeX Gyre" w:hAnsi="DejaVu Math TeX Gyre"/>
                <w:sz w:val="30"/>
                <w:szCs w:val="30"/>
                <w:highlight w:val="none"/>
              </w:rPr>
            </m:ctrlPr>
          </m:sSubPr>
          <m:e>
            <m:r>
              <m:rPr>
                <m:sty m:val="p"/>
              </m:rPr>
              <w:rPr>
                <w:rFonts w:ascii="DejaVu Math TeX Gyre" w:hAnsi="DejaVu Math TeX Gyre"/>
                <w:sz w:val="30"/>
                <w:szCs w:val="30"/>
                <w:highlight w:val="none"/>
              </w:rPr>
              <m:t>V</m:t>
            </m:r>
            <m:ctrlPr>
              <w:rPr>
                <w:rFonts w:hint="eastAsia" w:ascii="DejaVu Math TeX Gyre" w:hAnsi="DejaVu Math TeX Gyre"/>
                <w:sz w:val="30"/>
                <w:szCs w:val="30"/>
                <w:highlight w:val="none"/>
              </w:rPr>
            </m:ctrlPr>
          </m:e>
          <m:sub>
            <m:r>
              <m:rPr>
                <m:sty m:val="p"/>
              </m:rPr>
              <w:rPr>
                <w:rFonts w:ascii="DejaVu Math TeX Gyre" w:hAnsi="DejaVu Math TeX Gyre"/>
                <w:sz w:val="30"/>
                <w:szCs w:val="30"/>
                <w:highlight w:val="none"/>
              </w:rPr>
              <m:t>ij</m:t>
            </m:r>
            <m:ctrlPr>
              <w:rPr>
                <w:rFonts w:hint="eastAsia" w:ascii="DejaVu Math TeX Gyre" w:hAnsi="DejaVu Math TeX Gyre"/>
                <w:sz w:val="30"/>
                <w:szCs w:val="30"/>
                <w:highlight w:val="none"/>
              </w:rPr>
            </m:ctrlPr>
          </m:sub>
        </m:sSub>
      </m:oMath>
      <w:r>
        <w:rPr>
          <w:rFonts w:hint="eastAsia" w:eastAsia="仿宋_GB2312"/>
          <w:sz w:val="30"/>
          <w:szCs w:val="30"/>
          <w:highlight w:val="none"/>
        </w:rPr>
        <w:t>——</w:t>
      </w:r>
      <w:r>
        <w:rPr>
          <w:rFonts w:hint="eastAsia" w:ascii="Times New Roman" w:hAnsi="Times New Roman"/>
          <w:sz w:val="30"/>
          <w:szCs w:val="30"/>
          <w:highlight w:val="none"/>
        </w:rPr>
        <w:t>统计期内，用水单位的取水量等于各水源取水量之和，单位为吨。其中，</w:t>
      </w:r>
      <w:r>
        <w:rPr>
          <w:rFonts w:ascii="Times New Roman" w:hAnsi="Times New Roman"/>
          <w:sz w:val="30"/>
          <w:szCs w:val="30"/>
          <w:highlight w:val="none"/>
        </w:rPr>
        <w:t>“j”</w:t>
      </w:r>
      <w:r>
        <w:rPr>
          <w:rFonts w:hint="eastAsia" w:ascii="Times New Roman" w:hAnsi="Times New Roman"/>
          <w:sz w:val="30"/>
          <w:szCs w:val="30"/>
          <w:highlight w:val="none"/>
        </w:rPr>
        <w:t>代表不同的水源。</w:t>
      </w:r>
    </w:p>
    <w:p w14:paraId="00CDE6F4">
      <w:pPr>
        <w:widowControl/>
        <w:adjustRightInd w:val="0"/>
        <w:snapToGrid w:val="0"/>
        <w:spacing w:line="560" w:lineRule="exact"/>
        <w:ind w:firstLine="602" w:firstLineChars="200"/>
        <w:outlineLvl w:val="1"/>
        <w:rPr>
          <w:rFonts w:hint="eastAsia" w:ascii="Times New Roman" w:hAnsi="Times New Roman" w:eastAsia="黑体" w:cs="Times New Roman"/>
          <w:b/>
          <w:sz w:val="30"/>
          <w:szCs w:val="30"/>
          <w:highlight w:val="none"/>
        </w:rPr>
      </w:pPr>
      <w:bookmarkStart w:id="22" w:name="_Toc577825940"/>
      <w:bookmarkStart w:id="23" w:name="_Toc206501857"/>
      <w:bookmarkStart w:id="24" w:name="_Toc4293"/>
      <w:bookmarkStart w:id="25" w:name="OLE_LINK2"/>
      <w:r>
        <w:rPr>
          <w:rFonts w:hint="eastAsia" w:ascii="Times New Roman" w:hAnsi="Times New Roman" w:eastAsia="黑体" w:cs="Times New Roman"/>
          <w:b/>
          <w:sz w:val="30"/>
          <w:szCs w:val="30"/>
          <w:highlight w:val="none"/>
        </w:rPr>
        <w:t>二、耗水量</w:t>
      </w:r>
      <w:bookmarkEnd w:id="22"/>
      <w:bookmarkEnd w:id="23"/>
      <w:bookmarkEnd w:id="24"/>
      <w:bookmarkStart w:id="36" w:name="_GoBack"/>
      <w:bookmarkEnd w:id="36"/>
    </w:p>
    <w:p w14:paraId="0AD9F6D3">
      <w:pPr>
        <w:adjustRightInd w:val="0"/>
        <w:snapToGrid w:val="0"/>
        <w:spacing w:line="560" w:lineRule="exact"/>
        <w:ind w:firstLine="600" w:firstLineChars="200"/>
        <w:rPr>
          <w:rFonts w:ascii="Times New Roman" w:hAnsi="Times New Roman" w:cs="Times New Roman"/>
          <w:sz w:val="30"/>
          <w:szCs w:val="30"/>
          <w:highlight w:val="none"/>
          <w14:ligatures w14:val="standardContextual"/>
        </w:rPr>
      </w:pPr>
      <w:r>
        <w:rPr>
          <w:rFonts w:hint="eastAsia" w:ascii="Times New Roman" w:hAnsi="Times New Roman" w:cs="Times New Roman"/>
          <w:sz w:val="30"/>
          <w:szCs w:val="30"/>
          <w:highlight w:val="none"/>
        </w:rPr>
        <w:t>耗水量</w:t>
      </w:r>
      <w:bookmarkEnd w:id="25"/>
      <w:r>
        <w:rPr>
          <w:rFonts w:hint="eastAsia" w:ascii="Times New Roman" w:hAnsi="Times New Roman" w:cs="Times New Roman"/>
          <w:sz w:val="30"/>
          <w:szCs w:val="30"/>
          <w:highlight w:val="none"/>
        </w:rPr>
        <w:t>是指在生产经营活动中，以各种形式消耗和损失而不能回归到地表水体或地下含水层的水量，一般可以通过取水量减去排水量（处理合格之后排回地表水、地下水、海水或第三方的水量）计算，反映企业对下游水资源可利用量的整体影响程度。</w:t>
      </w:r>
      <m:oMath>
        <m:sSub>
          <m:sSubPr>
            <m:ctrlPr>
              <w:rPr>
                <w:rFonts w:ascii="DejaVu Math TeX Gyre" w:hAnsi="DejaVu Math TeX Gyre" w:cs="Times New Roman"/>
                <w:sz w:val="30"/>
                <w:szCs w:val="30"/>
                <w:highlight w:val="none"/>
              </w:rPr>
            </m:ctrlPr>
          </m:sSubPr>
          <m:e>
            <m:r>
              <m:rPr/>
              <w:rPr>
                <w:rFonts w:ascii="DejaVu Math TeX Gyre" w:hAnsi="DejaVu Math TeX Gyre" w:cs="Times New Roman"/>
                <w:sz w:val="30"/>
                <w:szCs w:val="30"/>
                <w:highlight w:val="none"/>
              </w:rPr>
              <m:t>V</m:t>
            </m:r>
            <m:ctrlPr>
              <w:rPr>
                <w:rFonts w:ascii="DejaVu Math TeX Gyre" w:hAnsi="DejaVu Math TeX Gyre" w:cs="Times New Roman"/>
                <w:sz w:val="30"/>
                <w:szCs w:val="30"/>
                <w:highlight w:val="none"/>
              </w:rPr>
            </m:ctrlPr>
          </m:e>
          <m:sub>
            <m:r>
              <m:rPr/>
              <w:rPr>
                <w:rFonts w:ascii="DejaVu Math TeX Gyre" w:hAnsi="DejaVu Math TeX Gyre" w:cs="Times New Roman"/>
                <w:sz w:val="30"/>
                <w:szCs w:val="30"/>
                <w:highlight w:val="none"/>
              </w:rPr>
              <m:t>t</m:t>
            </m:r>
            <m:ctrlPr>
              <w:rPr>
                <w:rFonts w:ascii="DejaVu Math TeX Gyre" w:hAnsi="DejaVu Math TeX Gyre" w:cs="Times New Roman"/>
                <w:sz w:val="30"/>
                <w:szCs w:val="30"/>
                <w:highlight w:val="none"/>
              </w:rPr>
            </m:ctrlPr>
          </m:sub>
        </m:sSub>
        <m:r>
          <m:rPr/>
          <w:rPr>
            <w:rFonts w:ascii="DejaVu Math TeX Gyre" w:hAnsi="DejaVu Math TeX Gyre" w:cs="Times New Roman"/>
            <w:sz w:val="30"/>
            <w:szCs w:val="30"/>
            <w:highlight w:val="none"/>
          </w:rPr>
          <m:t>=</m:t>
        </m:r>
        <m:sSub>
          <m:sSubPr>
            <m:ctrlPr>
              <w:rPr>
                <w:rFonts w:ascii="DejaVu Math TeX Gyre" w:hAnsi="DejaVu Math TeX Gyre" w:cs="Times New Roman"/>
                <w:sz w:val="30"/>
                <w:szCs w:val="30"/>
                <w:highlight w:val="none"/>
              </w:rPr>
            </m:ctrlPr>
          </m:sSubPr>
          <m:e>
            <m:r>
              <m:rPr/>
              <w:rPr>
                <w:rFonts w:ascii="DejaVu Math TeX Gyre" w:hAnsi="DejaVu Math TeX Gyre" w:cs="Times New Roman"/>
                <w:sz w:val="30"/>
                <w:szCs w:val="30"/>
                <w:highlight w:val="none"/>
              </w:rPr>
              <m:t>V</m:t>
            </m:r>
            <m:ctrlPr>
              <w:rPr>
                <w:rFonts w:ascii="DejaVu Math TeX Gyre" w:hAnsi="DejaVu Math TeX Gyre" w:cs="Times New Roman"/>
                <w:sz w:val="30"/>
                <w:szCs w:val="30"/>
                <w:highlight w:val="none"/>
              </w:rPr>
            </m:ctrlPr>
          </m:e>
          <m:sub>
            <m:r>
              <m:rPr/>
              <w:rPr>
                <w:rFonts w:ascii="DejaVu Math TeX Gyre" w:hAnsi="DejaVu Math TeX Gyre" w:cs="Times New Roman"/>
                <w:sz w:val="30"/>
                <w:szCs w:val="30"/>
                <w:highlight w:val="none"/>
              </w:rPr>
              <m:t>i</m:t>
            </m:r>
            <m:ctrlPr>
              <w:rPr>
                <w:rFonts w:ascii="DejaVu Math TeX Gyre" w:hAnsi="DejaVu Math TeX Gyre" w:cs="Times New Roman"/>
                <w:sz w:val="30"/>
                <w:szCs w:val="30"/>
                <w:highlight w:val="none"/>
              </w:rPr>
            </m:ctrlPr>
          </m:sub>
        </m:sSub>
        <m:r>
          <m:rPr/>
          <w:rPr>
            <w:rFonts w:ascii="DejaVu Math TeX Gyre" w:hAnsi="DejaVu Math TeX Gyre" w:cs="Times New Roman"/>
            <w:sz w:val="30"/>
            <w:szCs w:val="30"/>
            <w:highlight w:val="none"/>
          </w:rPr>
          <m:t>−</m:t>
        </m:r>
        <m:sSub>
          <m:sSubPr>
            <m:ctrlPr>
              <w:rPr>
                <w:rFonts w:ascii="DejaVu Math TeX Gyre" w:hAnsi="DejaVu Math TeX Gyre" w:cs="Times New Roman"/>
                <w:sz w:val="30"/>
                <w:szCs w:val="30"/>
                <w:highlight w:val="none"/>
              </w:rPr>
            </m:ctrlPr>
          </m:sSubPr>
          <m:e>
            <m:r>
              <m:rPr/>
              <w:rPr>
                <w:rFonts w:ascii="DejaVu Math TeX Gyre" w:hAnsi="DejaVu Math TeX Gyre" w:cs="Times New Roman"/>
                <w:sz w:val="30"/>
                <w:szCs w:val="30"/>
                <w:highlight w:val="none"/>
              </w:rPr>
              <m:t>V</m:t>
            </m:r>
            <m:ctrlPr>
              <w:rPr>
                <w:rFonts w:ascii="DejaVu Math TeX Gyre" w:hAnsi="DejaVu Math TeX Gyre" w:cs="Times New Roman"/>
                <w:sz w:val="30"/>
                <w:szCs w:val="30"/>
                <w:highlight w:val="none"/>
              </w:rPr>
            </m:ctrlPr>
          </m:e>
          <m:sub>
            <m:r>
              <m:rPr>
                <m:sty m:val="p"/>
              </m:rPr>
              <w:rPr>
                <w:rFonts w:ascii="DejaVu Math TeX Gyre" w:hAnsi="DejaVu Math TeX Gyre" w:cs="Times New Roman"/>
                <w:sz w:val="30"/>
                <w:szCs w:val="30"/>
                <w:highlight w:val="none"/>
              </w:rPr>
              <m:t>d</m:t>
            </m:r>
            <m:ctrlPr>
              <w:rPr>
                <w:rFonts w:ascii="DejaVu Math TeX Gyre" w:hAnsi="DejaVu Math TeX Gyre" w:cs="Times New Roman"/>
                <w:sz w:val="30"/>
                <w:szCs w:val="30"/>
                <w:highlight w:val="none"/>
              </w:rPr>
            </m:ctrlPr>
          </m:sub>
        </m:sSub>
      </m:oMath>
    </w:p>
    <w:p w14:paraId="66DEB6DF">
      <w:pPr>
        <w:adjustRightInd w:val="0"/>
        <w:snapToGrid w:val="0"/>
        <w:spacing w:line="560" w:lineRule="exact"/>
        <w:ind w:firstLine="600" w:firstLineChars="200"/>
        <w:rPr>
          <w:rFonts w:ascii="Times New Roman" w:hAnsi="Times New Roman" w:cs="Times New Roman"/>
          <w:sz w:val="30"/>
          <w:szCs w:val="30"/>
          <w:highlight w:val="none"/>
        </w:rPr>
      </w:pPr>
      <w:r>
        <w:rPr>
          <w:rFonts w:hint="eastAsia" w:ascii="Times New Roman" w:hAnsi="Times New Roman" w:cs="Times New Roman"/>
          <w:sz w:val="30"/>
          <w:szCs w:val="30"/>
          <w:highlight w:val="none"/>
        </w:rPr>
        <w:t>式中：</w:t>
      </w:r>
    </w:p>
    <w:p w14:paraId="0B0A6989">
      <w:pPr>
        <w:ind w:firstLine="600"/>
        <w:rPr>
          <w:rFonts w:ascii="Times New Roman" w:hAnsi="Times New Roman"/>
          <w:sz w:val="30"/>
          <w:szCs w:val="30"/>
          <w:highlight w:val="none"/>
        </w:rPr>
      </w:pPr>
      <m:oMath>
        <m:sSub>
          <m:sSubPr>
            <m:ctrlPr>
              <w:rPr>
                <w:rFonts w:hint="eastAsia" w:ascii="DejaVu Math TeX Gyre" w:hAnsi="DejaVu Math TeX Gyre"/>
                <w:sz w:val="30"/>
                <w:szCs w:val="30"/>
                <w:highlight w:val="none"/>
              </w:rPr>
            </m:ctrlPr>
          </m:sSubPr>
          <m:e>
            <m:r>
              <m:rPr>
                <m:sty m:val="p"/>
              </m:rPr>
              <w:rPr>
                <w:rFonts w:ascii="DejaVu Math TeX Gyre" w:hAnsi="DejaVu Math TeX Gyre"/>
                <w:sz w:val="30"/>
                <w:szCs w:val="30"/>
                <w:highlight w:val="none"/>
              </w:rPr>
              <m:t>V</m:t>
            </m:r>
            <m:ctrlPr>
              <w:rPr>
                <w:rFonts w:hint="eastAsia" w:ascii="DejaVu Math TeX Gyre" w:hAnsi="DejaVu Math TeX Gyre"/>
                <w:sz w:val="30"/>
                <w:szCs w:val="30"/>
                <w:highlight w:val="none"/>
              </w:rPr>
            </m:ctrlPr>
          </m:e>
          <m:sub>
            <m:r>
              <m:rPr>
                <m:sty m:val="p"/>
              </m:rPr>
              <w:rPr>
                <w:rFonts w:ascii="DejaVu Math TeX Gyre" w:hAnsi="DejaVu Math TeX Gyre"/>
                <w:sz w:val="30"/>
                <w:szCs w:val="30"/>
                <w:highlight w:val="none"/>
              </w:rPr>
              <m:t>t</m:t>
            </m:r>
            <m:ctrlPr>
              <w:rPr>
                <w:rFonts w:hint="eastAsia" w:ascii="DejaVu Math TeX Gyre" w:hAnsi="DejaVu Math TeX Gyre"/>
                <w:sz w:val="30"/>
                <w:szCs w:val="30"/>
                <w:highlight w:val="none"/>
              </w:rPr>
            </m:ctrlPr>
          </m:sub>
        </m:sSub>
        <m:r>
          <m:rPr/>
          <w:rPr>
            <w:rFonts w:hint="eastAsia" w:ascii="DejaVu Math TeX Gyre" w:hAnsi="DejaVu Math TeX Gyre"/>
            <w:sz w:val="30"/>
            <w:szCs w:val="30"/>
            <w:highlight w:val="none"/>
          </w:rPr>
          <m:t xml:space="preserve"> </m:t>
        </m:r>
      </m:oMath>
      <w:r>
        <w:rPr>
          <w:rFonts w:hint="eastAsia" w:eastAsia="仿宋_GB2312"/>
          <w:sz w:val="30"/>
          <w:szCs w:val="30"/>
          <w:highlight w:val="none"/>
        </w:rPr>
        <w:t>——</w:t>
      </w:r>
      <w:r>
        <w:rPr>
          <w:rFonts w:hint="eastAsia" w:ascii="Times New Roman" w:hAnsi="Times New Roman"/>
          <w:sz w:val="30"/>
          <w:szCs w:val="30"/>
          <w:highlight w:val="none"/>
        </w:rPr>
        <w:t>统计期内耗水量，单位为吨；</w:t>
      </w:r>
    </w:p>
    <w:p w14:paraId="6485D9FF">
      <w:pPr>
        <w:ind w:firstLine="600"/>
        <w:rPr>
          <w:rFonts w:ascii="Times New Roman" w:hAnsi="Times New Roman"/>
          <w:sz w:val="30"/>
          <w:szCs w:val="30"/>
          <w:highlight w:val="none"/>
        </w:rPr>
      </w:pPr>
      <m:oMath>
        <m:sSub>
          <m:sSubPr>
            <m:ctrlPr>
              <w:rPr>
                <w:rFonts w:hint="eastAsia" w:ascii="DejaVu Math TeX Gyre" w:hAnsi="DejaVu Math TeX Gyre"/>
                <w:sz w:val="30"/>
                <w:szCs w:val="30"/>
                <w:highlight w:val="none"/>
              </w:rPr>
            </m:ctrlPr>
          </m:sSubPr>
          <m:e>
            <m:r>
              <m:rPr>
                <m:sty m:val="p"/>
              </m:rPr>
              <w:rPr>
                <w:rFonts w:ascii="DejaVu Math TeX Gyre" w:hAnsi="DejaVu Math TeX Gyre"/>
                <w:sz w:val="30"/>
                <w:szCs w:val="30"/>
                <w:highlight w:val="none"/>
              </w:rPr>
              <m:t>V</m:t>
            </m:r>
            <m:ctrlPr>
              <w:rPr>
                <w:rFonts w:hint="eastAsia" w:ascii="DejaVu Math TeX Gyre" w:hAnsi="DejaVu Math TeX Gyre"/>
                <w:sz w:val="30"/>
                <w:szCs w:val="30"/>
                <w:highlight w:val="none"/>
              </w:rPr>
            </m:ctrlPr>
          </m:e>
          <m:sub>
            <m:r>
              <m:rPr>
                <m:sty m:val="p"/>
              </m:rPr>
              <w:rPr>
                <w:rFonts w:ascii="DejaVu Math TeX Gyre" w:hAnsi="DejaVu Math TeX Gyre"/>
                <w:sz w:val="30"/>
                <w:szCs w:val="30"/>
                <w:highlight w:val="none"/>
              </w:rPr>
              <m:t>i</m:t>
            </m:r>
            <m:ctrlPr>
              <w:rPr>
                <w:rFonts w:hint="eastAsia" w:ascii="DejaVu Math TeX Gyre" w:hAnsi="DejaVu Math TeX Gyre"/>
                <w:sz w:val="30"/>
                <w:szCs w:val="30"/>
                <w:highlight w:val="none"/>
              </w:rPr>
            </m:ctrlPr>
          </m:sub>
        </m:sSub>
        <m:r>
          <m:rPr/>
          <w:rPr>
            <w:rFonts w:hint="eastAsia" w:ascii="DejaVu Math TeX Gyre" w:hAnsi="DejaVu Math TeX Gyre"/>
            <w:sz w:val="30"/>
            <w:szCs w:val="30"/>
            <w:highlight w:val="none"/>
          </w:rPr>
          <m:t xml:space="preserve"> </m:t>
        </m:r>
      </m:oMath>
      <w:r>
        <w:rPr>
          <w:rFonts w:hint="eastAsia" w:eastAsia="仿宋_GB2312"/>
          <w:sz w:val="30"/>
          <w:szCs w:val="30"/>
          <w:highlight w:val="none"/>
        </w:rPr>
        <w:t>——</w:t>
      </w:r>
      <w:r>
        <w:rPr>
          <w:rFonts w:hint="eastAsia" w:ascii="Times New Roman" w:hAnsi="Times New Roman"/>
          <w:sz w:val="30"/>
          <w:szCs w:val="30"/>
          <w:highlight w:val="none"/>
        </w:rPr>
        <w:t>统计期内取水量，单位为吨；</w:t>
      </w:r>
    </w:p>
    <w:p w14:paraId="18707FA9">
      <w:pPr>
        <w:ind w:firstLine="600"/>
        <w:rPr>
          <w:rFonts w:ascii="Times New Roman" w:hAnsi="Times New Roman"/>
          <w:sz w:val="30"/>
          <w:szCs w:val="30"/>
          <w:highlight w:val="none"/>
        </w:rPr>
      </w:pPr>
      <m:oMath>
        <m:sSub>
          <m:sSubPr>
            <m:ctrlPr>
              <w:rPr>
                <w:rFonts w:hint="eastAsia" w:ascii="DejaVu Math TeX Gyre" w:hAnsi="DejaVu Math TeX Gyre"/>
                <w:sz w:val="30"/>
                <w:szCs w:val="30"/>
                <w:highlight w:val="none"/>
              </w:rPr>
            </m:ctrlPr>
          </m:sSubPr>
          <m:e>
            <m:r>
              <m:rPr>
                <m:sty m:val="p"/>
              </m:rPr>
              <w:rPr>
                <w:rFonts w:ascii="DejaVu Math TeX Gyre" w:hAnsi="DejaVu Math TeX Gyre"/>
                <w:sz w:val="30"/>
                <w:szCs w:val="30"/>
                <w:highlight w:val="none"/>
              </w:rPr>
              <m:t>V</m:t>
            </m:r>
            <m:ctrlPr>
              <w:rPr>
                <w:rFonts w:hint="eastAsia" w:ascii="DejaVu Math TeX Gyre" w:hAnsi="DejaVu Math TeX Gyre"/>
                <w:sz w:val="30"/>
                <w:szCs w:val="30"/>
                <w:highlight w:val="none"/>
              </w:rPr>
            </m:ctrlPr>
          </m:e>
          <m:sub>
            <m:r>
              <m:rPr>
                <m:sty m:val="p"/>
              </m:rPr>
              <w:rPr>
                <w:rFonts w:ascii="DejaVu Math TeX Gyre" w:hAnsi="DejaVu Math TeX Gyre"/>
                <w:sz w:val="30"/>
                <w:szCs w:val="30"/>
                <w:highlight w:val="none"/>
              </w:rPr>
              <m:t>d</m:t>
            </m:r>
            <m:ctrlPr>
              <w:rPr>
                <w:rFonts w:hint="eastAsia" w:ascii="DejaVu Math TeX Gyre" w:hAnsi="DejaVu Math TeX Gyre"/>
                <w:sz w:val="30"/>
                <w:szCs w:val="30"/>
                <w:highlight w:val="none"/>
              </w:rPr>
            </m:ctrlPr>
          </m:sub>
        </m:sSub>
      </m:oMath>
      <w:r>
        <w:rPr>
          <w:rFonts w:hint="eastAsia" w:eastAsia="仿宋_GB2312"/>
          <w:sz w:val="30"/>
          <w:szCs w:val="30"/>
          <w:highlight w:val="none"/>
        </w:rPr>
        <w:t>——</w:t>
      </w:r>
      <w:r>
        <w:rPr>
          <w:rFonts w:hint="eastAsia" w:ascii="Times New Roman" w:hAnsi="Times New Roman"/>
          <w:sz w:val="30"/>
          <w:szCs w:val="30"/>
          <w:highlight w:val="none"/>
        </w:rPr>
        <w:t>统计期内排水量，单位为吨。</w:t>
      </w:r>
    </w:p>
    <w:p w14:paraId="5A6C44AF">
      <w:pPr>
        <w:rPr>
          <w:rFonts w:hint="eastAsia" w:ascii="Times New Roman" w:hAnsi="Times New Roman" w:eastAsia="黑体" w:cs="Times New Roman"/>
          <w:b/>
          <w:bCs/>
          <w:szCs w:val="30"/>
          <w:highlight w:val="none"/>
        </w:rPr>
      </w:pPr>
      <w:bookmarkStart w:id="26" w:name="_Toc206501862"/>
      <w:bookmarkStart w:id="27" w:name="_Toc14657"/>
      <w:r>
        <w:rPr>
          <w:rFonts w:hint="eastAsia" w:ascii="Times New Roman" w:hAnsi="Times New Roman" w:eastAsia="黑体" w:cs="Times New Roman"/>
          <w:b/>
          <w:bCs/>
          <w:szCs w:val="30"/>
          <w:highlight w:val="none"/>
        </w:rPr>
        <w:br w:type="page"/>
      </w:r>
    </w:p>
    <w:p w14:paraId="362B17D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ascii="Times New Roman" w:hAnsi="Times New Roman" w:eastAsia="黑体" w:cs="Times New Roman"/>
          <w:b/>
          <w:bCs/>
          <w:szCs w:val="30"/>
          <w:highlight w:val="none"/>
        </w:rPr>
      </w:pPr>
      <w:bookmarkStart w:id="28" w:name="_Toc235636120"/>
      <w:r>
        <w:rPr>
          <w:rFonts w:hint="eastAsia" w:ascii="Times New Roman" w:hAnsi="Times New Roman" w:eastAsia="黑体" w:cs="Times New Roman"/>
          <w:b/>
          <w:bCs/>
          <w:szCs w:val="30"/>
          <w:highlight w:val="none"/>
        </w:rPr>
        <w:t>第三章</w:t>
      </w:r>
      <w:r>
        <w:rPr>
          <w:rFonts w:ascii="Times New Roman" w:hAnsi="Times New Roman" w:eastAsia="黑体" w:cs="Times New Roman"/>
          <w:b/>
          <w:bCs/>
          <w:szCs w:val="30"/>
          <w:highlight w:val="none"/>
        </w:rPr>
        <w:t xml:space="preserve"> </w:t>
      </w:r>
      <w:r>
        <w:rPr>
          <w:rFonts w:hint="eastAsia" w:ascii="Times New Roman" w:hAnsi="Times New Roman" w:eastAsia="黑体" w:cs="Times New Roman"/>
          <w:b/>
          <w:bCs/>
          <w:szCs w:val="30"/>
          <w:highlight w:val="none"/>
        </w:rPr>
        <w:t>披露要点</w:t>
      </w:r>
      <w:bookmarkEnd w:id="26"/>
      <w:bookmarkEnd w:id="27"/>
      <w:bookmarkEnd w:id="28"/>
    </w:p>
    <w:p w14:paraId="3F2575A2">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根据《指引》规定，披露主体针对水资源利用相关影响、风险和机遇的管理和监督已经建立整体性治理结构和内部制度的，可以对治理要素的内容进行整合披露，无需单独披露水资源利用相关治理信息。</w:t>
      </w:r>
    </w:p>
    <w:p w14:paraId="2E3EC523">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水资源利用相关治理、战略、影响、风险及机遇管理以及指标与目标信息可以参照</w:t>
      </w:r>
      <w:r>
        <w:rPr>
          <w:rFonts w:hint="eastAsia" w:ascii="仿宋_GB2312" w:hAnsi="仿宋_GB2312" w:eastAsia="仿宋_GB2312" w:cs="仿宋_GB2312"/>
          <w:sz w:val="30"/>
          <w:szCs w:val="30"/>
          <w:highlight w:val="none"/>
          <w:lang w:eastAsia="zh-CN"/>
        </w:rPr>
        <w:t>《第一号</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总体要求与披露框架</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指南</w:t>
      </w:r>
      <w:r>
        <w:rPr>
          <w:rFonts w:hint="eastAsia" w:ascii="仿宋_GB2312" w:hAnsi="仿宋_GB2312" w:eastAsia="仿宋_GB2312" w:cs="仿宋_GB2312"/>
          <w:sz w:val="30"/>
          <w:szCs w:val="30"/>
          <w:highlight w:val="none"/>
        </w:rPr>
        <w:t>相关规定进行披露。</w:t>
      </w:r>
    </w:p>
    <w:p w14:paraId="391D995F">
      <w:pPr>
        <w:widowControl w:val="0"/>
        <w:adjustRightInd w:val="0"/>
        <w:snapToGrid w:val="0"/>
        <w:spacing w:before="219" w:beforeLines="50" w:line="560" w:lineRule="exact"/>
        <w:ind w:firstLine="600" w:firstLineChars="200"/>
        <w:outlineLvl w:val="0"/>
        <w:rPr>
          <w:rFonts w:hint="eastAsia" w:ascii="黑体" w:hAnsi="黑体" w:eastAsia="黑体" w:cs="黑体"/>
          <w:b w:val="0"/>
          <w:sz w:val="30"/>
          <w:szCs w:val="30"/>
          <w:highlight w:val="none"/>
        </w:rPr>
      </w:pPr>
      <w:bookmarkStart w:id="29" w:name="_Toc8673"/>
      <w:bookmarkStart w:id="30" w:name="_Toc206501863"/>
      <w:bookmarkStart w:id="31" w:name="_Toc485521738"/>
      <w:r>
        <w:rPr>
          <w:rFonts w:hint="eastAsia" w:ascii="黑体" w:hAnsi="黑体" w:eastAsia="黑体" w:cs="黑体"/>
          <w:b w:val="0"/>
          <w:sz w:val="30"/>
          <w:szCs w:val="30"/>
          <w:highlight w:val="none"/>
        </w:rPr>
        <w:t>披露要点1 水资源使用的基本情况</w:t>
      </w:r>
      <w:bookmarkEnd w:id="29"/>
      <w:bookmarkEnd w:id="30"/>
      <w:bookmarkEnd w:id="31"/>
    </w:p>
    <w:p w14:paraId="3F919A31">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1．总耗水量</w:t>
      </w:r>
    </w:p>
    <w:p w14:paraId="4FD52AFB">
      <w:pPr>
        <w:widowControl/>
        <w:adjustRightInd w:val="0"/>
        <w:snapToGrid w:val="0"/>
        <w:spacing w:line="560" w:lineRule="exact"/>
        <w:ind w:firstLine="600" w:firstLineChars="200"/>
        <w:jc w:val="left"/>
        <w:rPr>
          <w:rFonts w:hint="eastAsia" w:ascii="仿宋_GB2312" w:hAnsi="仿宋_GB2312" w:eastAsia="仿宋_GB2312" w:cs="仿宋_GB2312"/>
          <w:strike/>
          <w:sz w:val="30"/>
          <w:szCs w:val="30"/>
          <w:highlight w:val="none"/>
        </w:rPr>
      </w:pPr>
      <w:r>
        <w:rPr>
          <w:rFonts w:hint="eastAsia" w:ascii="仿宋_GB2312" w:hAnsi="仿宋_GB2312" w:eastAsia="仿宋_GB2312" w:cs="仿宋_GB2312"/>
          <w:sz w:val="30"/>
          <w:szCs w:val="30"/>
          <w:highlight w:val="none"/>
        </w:rPr>
        <w:t>披露主体应当披露总耗水量（以吨为单位），具体可以参考第二章相关内容进行核算。当排水量无实测数据或无法获得，统计成本较高时，</w:t>
      </w:r>
      <w:bookmarkStart w:id="32" w:name="OLE_LINK1"/>
      <w:r>
        <w:rPr>
          <w:rFonts w:hint="eastAsia" w:ascii="仿宋_GB2312" w:hAnsi="仿宋_GB2312" w:eastAsia="仿宋_GB2312" w:cs="仿宋_GB2312"/>
          <w:sz w:val="30"/>
          <w:szCs w:val="30"/>
          <w:highlight w:val="none"/>
        </w:rPr>
        <w:t>企业可结合自身实际，核算并披露总取水量。</w:t>
      </w:r>
      <w:bookmarkEnd w:id="32"/>
    </w:p>
    <w:p w14:paraId="3FDECF94">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2．水资源使用强度</w:t>
      </w:r>
    </w:p>
    <w:p w14:paraId="61CE25EC">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披露主体应当披露水资源使用强度（如以每单位产品、每单位营收等计算）。</w:t>
      </w:r>
    </w:p>
    <w:p w14:paraId="3C91C1AD">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于产品类型相对集中的企业而言，可以披露单位产品用水强度（如每单位产品的耗水量等）。对于产品类型较为分散、产品多元或服务导向型企业而言，可以披露每单位营收用水强度（如每单位营收的耗水量等）。</w:t>
      </w:r>
    </w:p>
    <w:p w14:paraId="3EBFD5C0">
      <w:pPr>
        <w:widowControl w:val="0"/>
        <w:adjustRightInd w:val="0"/>
        <w:snapToGrid w:val="0"/>
        <w:spacing w:before="219" w:beforeLines="50" w:line="560" w:lineRule="exact"/>
        <w:ind w:firstLine="600" w:firstLineChars="200"/>
        <w:outlineLvl w:val="0"/>
        <w:rPr>
          <w:rFonts w:hint="eastAsia" w:ascii="黑体" w:hAnsi="黑体" w:eastAsia="黑体" w:cs="黑体"/>
          <w:b w:val="0"/>
          <w:sz w:val="30"/>
          <w:szCs w:val="30"/>
          <w:highlight w:val="none"/>
        </w:rPr>
      </w:pPr>
      <w:bookmarkStart w:id="33" w:name="_Toc9908"/>
      <w:bookmarkStart w:id="34" w:name="_Toc206501864"/>
      <w:bookmarkStart w:id="35" w:name="_Toc957803568"/>
      <w:r>
        <w:rPr>
          <w:rFonts w:hint="eastAsia" w:ascii="黑体" w:hAnsi="黑体" w:eastAsia="黑体" w:cs="黑体"/>
          <w:b w:val="0"/>
          <w:sz w:val="30"/>
          <w:szCs w:val="30"/>
          <w:highlight w:val="none"/>
        </w:rPr>
        <w:t>披露要点2 水资源节约目标以及具体措施情况</w:t>
      </w:r>
      <w:bookmarkEnd w:id="33"/>
      <w:bookmarkEnd w:id="34"/>
      <w:bookmarkEnd w:id="35"/>
    </w:p>
    <w:p w14:paraId="607800AA">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水资源节约目标。披露主体可以考虑从耗水量、重复用水、非常规水资源利用等方面设置量化且易于考核的目标。目标的选取可结合行业特点、企业实际运营情况以及相关的政策及标准，以确保其具有针对性和可比性。</w:t>
      </w:r>
    </w:p>
    <w:p w14:paraId="76BE5265">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 节约水资源的具体措施。企业可结合自身情况，也可以考虑从以下环节入手。</w:t>
      </w:r>
    </w:p>
    <w:p w14:paraId="7E6BE852">
      <w:pPr>
        <w:widowControl/>
        <w:adjustRightInd w:val="0"/>
        <w:snapToGrid w:val="0"/>
        <w:ind w:firstLine="0" w:firstLineChars="0"/>
        <w:jc w:val="center"/>
        <w:rPr>
          <w:rFonts w:ascii="Times New Roman" w:hAnsi="Times New Roman" w:eastAsia="黑体" w:cs="Times New Roman"/>
          <w:kern w:val="0"/>
          <w:sz w:val="24"/>
          <w:szCs w:val="24"/>
          <w:highlight w:val="none"/>
          <w14:ligatures w14:val="standardContextual"/>
        </w:rPr>
      </w:pPr>
      <w:r>
        <w:rPr>
          <w:rFonts w:hint="eastAsia" w:ascii="Times New Roman" w:hAnsi="Times New Roman" w:eastAsia="黑体" w:cs="Times New Roman"/>
          <w:kern w:val="0"/>
          <w:sz w:val="24"/>
          <w:szCs w:val="24"/>
          <w:highlight w:val="none"/>
          <w14:ligatures w14:val="standardContextual"/>
        </w:rPr>
        <w:t>表</w:t>
      </w:r>
      <w:r>
        <w:rPr>
          <w:rFonts w:ascii="Times New Roman" w:hAnsi="Times New Roman" w:eastAsia="黑体" w:cs="Times New Roman"/>
          <w:kern w:val="0"/>
          <w:sz w:val="24"/>
          <w:szCs w:val="24"/>
          <w:highlight w:val="none"/>
          <w14:ligatures w14:val="standardContextual"/>
        </w:rPr>
        <w:t>7</w:t>
      </w:r>
      <w:r>
        <w:rPr>
          <w:rFonts w:hint="eastAsia" w:ascii="Times New Roman" w:hAnsi="Times New Roman" w:eastAsia="黑体" w:cs="Times New Roman"/>
          <w:kern w:val="0"/>
          <w:sz w:val="24"/>
          <w:szCs w:val="24"/>
          <w:highlight w:val="none"/>
          <w14:ligatures w14:val="standardContextual"/>
        </w:rPr>
        <w:t>：节约水资源具体措施示例</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242"/>
      </w:tblGrid>
      <w:tr w14:paraId="2F7B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pct"/>
            <w:vAlign w:val="center"/>
          </w:tcPr>
          <w:p w14:paraId="0CBC86E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环节</w:t>
            </w:r>
          </w:p>
        </w:tc>
        <w:tc>
          <w:tcPr>
            <w:tcW w:w="4249" w:type="pct"/>
            <w:vAlign w:val="center"/>
          </w:tcPr>
          <w:p w14:paraId="3790222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sz w:val="24"/>
                <w:szCs w:val="24"/>
                <w:highlight w:val="none"/>
                <w14:ligatures w14:val="standardContextual"/>
              </w:rPr>
            </w:pPr>
            <w:r>
              <w:rPr>
                <w:rFonts w:hint="eastAsia" w:ascii="仿宋_GB2312" w:hAnsi="仿宋_GB2312" w:eastAsia="仿宋_GB2312" w:cs="仿宋_GB2312"/>
                <w:b/>
                <w:sz w:val="24"/>
                <w:szCs w:val="24"/>
                <w:highlight w:val="none"/>
                <w14:ligatures w14:val="standardContextual"/>
              </w:rPr>
              <w:t>具体措施示例</w:t>
            </w:r>
          </w:p>
        </w:tc>
      </w:tr>
      <w:tr w14:paraId="4479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A6C917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水资源管理</w:t>
            </w:r>
          </w:p>
        </w:tc>
        <w:tc>
          <w:tcPr>
            <w:tcW w:w="4249" w:type="pct"/>
            <w:vAlign w:val="center"/>
          </w:tcPr>
          <w:p w14:paraId="22147EA9">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1.完善水资源管理组织架构，例如由董事会统筹公司用水、节水工作，设置水资源管理部门和专（兼）职管理人员，明确岗位职责。</w:t>
            </w:r>
          </w:p>
          <w:p w14:paraId="074BCE5F">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2.制定节水政策和制度，开展员工用水效率培训，增强全员节水意识。</w:t>
            </w:r>
          </w:p>
          <w:p w14:paraId="0238D61A">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建立用水管理统计核算制度。定期统计核算用水情况，动态调整用水计划；建立清晰的水资源管理物理边界，例如：确定生产经营场所运营边界（含租赁场地）的取水水源地（地表/地下/再生水）及对应的水权属性（法定取水许可、流域惯例用水权等）。</w:t>
            </w:r>
          </w:p>
          <w:p w14:paraId="597A50C7">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4.加强智能化管理。完善用水计量设施，普及安装智能水表等设备，实现用水数据精准监控。</w:t>
            </w:r>
          </w:p>
        </w:tc>
      </w:tr>
      <w:tr w14:paraId="0E3D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0C95342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规划和设计</w:t>
            </w:r>
          </w:p>
        </w:tc>
        <w:tc>
          <w:tcPr>
            <w:tcW w:w="4249" w:type="pct"/>
            <w:vAlign w:val="center"/>
          </w:tcPr>
          <w:p w14:paraId="52FE15E1">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选址决策中，坚持水资源适配性原则，进行取水可行性分析和水资源论证，确保经营活动与当地水资源承载力相匹配，防止在水资源短缺/压力区域布局高耗水业务或引入高耗水项目，以最大限度降低断水停产和供应链中断的风险。</w:t>
            </w:r>
          </w:p>
          <w:p w14:paraId="789A398B">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2.在新建、改建和扩建建设项目时，配套建设节水设施，做到节水设施与主体工程同时设计、同时施工、同</w:t>
            </w:r>
            <w:r>
              <w:rPr>
                <w:rFonts w:hint="eastAsia" w:ascii="仿宋_GB2312" w:hAnsi="仿宋_GB2312" w:eastAsia="仿宋_GB2312" w:cs="仿宋_GB2312"/>
                <w:sz w:val="24"/>
                <w:szCs w:val="24"/>
                <w:highlight w:val="none"/>
                <w:lang w:eastAsia="zh-CN"/>
                <w14:ligatures w14:val="standardContextual"/>
              </w:rPr>
              <w:t>步</w:t>
            </w:r>
            <w:r>
              <w:rPr>
                <w:rFonts w:hint="eastAsia" w:ascii="仿宋_GB2312" w:hAnsi="仿宋_GB2312" w:eastAsia="仿宋_GB2312" w:cs="仿宋_GB2312"/>
                <w:sz w:val="24"/>
                <w:szCs w:val="24"/>
                <w:highlight w:val="none"/>
                <w14:ligatures w14:val="standardContextual"/>
              </w:rPr>
              <w:t>投入使用。</w:t>
            </w:r>
          </w:p>
          <w:p w14:paraId="4F9E7D69">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3.在规划、设计以及制定用水节水方案时考虑有效的管理措施和重复利用、非常规水资源利用、节水技术或工艺。</w:t>
            </w:r>
          </w:p>
        </w:tc>
      </w:tr>
      <w:tr w14:paraId="0AA3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7B6BDB3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取水环节</w:t>
            </w:r>
          </w:p>
        </w:tc>
        <w:tc>
          <w:tcPr>
            <w:tcW w:w="4249" w:type="pct"/>
            <w:vAlign w:val="center"/>
          </w:tcPr>
          <w:p w14:paraId="73C5CCBB">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1.合理规划和核算取水量，做到总量控制、定额管理。</w:t>
            </w:r>
          </w:p>
          <w:p w14:paraId="064C169A">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2.根据生产用水需要，结合当地水资源情况合理选择水源，并经当地水行政主管部门审批，按计划取水。</w:t>
            </w:r>
          </w:p>
          <w:p w14:paraId="300BBE61">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3.因地制宜，充分利用非常规水资源。在满足用水要求的条件下，用低质水取代优质水。例如，在沿海地区企业利用海水，矿区企业宜利用矿井水。</w:t>
            </w:r>
          </w:p>
          <w:p w14:paraId="4D935E10">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4.加强公共供水系统取水和其他外购水的控制和管理。</w:t>
            </w:r>
          </w:p>
          <w:p w14:paraId="298C68F3">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5.自建供水系统配备符合标准要求的取水、计量及水处理设备。</w:t>
            </w:r>
          </w:p>
        </w:tc>
      </w:tr>
      <w:tr w14:paraId="0393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ACFDB3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供水、储水、用水环节</w:t>
            </w:r>
          </w:p>
        </w:tc>
        <w:tc>
          <w:tcPr>
            <w:tcW w:w="4249" w:type="pct"/>
            <w:vAlign w:val="center"/>
          </w:tcPr>
          <w:p w14:paraId="031878CA">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1.制定和实施供水、储水、用水管道和设备的维护和管理制度，定期进行检查，建立供水、用水管网设施漏损控制体系，采取措施控制水的漏损。</w:t>
            </w:r>
          </w:p>
          <w:p w14:paraId="5CDE8146">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2.加强对重点用水设备和工序的管理，制定和实施主要用水工序、设备的用水标准以及用水操作规程。</w:t>
            </w:r>
          </w:p>
          <w:p w14:paraId="5F12347F">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3.加强内部用水管理，建立节水管理制度，采用分质供水、高效冷却和洗涤、循环用水、废水处理回用等先进、适用节水技术、工艺和设备。评估各生产用水单元用水水质及用量，避免高品质低用及过度用水现象，优化水平衡。</w:t>
            </w:r>
          </w:p>
          <w:p w14:paraId="5874C35A">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4.回收利用生产设备冷却水、空调冷却水、锅炉冷凝水，高耗水工业企业逐步推广废水深度处理回用技术措施，提高水资源重复利用率。完善内部水处理及中水回用系统工艺设计，提高制水效率，建设储水池/库坝，收集雨水并回用于生产。</w:t>
            </w:r>
          </w:p>
          <w:p w14:paraId="12773E06">
            <w:pPr>
              <w:keepNext w:val="0"/>
              <w:keepLines w:val="0"/>
              <w:pageBreakBefore w:val="0"/>
              <w:widowControl w:val="0"/>
              <w:numPr>
                <w:ilvl w:val="255"/>
                <w:numId w:val="0"/>
              </w:numPr>
              <w:kinsoku/>
              <w:wordWrap/>
              <w:overflowPunct/>
              <w:topLinePunct w:val="0"/>
              <w:autoSpaceDE/>
              <w:autoSpaceDN/>
              <w:bidi w:val="0"/>
              <w:adjustRightInd w:val="0"/>
              <w:snapToGrid w:val="0"/>
              <w:spacing w:line="400" w:lineRule="exact"/>
              <w:ind w:firstLine="0" w:firstLineChars="0"/>
              <w:contextualSpacing/>
              <w:textAlignment w:val="auto"/>
              <w:rPr>
                <w:rFonts w:hint="eastAsia" w:ascii="仿宋_GB2312" w:hAnsi="仿宋_GB2312" w:eastAsia="仿宋_GB2312" w:cs="仿宋_GB2312"/>
                <w:sz w:val="24"/>
                <w:szCs w:val="24"/>
                <w:highlight w:val="none"/>
                <w14:ligatures w14:val="standardContextual"/>
              </w:rPr>
            </w:pPr>
            <w:r>
              <w:rPr>
                <w:rFonts w:hint="eastAsia" w:ascii="仿宋_GB2312" w:hAnsi="仿宋_GB2312" w:eastAsia="仿宋_GB2312" w:cs="仿宋_GB2312"/>
                <w:sz w:val="24"/>
                <w:szCs w:val="24"/>
                <w:highlight w:val="none"/>
                <w14:ligatures w14:val="standardContextual"/>
              </w:rPr>
              <w:t>5.发展喷灌、微灌、管道输水灌溉、渠道防渗输水灌溉、集雨补灌等节水灌溉技术，提高灌溉用水效率。</w:t>
            </w:r>
          </w:p>
        </w:tc>
      </w:tr>
    </w:tbl>
    <w:p w14:paraId="3CBF7263">
      <w:pPr>
        <w:widowControl/>
        <w:adjustRightInd w:val="0"/>
        <w:snapToGrid w:val="0"/>
        <w:spacing w:before="157" w:beforeLines="50"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 描述水资源回收利用的情况。如描述水资源回收利用的具体举措及成效，可与节约水资源的具体措施合并披露，成效可以通过重复利用水在总用水量中的占比等量化指标进行衡量与披露。</w:t>
      </w:r>
    </w:p>
    <w:p w14:paraId="179413E3">
      <w:pPr>
        <w:widowControl/>
        <w:adjustRightInd w:val="0"/>
        <w:snapToGrid w:val="0"/>
        <w:spacing w:line="56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 描述水资源使用存在的具体困难（如有）。</w:t>
      </w:r>
    </w:p>
    <w:p w14:paraId="26CBAFBA">
      <w:pPr>
        <w:rPr>
          <w:rFonts w:hint="eastAsia"/>
          <w:highlight w:val="none"/>
        </w:rPr>
      </w:pPr>
    </w:p>
    <w:p w14:paraId="58799A8B">
      <w:pPr>
        <w:ind w:firstLine="0" w:firstLineChars="0"/>
        <w:rPr>
          <w:rFonts w:hint="default" w:ascii="Times New Roman" w:hAnsi="Times New Roman" w:cs="Times New Roman"/>
          <w:highlight w:val="none"/>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ource Han Serif CN">
    <w:altName w:val="仿宋_GB2312"/>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inorHAnsi">
    <w:altName w:val="Times New Roman"/>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9E07">
    <w:pPr>
      <w:pStyle w:val="12"/>
    </w:pPr>
  </w:p>
  <w:p w14:paraId="674FD88B">
    <w:pPr>
      <w:tabs>
        <w:tab w:val="center" w:pos="4153"/>
        <w:tab w:val="right" w:pos="8306"/>
      </w:tabs>
      <w:adjustRightInd w:val="0"/>
      <w:snapToGrid w:val="0"/>
      <w:spacing w:line="560" w:lineRule="exact"/>
      <w:ind w:firstLine="0" w:firstLineChars="0"/>
      <w:jc w:val="both"/>
      <w:rPr>
        <w:rFonts w:ascii="Times New Roman" w:hAnsi="Times New Roman" w:eastAsia="仿宋" w:cs="Times New Roman"/>
        <w:color w:val="333333"/>
        <w:sz w:val="22"/>
        <w:szCs w:val="18"/>
        <w14:ligatures w14:val="standardContextual"/>
      </w:rPr>
    </w:pP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565F4">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76565F4">
                    <w:pPr>
                      <w:pStyle w:val="12"/>
                    </w:pPr>
                  </w:p>
                </w:txbxContent>
              </v:textbox>
            </v:shape>
          </w:pict>
        </mc:Fallback>
      </mc:AlternateContent>
    </w: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0BD5E0">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020BD5E0">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56B6">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8D415">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C48D415">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ADB5">
    <w:pPr>
      <w:tabs>
        <w:tab w:val="center" w:pos="4153"/>
        <w:tab w:val="right" w:pos="8306"/>
      </w:tabs>
      <w:adjustRightInd w:val="0"/>
      <w:snapToGrid w:val="0"/>
      <w:spacing w:line="560" w:lineRule="exact"/>
      <w:ind w:firstLine="440" w:firstLineChars="200"/>
      <w:jc w:val="center"/>
      <w:rPr>
        <w:rFonts w:ascii="Times New Roman" w:hAnsi="Times New Roman" w:eastAsia="仿宋" w:cs="Times New Roman"/>
        <w:color w:val="333333"/>
        <w:sz w:val="22"/>
        <w:szCs w:val="18"/>
        <w14:ligatures w14:val="standardContextual"/>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2F479">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B2F479">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BF564">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9DBF564">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2A6C">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0FF4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3E0FF49">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ascii="仿宋" w:hAnsi="minorHAnsi" w:eastAsia="仿宋" w:cs="Times New Roman"/>
        <w:color w:val="333333"/>
        <w:sz w:val="18"/>
        <w:szCs w:val="18"/>
        <w14:ligatures w14:val="standardContextua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12536">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4D612536">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960381183"/>
    </w:sdtPr>
    <w:sdtEndPr>
      <w:rPr>
        <w:rFonts w:ascii="Times New Roman" w:hAnsi="Times New Roman" w:cs="Times New Roman"/>
      </w:rPr>
    </w:sdtEndPr>
    <w:sdtContent>
      <w:p w14:paraId="3CFC1935">
        <w:pPr>
          <w:pStyle w:val="12"/>
          <w:spacing w:before="120"/>
          <w:ind w:firstLine="360"/>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21</w:t>
        </w:r>
        <w:r>
          <w:rPr>
            <w:rFonts w:ascii="Times New Roman" w:hAnsi="Times New Roman" w:cs="Times New Roman"/>
          </w:rPr>
          <w:fldChar w:fldCharType="end"/>
        </w:r>
      </w:p>
    </w:sdtContent>
  </w:sdt>
  <w:p w14:paraId="2E5FCF63">
    <w:pPr>
      <w:spacing w:before="12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6DF">
    <w:pPr>
      <w:pStyle w:val="12"/>
      <w:spacing w:before="120"/>
      <w:ind w:firstLine="360"/>
      <w:rPr>
        <w:rFonts w:hint="eastAsia"/>
      </w:rPr>
    </w:pPr>
  </w:p>
  <w:p w14:paraId="507E27AE">
    <w:pPr>
      <w:spacing w:before="120"/>
      <w:rPr>
        <w:rFonts w:hint="eastAsia"/>
      </w:rPr>
    </w:pPr>
  </w:p>
  <w:p w14:paraId="12C522FE">
    <w:pPr>
      <w:spacing w:before="120"/>
      <w:rPr>
        <w:rFonts w:hint="eastAsia"/>
      </w:rPr>
    </w:pPr>
  </w:p>
  <w:p w14:paraId="2FDC2984">
    <w:pPr>
      <w:spacing w:before="120"/>
      <w:rPr>
        <w:rFonts w:hint="eastAsia"/>
      </w:rPr>
    </w:pPr>
  </w:p>
  <w:p w14:paraId="2C316C1F">
    <w:pPr>
      <w:spacing w:before="120"/>
      <w:rPr>
        <w:rFonts w:hint="eastAsia"/>
      </w:rPr>
    </w:pPr>
  </w:p>
  <w:p w14:paraId="7F0D9974">
    <w:pPr>
      <w:spacing w:before="120"/>
      <w:rPr>
        <w:rFonts w:hint="eastAsia"/>
      </w:rPr>
    </w:pPr>
  </w:p>
  <w:p w14:paraId="47C5002F">
    <w:pPr>
      <w:spacing w:before="120"/>
      <w:rPr>
        <w:rFonts w:hint="eastAsia"/>
      </w:rPr>
    </w:pPr>
  </w:p>
  <w:p w14:paraId="6BA4ED74">
    <w:pPr>
      <w:spacing w:before="120"/>
      <w:rPr>
        <w:rFonts w:hint="eastAsia"/>
      </w:rPr>
    </w:pPr>
  </w:p>
  <w:p w14:paraId="313667F0">
    <w:pPr>
      <w:spacing w:before="120"/>
      <w:rPr>
        <w:rFonts w:hint="eastAsia"/>
      </w:rPr>
    </w:pPr>
  </w:p>
  <w:p w14:paraId="0F3E3224">
    <w:pPr>
      <w:spacing w:before="120"/>
      <w:rPr>
        <w:rFonts w:hint="eastAsia"/>
      </w:rPr>
    </w:pPr>
  </w:p>
  <w:p w14:paraId="60163B49">
    <w:pPr>
      <w:spacing w:before="120"/>
      <w:rPr>
        <w:rFonts w:hint="eastAsia"/>
      </w:rPr>
    </w:pPr>
  </w:p>
  <w:p w14:paraId="4FED3FCD">
    <w:pPr>
      <w:spacing w:before="120"/>
      <w:rPr>
        <w:rFonts w:hint="eastAsia"/>
      </w:rPr>
    </w:pPr>
  </w:p>
  <w:p w14:paraId="5BB584F8">
    <w:pPr>
      <w:spacing w:before="120"/>
      <w:rPr>
        <w:rFonts w:hint="eastAsia"/>
      </w:rPr>
    </w:pPr>
  </w:p>
  <w:p w14:paraId="5DBB14B4">
    <w:pPr>
      <w:spacing w:before="120"/>
      <w:rPr>
        <w:rFonts w:hint="eastAsia"/>
      </w:rPr>
    </w:pPr>
  </w:p>
  <w:p w14:paraId="6D162BD5">
    <w:pPr>
      <w:spacing w:before="12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4F02">
    <w:pPr>
      <w:pStyle w:val="12"/>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4BA1">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88BE">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2283">
    <w:pPr>
      <w:pStyle w:val="13"/>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B156">
    <w:pPr>
      <w:pStyle w:val="13"/>
      <w:spacing w:before="120"/>
      <w:ind w:firstLine="360"/>
      <w:rPr>
        <w:rFonts w:hint="eastAsia"/>
      </w:rPr>
    </w:pPr>
  </w:p>
  <w:p w14:paraId="16BBF9AD">
    <w:pPr>
      <w:spacing w:before="120"/>
      <w:rPr>
        <w:rFonts w:hint="eastAsia"/>
      </w:rPr>
    </w:pPr>
  </w:p>
  <w:p w14:paraId="446615A0">
    <w:pPr>
      <w:spacing w:before="120"/>
      <w:rPr>
        <w:rFonts w:hint="eastAsia"/>
      </w:rPr>
    </w:pPr>
  </w:p>
  <w:p w14:paraId="1B58624F">
    <w:pPr>
      <w:spacing w:before="120"/>
      <w:rPr>
        <w:rFonts w:hint="eastAsia"/>
      </w:rPr>
    </w:pPr>
  </w:p>
  <w:p w14:paraId="28C0399B">
    <w:pPr>
      <w:spacing w:before="120"/>
      <w:rPr>
        <w:rFonts w:hint="eastAsia"/>
      </w:rPr>
    </w:pPr>
  </w:p>
  <w:p w14:paraId="716EBF08">
    <w:pPr>
      <w:spacing w:before="120"/>
      <w:rPr>
        <w:rFonts w:hint="eastAsia"/>
      </w:rPr>
    </w:pPr>
  </w:p>
  <w:p w14:paraId="40A379F0">
    <w:pPr>
      <w:spacing w:before="120"/>
      <w:rPr>
        <w:rFonts w:hint="eastAsia"/>
      </w:rPr>
    </w:pPr>
  </w:p>
  <w:p w14:paraId="5A89B28B">
    <w:pPr>
      <w:spacing w:before="120"/>
      <w:rPr>
        <w:rFonts w:hint="eastAsia"/>
      </w:rPr>
    </w:pPr>
  </w:p>
  <w:p w14:paraId="6F936DD6">
    <w:pPr>
      <w:spacing w:before="120"/>
      <w:rPr>
        <w:rFonts w:hint="eastAsia"/>
      </w:rPr>
    </w:pPr>
  </w:p>
  <w:p w14:paraId="05E9A7CD">
    <w:pPr>
      <w:spacing w:before="120"/>
      <w:rPr>
        <w:rFonts w:hint="eastAsia"/>
      </w:rPr>
    </w:pPr>
  </w:p>
  <w:p w14:paraId="6FD71D17">
    <w:pPr>
      <w:spacing w:before="120"/>
      <w:rPr>
        <w:rFonts w:hint="eastAsia"/>
      </w:rPr>
    </w:pPr>
  </w:p>
  <w:p w14:paraId="2A83EF59">
    <w:pPr>
      <w:spacing w:before="120"/>
      <w:rPr>
        <w:rFonts w:hint="eastAsia"/>
      </w:rPr>
    </w:pPr>
  </w:p>
  <w:p w14:paraId="2281E3B4">
    <w:pPr>
      <w:spacing w:before="120"/>
      <w:rPr>
        <w:rFonts w:hint="eastAsia"/>
      </w:rPr>
    </w:pPr>
  </w:p>
  <w:p w14:paraId="6C0936F9">
    <w:pPr>
      <w:spacing w:before="120"/>
      <w:rPr>
        <w:rFonts w:hint="eastAsia"/>
      </w:rPr>
    </w:pPr>
  </w:p>
  <w:p w14:paraId="388ECC58">
    <w:pPr>
      <w:spacing w:before="12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FA1A">
    <w:pPr>
      <w:pStyle w:val="13"/>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YyMmQzMTY0NmEwYTQ0Yjg4Yjg1Zjc2ODkzNmYifQ=="/>
  </w:docVars>
  <w:rsids>
    <w:rsidRoot w:val="00554F62"/>
    <w:rsid w:val="000008CE"/>
    <w:rsid w:val="000010C6"/>
    <w:rsid w:val="000016D9"/>
    <w:rsid w:val="0000314C"/>
    <w:rsid w:val="00003E5B"/>
    <w:rsid w:val="000057EF"/>
    <w:rsid w:val="00005D72"/>
    <w:rsid w:val="00007A55"/>
    <w:rsid w:val="000101DA"/>
    <w:rsid w:val="0001095F"/>
    <w:rsid w:val="00011D20"/>
    <w:rsid w:val="0001277D"/>
    <w:rsid w:val="00013288"/>
    <w:rsid w:val="0001449D"/>
    <w:rsid w:val="00014DAF"/>
    <w:rsid w:val="0001575C"/>
    <w:rsid w:val="00015FAA"/>
    <w:rsid w:val="000174D6"/>
    <w:rsid w:val="00020A2A"/>
    <w:rsid w:val="00021F31"/>
    <w:rsid w:val="00022025"/>
    <w:rsid w:val="00022575"/>
    <w:rsid w:val="00022B9C"/>
    <w:rsid w:val="00025A7F"/>
    <w:rsid w:val="00025E74"/>
    <w:rsid w:val="000266D6"/>
    <w:rsid w:val="0003122E"/>
    <w:rsid w:val="00031950"/>
    <w:rsid w:val="00032B3A"/>
    <w:rsid w:val="00035093"/>
    <w:rsid w:val="00035870"/>
    <w:rsid w:val="00036F49"/>
    <w:rsid w:val="000378C3"/>
    <w:rsid w:val="00037913"/>
    <w:rsid w:val="0004101A"/>
    <w:rsid w:val="00042369"/>
    <w:rsid w:val="00044EF2"/>
    <w:rsid w:val="0004618C"/>
    <w:rsid w:val="00047119"/>
    <w:rsid w:val="00047E23"/>
    <w:rsid w:val="000507DB"/>
    <w:rsid w:val="00051F96"/>
    <w:rsid w:val="00052C5D"/>
    <w:rsid w:val="00052CE0"/>
    <w:rsid w:val="00053406"/>
    <w:rsid w:val="00054E9D"/>
    <w:rsid w:val="0005542A"/>
    <w:rsid w:val="00055734"/>
    <w:rsid w:val="00057982"/>
    <w:rsid w:val="00060523"/>
    <w:rsid w:val="00060CF4"/>
    <w:rsid w:val="000631E3"/>
    <w:rsid w:val="000655E1"/>
    <w:rsid w:val="00070744"/>
    <w:rsid w:val="000734FE"/>
    <w:rsid w:val="00073E55"/>
    <w:rsid w:val="00074FFC"/>
    <w:rsid w:val="000772FF"/>
    <w:rsid w:val="00077337"/>
    <w:rsid w:val="0008178A"/>
    <w:rsid w:val="00081C1F"/>
    <w:rsid w:val="000823CA"/>
    <w:rsid w:val="000828EA"/>
    <w:rsid w:val="00084B5A"/>
    <w:rsid w:val="0008556B"/>
    <w:rsid w:val="00086CD5"/>
    <w:rsid w:val="000903AF"/>
    <w:rsid w:val="000904C0"/>
    <w:rsid w:val="00091A06"/>
    <w:rsid w:val="0009291D"/>
    <w:rsid w:val="00093650"/>
    <w:rsid w:val="00094B75"/>
    <w:rsid w:val="0009500A"/>
    <w:rsid w:val="0009529A"/>
    <w:rsid w:val="00095689"/>
    <w:rsid w:val="00095C50"/>
    <w:rsid w:val="000A1DF1"/>
    <w:rsid w:val="000A1EDB"/>
    <w:rsid w:val="000A65DA"/>
    <w:rsid w:val="000A6A31"/>
    <w:rsid w:val="000A75BC"/>
    <w:rsid w:val="000A7F51"/>
    <w:rsid w:val="000B04CC"/>
    <w:rsid w:val="000B0E93"/>
    <w:rsid w:val="000B300E"/>
    <w:rsid w:val="000B30D8"/>
    <w:rsid w:val="000B4CBE"/>
    <w:rsid w:val="000B5E8A"/>
    <w:rsid w:val="000C32DF"/>
    <w:rsid w:val="000C3E68"/>
    <w:rsid w:val="000C56F9"/>
    <w:rsid w:val="000C72BE"/>
    <w:rsid w:val="000D08F2"/>
    <w:rsid w:val="000D0AD4"/>
    <w:rsid w:val="000D0DDE"/>
    <w:rsid w:val="000D1102"/>
    <w:rsid w:val="000D2BCE"/>
    <w:rsid w:val="000D3547"/>
    <w:rsid w:val="000D3744"/>
    <w:rsid w:val="000D3D3F"/>
    <w:rsid w:val="000D4C60"/>
    <w:rsid w:val="000D7AB8"/>
    <w:rsid w:val="000E27F0"/>
    <w:rsid w:val="000E4219"/>
    <w:rsid w:val="000E4563"/>
    <w:rsid w:val="000E477D"/>
    <w:rsid w:val="000E5313"/>
    <w:rsid w:val="000E569F"/>
    <w:rsid w:val="000E587B"/>
    <w:rsid w:val="000E5895"/>
    <w:rsid w:val="000E5A85"/>
    <w:rsid w:val="000E6BDB"/>
    <w:rsid w:val="000E715D"/>
    <w:rsid w:val="000E7266"/>
    <w:rsid w:val="000E7B7F"/>
    <w:rsid w:val="000F0D6E"/>
    <w:rsid w:val="000F48CD"/>
    <w:rsid w:val="000F7DB9"/>
    <w:rsid w:val="001008E1"/>
    <w:rsid w:val="00101649"/>
    <w:rsid w:val="0010246C"/>
    <w:rsid w:val="001035D8"/>
    <w:rsid w:val="0010387C"/>
    <w:rsid w:val="00104B80"/>
    <w:rsid w:val="00107C56"/>
    <w:rsid w:val="001101F8"/>
    <w:rsid w:val="00112D1A"/>
    <w:rsid w:val="0011321D"/>
    <w:rsid w:val="00113A63"/>
    <w:rsid w:val="0011713F"/>
    <w:rsid w:val="00121ACF"/>
    <w:rsid w:val="00121B5C"/>
    <w:rsid w:val="0012352E"/>
    <w:rsid w:val="00124FB4"/>
    <w:rsid w:val="001266EF"/>
    <w:rsid w:val="00126E90"/>
    <w:rsid w:val="00127D31"/>
    <w:rsid w:val="00131790"/>
    <w:rsid w:val="00131CB9"/>
    <w:rsid w:val="00134472"/>
    <w:rsid w:val="00135A57"/>
    <w:rsid w:val="00136FC4"/>
    <w:rsid w:val="0013705C"/>
    <w:rsid w:val="00137475"/>
    <w:rsid w:val="001400F4"/>
    <w:rsid w:val="00140447"/>
    <w:rsid w:val="00142940"/>
    <w:rsid w:val="0014513D"/>
    <w:rsid w:val="00145178"/>
    <w:rsid w:val="0014534E"/>
    <w:rsid w:val="00146FCC"/>
    <w:rsid w:val="0015044F"/>
    <w:rsid w:val="00152AB3"/>
    <w:rsid w:val="00152F5C"/>
    <w:rsid w:val="001539DA"/>
    <w:rsid w:val="00153AA1"/>
    <w:rsid w:val="00154110"/>
    <w:rsid w:val="001542EA"/>
    <w:rsid w:val="00156A43"/>
    <w:rsid w:val="00160DE9"/>
    <w:rsid w:val="001618E5"/>
    <w:rsid w:val="001658D2"/>
    <w:rsid w:val="0016628E"/>
    <w:rsid w:val="00166E97"/>
    <w:rsid w:val="001674A4"/>
    <w:rsid w:val="00167F19"/>
    <w:rsid w:val="00174B29"/>
    <w:rsid w:val="0018182D"/>
    <w:rsid w:val="00183E82"/>
    <w:rsid w:val="00184C64"/>
    <w:rsid w:val="00185B97"/>
    <w:rsid w:val="00186535"/>
    <w:rsid w:val="001872FF"/>
    <w:rsid w:val="00191B96"/>
    <w:rsid w:val="00192A5B"/>
    <w:rsid w:val="00193F49"/>
    <w:rsid w:val="001948DF"/>
    <w:rsid w:val="00194ABC"/>
    <w:rsid w:val="001A0257"/>
    <w:rsid w:val="001A0B77"/>
    <w:rsid w:val="001A0C35"/>
    <w:rsid w:val="001A1ACF"/>
    <w:rsid w:val="001A6B50"/>
    <w:rsid w:val="001A6E37"/>
    <w:rsid w:val="001A7AC5"/>
    <w:rsid w:val="001B066B"/>
    <w:rsid w:val="001B0E8A"/>
    <w:rsid w:val="001B1512"/>
    <w:rsid w:val="001B1DBD"/>
    <w:rsid w:val="001B3973"/>
    <w:rsid w:val="001B3E90"/>
    <w:rsid w:val="001B4DB6"/>
    <w:rsid w:val="001B797F"/>
    <w:rsid w:val="001C181A"/>
    <w:rsid w:val="001C30F4"/>
    <w:rsid w:val="001D1ACC"/>
    <w:rsid w:val="001D22D6"/>
    <w:rsid w:val="001D276C"/>
    <w:rsid w:val="001D2F20"/>
    <w:rsid w:val="001D4508"/>
    <w:rsid w:val="001D4980"/>
    <w:rsid w:val="001D5DD4"/>
    <w:rsid w:val="001D60BB"/>
    <w:rsid w:val="001D6C56"/>
    <w:rsid w:val="001D7593"/>
    <w:rsid w:val="001E231E"/>
    <w:rsid w:val="001E2F3B"/>
    <w:rsid w:val="001E30D4"/>
    <w:rsid w:val="001E34D0"/>
    <w:rsid w:val="001E423C"/>
    <w:rsid w:val="001E53DA"/>
    <w:rsid w:val="001E5894"/>
    <w:rsid w:val="001E76BB"/>
    <w:rsid w:val="001F28E2"/>
    <w:rsid w:val="001F2983"/>
    <w:rsid w:val="001F2FAD"/>
    <w:rsid w:val="001F37D1"/>
    <w:rsid w:val="001F494B"/>
    <w:rsid w:val="001F62B7"/>
    <w:rsid w:val="001F72FA"/>
    <w:rsid w:val="001F752E"/>
    <w:rsid w:val="001F79A1"/>
    <w:rsid w:val="0020022A"/>
    <w:rsid w:val="00201233"/>
    <w:rsid w:val="00201FAF"/>
    <w:rsid w:val="002023BD"/>
    <w:rsid w:val="002038F0"/>
    <w:rsid w:val="002064C6"/>
    <w:rsid w:val="00206A0F"/>
    <w:rsid w:val="00211DCE"/>
    <w:rsid w:val="0021454E"/>
    <w:rsid w:val="0021583E"/>
    <w:rsid w:val="00215CB4"/>
    <w:rsid w:val="00215E41"/>
    <w:rsid w:val="00215F14"/>
    <w:rsid w:val="00216FA2"/>
    <w:rsid w:val="002175FA"/>
    <w:rsid w:val="00221D01"/>
    <w:rsid w:val="00223325"/>
    <w:rsid w:val="00223B07"/>
    <w:rsid w:val="00227A05"/>
    <w:rsid w:val="00227B60"/>
    <w:rsid w:val="00230312"/>
    <w:rsid w:val="00230A09"/>
    <w:rsid w:val="00234874"/>
    <w:rsid w:val="00234977"/>
    <w:rsid w:val="002356A1"/>
    <w:rsid w:val="002420BB"/>
    <w:rsid w:val="002434E9"/>
    <w:rsid w:val="00243D81"/>
    <w:rsid w:val="002444F1"/>
    <w:rsid w:val="00245D72"/>
    <w:rsid w:val="00245F69"/>
    <w:rsid w:val="0024778F"/>
    <w:rsid w:val="00247C00"/>
    <w:rsid w:val="00250652"/>
    <w:rsid w:val="0025246E"/>
    <w:rsid w:val="00252E3B"/>
    <w:rsid w:val="002538C8"/>
    <w:rsid w:val="00255DC7"/>
    <w:rsid w:val="00256CE4"/>
    <w:rsid w:val="002575E9"/>
    <w:rsid w:val="0026217F"/>
    <w:rsid w:val="002627EB"/>
    <w:rsid w:val="00263CDB"/>
    <w:rsid w:val="00266972"/>
    <w:rsid w:val="00267370"/>
    <w:rsid w:val="002702CD"/>
    <w:rsid w:val="0027068B"/>
    <w:rsid w:val="002718AF"/>
    <w:rsid w:val="00271D2E"/>
    <w:rsid w:val="00271D9A"/>
    <w:rsid w:val="002724E1"/>
    <w:rsid w:val="00272E31"/>
    <w:rsid w:val="002731D7"/>
    <w:rsid w:val="00275F6E"/>
    <w:rsid w:val="0027607A"/>
    <w:rsid w:val="002776C1"/>
    <w:rsid w:val="00280695"/>
    <w:rsid w:val="0028423C"/>
    <w:rsid w:val="002845C1"/>
    <w:rsid w:val="00286E75"/>
    <w:rsid w:val="00290914"/>
    <w:rsid w:val="00290A87"/>
    <w:rsid w:val="00290E58"/>
    <w:rsid w:val="002917CB"/>
    <w:rsid w:val="002933C2"/>
    <w:rsid w:val="00294F50"/>
    <w:rsid w:val="002969BC"/>
    <w:rsid w:val="00297B71"/>
    <w:rsid w:val="002A13FD"/>
    <w:rsid w:val="002A1706"/>
    <w:rsid w:val="002A1F04"/>
    <w:rsid w:val="002A4654"/>
    <w:rsid w:val="002A5AF5"/>
    <w:rsid w:val="002B01A3"/>
    <w:rsid w:val="002B303A"/>
    <w:rsid w:val="002B3915"/>
    <w:rsid w:val="002B3AD1"/>
    <w:rsid w:val="002B3E2A"/>
    <w:rsid w:val="002B4C28"/>
    <w:rsid w:val="002B672C"/>
    <w:rsid w:val="002B6A45"/>
    <w:rsid w:val="002B6CED"/>
    <w:rsid w:val="002B6EB6"/>
    <w:rsid w:val="002C023D"/>
    <w:rsid w:val="002C39F6"/>
    <w:rsid w:val="002C4449"/>
    <w:rsid w:val="002C63D2"/>
    <w:rsid w:val="002D0F85"/>
    <w:rsid w:val="002D19C2"/>
    <w:rsid w:val="002D3E9D"/>
    <w:rsid w:val="002D40A6"/>
    <w:rsid w:val="002D481B"/>
    <w:rsid w:val="002D70B4"/>
    <w:rsid w:val="002E08CC"/>
    <w:rsid w:val="002E155F"/>
    <w:rsid w:val="002E6327"/>
    <w:rsid w:val="002E63DA"/>
    <w:rsid w:val="002E6F1E"/>
    <w:rsid w:val="002E76A2"/>
    <w:rsid w:val="002F0BF8"/>
    <w:rsid w:val="002F3706"/>
    <w:rsid w:val="002F5FA0"/>
    <w:rsid w:val="002F777D"/>
    <w:rsid w:val="002F7F75"/>
    <w:rsid w:val="00301B0C"/>
    <w:rsid w:val="00302320"/>
    <w:rsid w:val="00302601"/>
    <w:rsid w:val="0030315B"/>
    <w:rsid w:val="003059E0"/>
    <w:rsid w:val="00306706"/>
    <w:rsid w:val="003069AB"/>
    <w:rsid w:val="00306F30"/>
    <w:rsid w:val="00310C2B"/>
    <w:rsid w:val="00313C71"/>
    <w:rsid w:val="00315AD7"/>
    <w:rsid w:val="00316F39"/>
    <w:rsid w:val="003200FE"/>
    <w:rsid w:val="0032062A"/>
    <w:rsid w:val="00322C14"/>
    <w:rsid w:val="00325AAD"/>
    <w:rsid w:val="0032727E"/>
    <w:rsid w:val="00330C51"/>
    <w:rsid w:val="00330D8F"/>
    <w:rsid w:val="00331636"/>
    <w:rsid w:val="00332A6A"/>
    <w:rsid w:val="00333776"/>
    <w:rsid w:val="00333ACF"/>
    <w:rsid w:val="0033602E"/>
    <w:rsid w:val="0033718B"/>
    <w:rsid w:val="003415CC"/>
    <w:rsid w:val="0034373C"/>
    <w:rsid w:val="00345156"/>
    <w:rsid w:val="0034753E"/>
    <w:rsid w:val="0034784B"/>
    <w:rsid w:val="003500D8"/>
    <w:rsid w:val="00350C7F"/>
    <w:rsid w:val="00352CD4"/>
    <w:rsid w:val="00353F53"/>
    <w:rsid w:val="003567FC"/>
    <w:rsid w:val="00356C85"/>
    <w:rsid w:val="00360089"/>
    <w:rsid w:val="0036060A"/>
    <w:rsid w:val="00360ADC"/>
    <w:rsid w:val="00361AE1"/>
    <w:rsid w:val="00362C59"/>
    <w:rsid w:val="00362E7B"/>
    <w:rsid w:val="00362FFC"/>
    <w:rsid w:val="003664DB"/>
    <w:rsid w:val="003672B2"/>
    <w:rsid w:val="00367E0B"/>
    <w:rsid w:val="00367FB2"/>
    <w:rsid w:val="003704C0"/>
    <w:rsid w:val="00371E88"/>
    <w:rsid w:val="00372061"/>
    <w:rsid w:val="003721D8"/>
    <w:rsid w:val="00372806"/>
    <w:rsid w:val="00374C7B"/>
    <w:rsid w:val="00376B37"/>
    <w:rsid w:val="00376C51"/>
    <w:rsid w:val="00380938"/>
    <w:rsid w:val="00381040"/>
    <w:rsid w:val="00381FA1"/>
    <w:rsid w:val="00383F59"/>
    <w:rsid w:val="00384D21"/>
    <w:rsid w:val="00385DE1"/>
    <w:rsid w:val="00385FC1"/>
    <w:rsid w:val="003864C6"/>
    <w:rsid w:val="00386D55"/>
    <w:rsid w:val="00390342"/>
    <w:rsid w:val="00390470"/>
    <w:rsid w:val="003913AE"/>
    <w:rsid w:val="00392D26"/>
    <w:rsid w:val="00395E85"/>
    <w:rsid w:val="00396C70"/>
    <w:rsid w:val="003A090F"/>
    <w:rsid w:val="003A1577"/>
    <w:rsid w:val="003A22CD"/>
    <w:rsid w:val="003A23CD"/>
    <w:rsid w:val="003A274C"/>
    <w:rsid w:val="003A3867"/>
    <w:rsid w:val="003A4D92"/>
    <w:rsid w:val="003A55CA"/>
    <w:rsid w:val="003A620C"/>
    <w:rsid w:val="003A63BF"/>
    <w:rsid w:val="003A6F4F"/>
    <w:rsid w:val="003A6FBD"/>
    <w:rsid w:val="003A74EF"/>
    <w:rsid w:val="003A7DD3"/>
    <w:rsid w:val="003B0445"/>
    <w:rsid w:val="003B1137"/>
    <w:rsid w:val="003B11E0"/>
    <w:rsid w:val="003B243C"/>
    <w:rsid w:val="003B4586"/>
    <w:rsid w:val="003B6A1C"/>
    <w:rsid w:val="003B7B0D"/>
    <w:rsid w:val="003C0A80"/>
    <w:rsid w:val="003C2582"/>
    <w:rsid w:val="003C27E1"/>
    <w:rsid w:val="003C4825"/>
    <w:rsid w:val="003D0C95"/>
    <w:rsid w:val="003D192E"/>
    <w:rsid w:val="003D2F42"/>
    <w:rsid w:val="003D346E"/>
    <w:rsid w:val="003D3E89"/>
    <w:rsid w:val="003D3FB4"/>
    <w:rsid w:val="003D4110"/>
    <w:rsid w:val="003D6CDB"/>
    <w:rsid w:val="003D7231"/>
    <w:rsid w:val="003D7317"/>
    <w:rsid w:val="003E0AC2"/>
    <w:rsid w:val="003E5955"/>
    <w:rsid w:val="003E5B39"/>
    <w:rsid w:val="003E76A2"/>
    <w:rsid w:val="003F010E"/>
    <w:rsid w:val="003F1A55"/>
    <w:rsid w:val="003F1BFF"/>
    <w:rsid w:val="003F3D35"/>
    <w:rsid w:val="003F5313"/>
    <w:rsid w:val="00400706"/>
    <w:rsid w:val="004033C7"/>
    <w:rsid w:val="004043C6"/>
    <w:rsid w:val="00404987"/>
    <w:rsid w:val="00405301"/>
    <w:rsid w:val="004059D6"/>
    <w:rsid w:val="004069BE"/>
    <w:rsid w:val="00407770"/>
    <w:rsid w:val="0041075D"/>
    <w:rsid w:val="004117AA"/>
    <w:rsid w:val="00411CE7"/>
    <w:rsid w:val="0041377E"/>
    <w:rsid w:val="00416274"/>
    <w:rsid w:val="00420C42"/>
    <w:rsid w:val="00420E14"/>
    <w:rsid w:val="00422A08"/>
    <w:rsid w:val="00423051"/>
    <w:rsid w:val="00423E67"/>
    <w:rsid w:val="004279FC"/>
    <w:rsid w:val="00433CF9"/>
    <w:rsid w:val="004343FA"/>
    <w:rsid w:val="00436192"/>
    <w:rsid w:val="00436896"/>
    <w:rsid w:val="0043737C"/>
    <w:rsid w:val="00442C1F"/>
    <w:rsid w:val="00444584"/>
    <w:rsid w:val="00444698"/>
    <w:rsid w:val="00444B03"/>
    <w:rsid w:val="00446985"/>
    <w:rsid w:val="00446CF9"/>
    <w:rsid w:val="00446FC4"/>
    <w:rsid w:val="004501DC"/>
    <w:rsid w:val="004505A6"/>
    <w:rsid w:val="00450B44"/>
    <w:rsid w:val="00450E4E"/>
    <w:rsid w:val="00452FF2"/>
    <w:rsid w:val="00453D14"/>
    <w:rsid w:val="00455093"/>
    <w:rsid w:val="00455771"/>
    <w:rsid w:val="00455932"/>
    <w:rsid w:val="00456D88"/>
    <w:rsid w:val="00457342"/>
    <w:rsid w:val="00461BE4"/>
    <w:rsid w:val="00462903"/>
    <w:rsid w:val="00464178"/>
    <w:rsid w:val="004645D2"/>
    <w:rsid w:val="004647F1"/>
    <w:rsid w:val="00464AE6"/>
    <w:rsid w:val="004666FE"/>
    <w:rsid w:val="00466E6E"/>
    <w:rsid w:val="004670E5"/>
    <w:rsid w:val="0046741B"/>
    <w:rsid w:val="00467C84"/>
    <w:rsid w:val="00470433"/>
    <w:rsid w:val="0047179A"/>
    <w:rsid w:val="004721D3"/>
    <w:rsid w:val="00477520"/>
    <w:rsid w:val="00480B75"/>
    <w:rsid w:val="004814DF"/>
    <w:rsid w:val="004814F8"/>
    <w:rsid w:val="0048324F"/>
    <w:rsid w:val="00483252"/>
    <w:rsid w:val="004865D7"/>
    <w:rsid w:val="004866AC"/>
    <w:rsid w:val="0049461C"/>
    <w:rsid w:val="00494D8C"/>
    <w:rsid w:val="00495F92"/>
    <w:rsid w:val="00496D5D"/>
    <w:rsid w:val="0049705D"/>
    <w:rsid w:val="0049743A"/>
    <w:rsid w:val="004A077F"/>
    <w:rsid w:val="004A10A4"/>
    <w:rsid w:val="004A1EFE"/>
    <w:rsid w:val="004A1F9B"/>
    <w:rsid w:val="004A28C4"/>
    <w:rsid w:val="004B0A2F"/>
    <w:rsid w:val="004B0B1B"/>
    <w:rsid w:val="004B1BF7"/>
    <w:rsid w:val="004B27D1"/>
    <w:rsid w:val="004B2A52"/>
    <w:rsid w:val="004B4666"/>
    <w:rsid w:val="004B6AB9"/>
    <w:rsid w:val="004B7C6C"/>
    <w:rsid w:val="004C1343"/>
    <w:rsid w:val="004C19CC"/>
    <w:rsid w:val="004C64E5"/>
    <w:rsid w:val="004C7FBA"/>
    <w:rsid w:val="004D2579"/>
    <w:rsid w:val="004D2835"/>
    <w:rsid w:val="004D549B"/>
    <w:rsid w:val="004D7CE4"/>
    <w:rsid w:val="004E0AFA"/>
    <w:rsid w:val="004E142B"/>
    <w:rsid w:val="004E1C55"/>
    <w:rsid w:val="004E4160"/>
    <w:rsid w:val="004E513E"/>
    <w:rsid w:val="004E6E8E"/>
    <w:rsid w:val="004E73C8"/>
    <w:rsid w:val="004F0019"/>
    <w:rsid w:val="004F3598"/>
    <w:rsid w:val="004F3CE2"/>
    <w:rsid w:val="004F4026"/>
    <w:rsid w:val="004F6B66"/>
    <w:rsid w:val="00500EF3"/>
    <w:rsid w:val="0050128F"/>
    <w:rsid w:val="00503A60"/>
    <w:rsid w:val="00507039"/>
    <w:rsid w:val="005078A9"/>
    <w:rsid w:val="0051046D"/>
    <w:rsid w:val="005108B7"/>
    <w:rsid w:val="005109B5"/>
    <w:rsid w:val="00513372"/>
    <w:rsid w:val="005135E9"/>
    <w:rsid w:val="00516248"/>
    <w:rsid w:val="00516526"/>
    <w:rsid w:val="00516C68"/>
    <w:rsid w:val="005175ED"/>
    <w:rsid w:val="00520252"/>
    <w:rsid w:val="00521904"/>
    <w:rsid w:val="00521BAC"/>
    <w:rsid w:val="00522DE5"/>
    <w:rsid w:val="00523F97"/>
    <w:rsid w:val="00524396"/>
    <w:rsid w:val="00531736"/>
    <w:rsid w:val="00532654"/>
    <w:rsid w:val="00533E5A"/>
    <w:rsid w:val="005374D5"/>
    <w:rsid w:val="0054212E"/>
    <w:rsid w:val="00542188"/>
    <w:rsid w:val="00543CD1"/>
    <w:rsid w:val="00544266"/>
    <w:rsid w:val="005465F3"/>
    <w:rsid w:val="005467EF"/>
    <w:rsid w:val="00551CAF"/>
    <w:rsid w:val="00552013"/>
    <w:rsid w:val="00552772"/>
    <w:rsid w:val="00552A52"/>
    <w:rsid w:val="00552DB5"/>
    <w:rsid w:val="00554CDF"/>
    <w:rsid w:val="00554F62"/>
    <w:rsid w:val="00555E99"/>
    <w:rsid w:val="0055673C"/>
    <w:rsid w:val="00556E94"/>
    <w:rsid w:val="00557EE8"/>
    <w:rsid w:val="0056260C"/>
    <w:rsid w:val="00562EBD"/>
    <w:rsid w:val="00563E5B"/>
    <w:rsid w:val="0056569E"/>
    <w:rsid w:val="00565C20"/>
    <w:rsid w:val="00566EC5"/>
    <w:rsid w:val="00571115"/>
    <w:rsid w:val="00573178"/>
    <w:rsid w:val="00574562"/>
    <w:rsid w:val="00577B66"/>
    <w:rsid w:val="005808F2"/>
    <w:rsid w:val="00580D32"/>
    <w:rsid w:val="00580DB2"/>
    <w:rsid w:val="005826A1"/>
    <w:rsid w:val="005829AC"/>
    <w:rsid w:val="00583B93"/>
    <w:rsid w:val="00583D63"/>
    <w:rsid w:val="00583E36"/>
    <w:rsid w:val="00584185"/>
    <w:rsid w:val="005842D8"/>
    <w:rsid w:val="00590214"/>
    <w:rsid w:val="00593F83"/>
    <w:rsid w:val="00594A32"/>
    <w:rsid w:val="00594AA0"/>
    <w:rsid w:val="00595EA3"/>
    <w:rsid w:val="00597149"/>
    <w:rsid w:val="005974D5"/>
    <w:rsid w:val="005A06D0"/>
    <w:rsid w:val="005A1D7A"/>
    <w:rsid w:val="005A1E69"/>
    <w:rsid w:val="005A21BB"/>
    <w:rsid w:val="005A32BA"/>
    <w:rsid w:val="005A45CC"/>
    <w:rsid w:val="005A5DAA"/>
    <w:rsid w:val="005A6303"/>
    <w:rsid w:val="005B0281"/>
    <w:rsid w:val="005B1C4B"/>
    <w:rsid w:val="005B681D"/>
    <w:rsid w:val="005B6E19"/>
    <w:rsid w:val="005B7E53"/>
    <w:rsid w:val="005C277B"/>
    <w:rsid w:val="005C2BC2"/>
    <w:rsid w:val="005C3559"/>
    <w:rsid w:val="005C36E6"/>
    <w:rsid w:val="005C6625"/>
    <w:rsid w:val="005C6E53"/>
    <w:rsid w:val="005C7607"/>
    <w:rsid w:val="005C7B03"/>
    <w:rsid w:val="005D28A0"/>
    <w:rsid w:val="005D410C"/>
    <w:rsid w:val="005D434D"/>
    <w:rsid w:val="005D6333"/>
    <w:rsid w:val="005D66E9"/>
    <w:rsid w:val="005D6B51"/>
    <w:rsid w:val="005D6BDF"/>
    <w:rsid w:val="005D6DE8"/>
    <w:rsid w:val="005E19DC"/>
    <w:rsid w:val="005E2DF5"/>
    <w:rsid w:val="005E31AA"/>
    <w:rsid w:val="005E33C5"/>
    <w:rsid w:val="005E5B25"/>
    <w:rsid w:val="005E7D84"/>
    <w:rsid w:val="005F2249"/>
    <w:rsid w:val="005F2409"/>
    <w:rsid w:val="005F2F24"/>
    <w:rsid w:val="005F3EF6"/>
    <w:rsid w:val="005F47D0"/>
    <w:rsid w:val="005F4E47"/>
    <w:rsid w:val="005F7C40"/>
    <w:rsid w:val="006008AA"/>
    <w:rsid w:val="00600E6B"/>
    <w:rsid w:val="006014F3"/>
    <w:rsid w:val="006028F3"/>
    <w:rsid w:val="006031D5"/>
    <w:rsid w:val="00604BE7"/>
    <w:rsid w:val="00606E0F"/>
    <w:rsid w:val="00610172"/>
    <w:rsid w:val="00611D84"/>
    <w:rsid w:val="00611ED4"/>
    <w:rsid w:val="00612E7F"/>
    <w:rsid w:val="00613B84"/>
    <w:rsid w:val="006149A5"/>
    <w:rsid w:val="0061561D"/>
    <w:rsid w:val="00621A9B"/>
    <w:rsid w:val="00627046"/>
    <w:rsid w:val="00631042"/>
    <w:rsid w:val="00631C2D"/>
    <w:rsid w:val="00631D3A"/>
    <w:rsid w:val="006407CA"/>
    <w:rsid w:val="006438FA"/>
    <w:rsid w:val="00643DFE"/>
    <w:rsid w:val="006505A8"/>
    <w:rsid w:val="00650E15"/>
    <w:rsid w:val="00651003"/>
    <w:rsid w:val="00651B5F"/>
    <w:rsid w:val="00654772"/>
    <w:rsid w:val="00657F40"/>
    <w:rsid w:val="00660106"/>
    <w:rsid w:val="006639BD"/>
    <w:rsid w:val="0066416E"/>
    <w:rsid w:val="0066542B"/>
    <w:rsid w:val="00665479"/>
    <w:rsid w:val="00665C35"/>
    <w:rsid w:val="006661DB"/>
    <w:rsid w:val="00666382"/>
    <w:rsid w:val="00666DEC"/>
    <w:rsid w:val="00667995"/>
    <w:rsid w:val="00667EC1"/>
    <w:rsid w:val="00675F32"/>
    <w:rsid w:val="006777B8"/>
    <w:rsid w:val="00681391"/>
    <w:rsid w:val="00683794"/>
    <w:rsid w:val="006843EC"/>
    <w:rsid w:val="0068468F"/>
    <w:rsid w:val="0068555F"/>
    <w:rsid w:val="00685595"/>
    <w:rsid w:val="006865E1"/>
    <w:rsid w:val="00687361"/>
    <w:rsid w:val="006876B8"/>
    <w:rsid w:val="00690F5C"/>
    <w:rsid w:val="00691ADB"/>
    <w:rsid w:val="00691D9B"/>
    <w:rsid w:val="00692B8C"/>
    <w:rsid w:val="00693B7B"/>
    <w:rsid w:val="00693C74"/>
    <w:rsid w:val="00694D4E"/>
    <w:rsid w:val="00695877"/>
    <w:rsid w:val="00695B2F"/>
    <w:rsid w:val="00696A14"/>
    <w:rsid w:val="00697E79"/>
    <w:rsid w:val="006A05F3"/>
    <w:rsid w:val="006A2203"/>
    <w:rsid w:val="006A25FE"/>
    <w:rsid w:val="006A2720"/>
    <w:rsid w:val="006A27C5"/>
    <w:rsid w:val="006A38C5"/>
    <w:rsid w:val="006A5733"/>
    <w:rsid w:val="006A5C5B"/>
    <w:rsid w:val="006B087C"/>
    <w:rsid w:val="006B0CAA"/>
    <w:rsid w:val="006B0E38"/>
    <w:rsid w:val="006B1514"/>
    <w:rsid w:val="006B2803"/>
    <w:rsid w:val="006B3D0B"/>
    <w:rsid w:val="006B52C2"/>
    <w:rsid w:val="006B7B5F"/>
    <w:rsid w:val="006C0887"/>
    <w:rsid w:val="006C4397"/>
    <w:rsid w:val="006C4B9E"/>
    <w:rsid w:val="006C554F"/>
    <w:rsid w:val="006C6A72"/>
    <w:rsid w:val="006C6D8F"/>
    <w:rsid w:val="006C7045"/>
    <w:rsid w:val="006D14ED"/>
    <w:rsid w:val="006D5E08"/>
    <w:rsid w:val="006D5E19"/>
    <w:rsid w:val="006D602A"/>
    <w:rsid w:val="006D7A16"/>
    <w:rsid w:val="006E20ED"/>
    <w:rsid w:val="006E36EC"/>
    <w:rsid w:val="006E3C89"/>
    <w:rsid w:val="006E4893"/>
    <w:rsid w:val="006E6AD5"/>
    <w:rsid w:val="006E6E8D"/>
    <w:rsid w:val="006E7429"/>
    <w:rsid w:val="006E79BB"/>
    <w:rsid w:val="006E7D2C"/>
    <w:rsid w:val="006E7DCB"/>
    <w:rsid w:val="006F0F42"/>
    <w:rsid w:val="006F1E75"/>
    <w:rsid w:val="006F6561"/>
    <w:rsid w:val="00700309"/>
    <w:rsid w:val="00702CE7"/>
    <w:rsid w:val="00704091"/>
    <w:rsid w:val="00706128"/>
    <w:rsid w:val="00707F6F"/>
    <w:rsid w:val="00712227"/>
    <w:rsid w:val="0071367B"/>
    <w:rsid w:val="0071412E"/>
    <w:rsid w:val="0071491F"/>
    <w:rsid w:val="007157BF"/>
    <w:rsid w:val="00716574"/>
    <w:rsid w:val="00716ECF"/>
    <w:rsid w:val="00722781"/>
    <w:rsid w:val="00722BC7"/>
    <w:rsid w:val="007232AE"/>
    <w:rsid w:val="00724811"/>
    <w:rsid w:val="0072538A"/>
    <w:rsid w:val="007257FC"/>
    <w:rsid w:val="00725D05"/>
    <w:rsid w:val="00725FC7"/>
    <w:rsid w:val="00727297"/>
    <w:rsid w:val="00730951"/>
    <w:rsid w:val="00730C97"/>
    <w:rsid w:val="00735B27"/>
    <w:rsid w:val="00735F66"/>
    <w:rsid w:val="0074051F"/>
    <w:rsid w:val="007407E6"/>
    <w:rsid w:val="007408CA"/>
    <w:rsid w:val="007439D0"/>
    <w:rsid w:val="00744494"/>
    <w:rsid w:val="00744975"/>
    <w:rsid w:val="00744EFB"/>
    <w:rsid w:val="00747179"/>
    <w:rsid w:val="00747A79"/>
    <w:rsid w:val="00747EC4"/>
    <w:rsid w:val="00750BB8"/>
    <w:rsid w:val="00751FEB"/>
    <w:rsid w:val="007535CD"/>
    <w:rsid w:val="00754895"/>
    <w:rsid w:val="007550D0"/>
    <w:rsid w:val="00755196"/>
    <w:rsid w:val="00760345"/>
    <w:rsid w:val="00760363"/>
    <w:rsid w:val="00760C95"/>
    <w:rsid w:val="00762D18"/>
    <w:rsid w:val="00764317"/>
    <w:rsid w:val="00765512"/>
    <w:rsid w:val="00767126"/>
    <w:rsid w:val="007726A4"/>
    <w:rsid w:val="0077578F"/>
    <w:rsid w:val="00776C25"/>
    <w:rsid w:val="00777732"/>
    <w:rsid w:val="007801BF"/>
    <w:rsid w:val="00780531"/>
    <w:rsid w:val="007809E2"/>
    <w:rsid w:val="00780D58"/>
    <w:rsid w:val="00781F23"/>
    <w:rsid w:val="007831A4"/>
    <w:rsid w:val="00784D58"/>
    <w:rsid w:val="00784DC2"/>
    <w:rsid w:val="00785061"/>
    <w:rsid w:val="007853D4"/>
    <w:rsid w:val="00785F25"/>
    <w:rsid w:val="00786B64"/>
    <w:rsid w:val="00787605"/>
    <w:rsid w:val="00787762"/>
    <w:rsid w:val="00790326"/>
    <w:rsid w:val="0079084A"/>
    <w:rsid w:val="00791E70"/>
    <w:rsid w:val="00792467"/>
    <w:rsid w:val="00792C8E"/>
    <w:rsid w:val="0079309B"/>
    <w:rsid w:val="00795859"/>
    <w:rsid w:val="0079664F"/>
    <w:rsid w:val="00796BB8"/>
    <w:rsid w:val="0079770D"/>
    <w:rsid w:val="007A0BB8"/>
    <w:rsid w:val="007A1567"/>
    <w:rsid w:val="007A1D15"/>
    <w:rsid w:val="007A1E5A"/>
    <w:rsid w:val="007A3398"/>
    <w:rsid w:val="007A39EF"/>
    <w:rsid w:val="007A473B"/>
    <w:rsid w:val="007A4F57"/>
    <w:rsid w:val="007A5872"/>
    <w:rsid w:val="007A58D6"/>
    <w:rsid w:val="007A7144"/>
    <w:rsid w:val="007A74B6"/>
    <w:rsid w:val="007A75FA"/>
    <w:rsid w:val="007B1366"/>
    <w:rsid w:val="007B1D2E"/>
    <w:rsid w:val="007B3DB4"/>
    <w:rsid w:val="007B49ED"/>
    <w:rsid w:val="007B73D4"/>
    <w:rsid w:val="007B7EB2"/>
    <w:rsid w:val="007C0126"/>
    <w:rsid w:val="007C0A48"/>
    <w:rsid w:val="007C134E"/>
    <w:rsid w:val="007C189D"/>
    <w:rsid w:val="007C2FE3"/>
    <w:rsid w:val="007C4CBA"/>
    <w:rsid w:val="007C7E03"/>
    <w:rsid w:val="007D39D6"/>
    <w:rsid w:val="007D4C24"/>
    <w:rsid w:val="007D6B82"/>
    <w:rsid w:val="007D7776"/>
    <w:rsid w:val="007D7C23"/>
    <w:rsid w:val="007E592F"/>
    <w:rsid w:val="007E5DEA"/>
    <w:rsid w:val="007E6522"/>
    <w:rsid w:val="007E6F2E"/>
    <w:rsid w:val="007E7F12"/>
    <w:rsid w:val="007F0593"/>
    <w:rsid w:val="007F10EC"/>
    <w:rsid w:val="007F2716"/>
    <w:rsid w:val="007F2B45"/>
    <w:rsid w:val="007F3383"/>
    <w:rsid w:val="007F4267"/>
    <w:rsid w:val="007F5873"/>
    <w:rsid w:val="007F78C7"/>
    <w:rsid w:val="00800789"/>
    <w:rsid w:val="0080097F"/>
    <w:rsid w:val="00801C85"/>
    <w:rsid w:val="0080297F"/>
    <w:rsid w:val="00802C06"/>
    <w:rsid w:val="00803E56"/>
    <w:rsid w:val="00806083"/>
    <w:rsid w:val="00807F04"/>
    <w:rsid w:val="008101C6"/>
    <w:rsid w:val="00811FE3"/>
    <w:rsid w:val="0081326E"/>
    <w:rsid w:val="008153B3"/>
    <w:rsid w:val="008166DC"/>
    <w:rsid w:val="00816922"/>
    <w:rsid w:val="00820B17"/>
    <w:rsid w:val="00824016"/>
    <w:rsid w:val="008243DE"/>
    <w:rsid w:val="008246CE"/>
    <w:rsid w:val="00825BBC"/>
    <w:rsid w:val="008323CC"/>
    <w:rsid w:val="008341C7"/>
    <w:rsid w:val="008361E8"/>
    <w:rsid w:val="00837857"/>
    <w:rsid w:val="00837B18"/>
    <w:rsid w:val="00842002"/>
    <w:rsid w:val="008421EE"/>
    <w:rsid w:val="008426D3"/>
    <w:rsid w:val="00845F3D"/>
    <w:rsid w:val="00846B94"/>
    <w:rsid w:val="0085153A"/>
    <w:rsid w:val="00852A1B"/>
    <w:rsid w:val="00854B50"/>
    <w:rsid w:val="00856281"/>
    <w:rsid w:val="00857313"/>
    <w:rsid w:val="0085763E"/>
    <w:rsid w:val="00861EFA"/>
    <w:rsid w:val="00862BDD"/>
    <w:rsid w:val="008631E1"/>
    <w:rsid w:val="0086414D"/>
    <w:rsid w:val="00865E86"/>
    <w:rsid w:val="00867301"/>
    <w:rsid w:val="00867E88"/>
    <w:rsid w:val="00871E97"/>
    <w:rsid w:val="00873885"/>
    <w:rsid w:val="008740C2"/>
    <w:rsid w:val="00874945"/>
    <w:rsid w:val="00875BFA"/>
    <w:rsid w:val="00876E4B"/>
    <w:rsid w:val="008807B7"/>
    <w:rsid w:val="00880EEF"/>
    <w:rsid w:val="00884086"/>
    <w:rsid w:val="00885883"/>
    <w:rsid w:val="00886272"/>
    <w:rsid w:val="00886655"/>
    <w:rsid w:val="00891021"/>
    <w:rsid w:val="00893204"/>
    <w:rsid w:val="00894486"/>
    <w:rsid w:val="00894E1B"/>
    <w:rsid w:val="00895FA3"/>
    <w:rsid w:val="0089622C"/>
    <w:rsid w:val="008A4000"/>
    <w:rsid w:val="008A42F1"/>
    <w:rsid w:val="008A4DB8"/>
    <w:rsid w:val="008A5F4D"/>
    <w:rsid w:val="008B161A"/>
    <w:rsid w:val="008B2575"/>
    <w:rsid w:val="008B2BFF"/>
    <w:rsid w:val="008B35B6"/>
    <w:rsid w:val="008B3E32"/>
    <w:rsid w:val="008B4029"/>
    <w:rsid w:val="008B4257"/>
    <w:rsid w:val="008B68D7"/>
    <w:rsid w:val="008C0A04"/>
    <w:rsid w:val="008C1C55"/>
    <w:rsid w:val="008C1D79"/>
    <w:rsid w:val="008C3B62"/>
    <w:rsid w:val="008C4AED"/>
    <w:rsid w:val="008C4FFD"/>
    <w:rsid w:val="008C5CB0"/>
    <w:rsid w:val="008C5F04"/>
    <w:rsid w:val="008C738C"/>
    <w:rsid w:val="008D329D"/>
    <w:rsid w:val="008D37C0"/>
    <w:rsid w:val="008D3C5E"/>
    <w:rsid w:val="008D48A0"/>
    <w:rsid w:val="008D4DF3"/>
    <w:rsid w:val="008D5199"/>
    <w:rsid w:val="008D58AC"/>
    <w:rsid w:val="008D6E0A"/>
    <w:rsid w:val="008E014E"/>
    <w:rsid w:val="008E0206"/>
    <w:rsid w:val="008E056D"/>
    <w:rsid w:val="008E157A"/>
    <w:rsid w:val="008E1A2F"/>
    <w:rsid w:val="008E2404"/>
    <w:rsid w:val="008E28A4"/>
    <w:rsid w:val="008E2BF8"/>
    <w:rsid w:val="008E4256"/>
    <w:rsid w:val="008E47A7"/>
    <w:rsid w:val="008E4A76"/>
    <w:rsid w:val="008E4D0E"/>
    <w:rsid w:val="008E503C"/>
    <w:rsid w:val="008E65EE"/>
    <w:rsid w:val="008F1384"/>
    <w:rsid w:val="008F15BA"/>
    <w:rsid w:val="008F2EF5"/>
    <w:rsid w:val="008F5E54"/>
    <w:rsid w:val="008F71B2"/>
    <w:rsid w:val="008F7B9F"/>
    <w:rsid w:val="00900076"/>
    <w:rsid w:val="0090116A"/>
    <w:rsid w:val="00901457"/>
    <w:rsid w:val="00902299"/>
    <w:rsid w:val="009024C6"/>
    <w:rsid w:val="0090438E"/>
    <w:rsid w:val="009043E2"/>
    <w:rsid w:val="00904B53"/>
    <w:rsid w:val="00906C5B"/>
    <w:rsid w:val="009104CC"/>
    <w:rsid w:val="0091100B"/>
    <w:rsid w:val="00911F73"/>
    <w:rsid w:val="0091244F"/>
    <w:rsid w:val="009129A9"/>
    <w:rsid w:val="009133DA"/>
    <w:rsid w:val="00913501"/>
    <w:rsid w:val="009140B7"/>
    <w:rsid w:val="00914F63"/>
    <w:rsid w:val="00916AF1"/>
    <w:rsid w:val="00917F29"/>
    <w:rsid w:val="00920C82"/>
    <w:rsid w:val="00920DAF"/>
    <w:rsid w:val="00921DEA"/>
    <w:rsid w:val="009248CE"/>
    <w:rsid w:val="00924C62"/>
    <w:rsid w:val="00925F85"/>
    <w:rsid w:val="00931C7B"/>
    <w:rsid w:val="00933FD8"/>
    <w:rsid w:val="00934B6B"/>
    <w:rsid w:val="00934F1D"/>
    <w:rsid w:val="009404B0"/>
    <w:rsid w:val="00942664"/>
    <w:rsid w:val="00943DB7"/>
    <w:rsid w:val="00947961"/>
    <w:rsid w:val="00956C1C"/>
    <w:rsid w:val="00957DE6"/>
    <w:rsid w:val="00960D64"/>
    <w:rsid w:val="0096108F"/>
    <w:rsid w:val="00962F58"/>
    <w:rsid w:val="00964B1B"/>
    <w:rsid w:val="00964F4B"/>
    <w:rsid w:val="0096614F"/>
    <w:rsid w:val="00966B7A"/>
    <w:rsid w:val="009670A8"/>
    <w:rsid w:val="00967FC1"/>
    <w:rsid w:val="00970EB6"/>
    <w:rsid w:val="009719A4"/>
    <w:rsid w:val="00972846"/>
    <w:rsid w:val="009739E2"/>
    <w:rsid w:val="00976331"/>
    <w:rsid w:val="00982710"/>
    <w:rsid w:val="00982BF7"/>
    <w:rsid w:val="00985247"/>
    <w:rsid w:val="00985778"/>
    <w:rsid w:val="00992D8A"/>
    <w:rsid w:val="009933FE"/>
    <w:rsid w:val="00994272"/>
    <w:rsid w:val="009956DC"/>
    <w:rsid w:val="00996655"/>
    <w:rsid w:val="00996804"/>
    <w:rsid w:val="009A1C2E"/>
    <w:rsid w:val="009A1FAF"/>
    <w:rsid w:val="009A3F44"/>
    <w:rsid w:val="009A4102"/>
    <w:rsid w:val="009A422F"/>
    <w:rsid w:val="009A5260"/>
    <w:rsid w:val="009A695C"/>
    <w:rsid w:val="009A6FF2"/>
    <w:rsid w:val="009B02D2"/>
    <w:rsid w:val="009B21D6"/>
    <w:rsid w:val="009B2B33"/>
    <w:rsid w:val="009B30ED"/>
    <w:rsid w:val="009B352C"/>
    <w:rsid w:val="009B3B0F"/>
    <w:rsid w:val="009B44EF"/>
    <w:rsid w:val="009B627A"/>
    <w:rsid w:val="009B6AEF"/>
    <w:rsid w:val="009B6E2E"/>
    <w:rsid w:val="009B735A"/>
    <w:rsid w:val="009B7E36"/>
    <w:rsid w:val="009C2C18"/>
    <w:rsid w:val="009C6293"/>
    <w:rsid w:val="009C67CF"/>
    <w:rsid w:val="009C7895"/>
    <w:rsid w:val="009D0EE1"/>
    <w:rsid w:val="009D1A0D"/>
    <w:rsid w:val="009D6353"/>
    <w:rsid w:val="009D6BEE"/>
    <w:rsid w:val="009E0A24"/>
    <w:rsid w:val="009E2360"/>
    <w:rsid w:val="009E245C"/>
    <w:rsid w:val="009E2714"/>
    <w:rsid w:val="009E2CDE"/>
    <w:rsid w:val="009E31F4"/>
    <w:rsid w:val="009E38A4"/>
    <w:rsid w:val="009E4070"/>
    <w:rsid w:val="009E4A4D"/>
    <w:rsid w:val="009E54C7"/>
    <w:rsid w:val="009E6B1B"/>
    <w:rsid w:val="009E75DA"/>
    <w:rsid w:val="009E7892"/>
    <w:rsid w:val="009E7E77"/>
    <w:rsid w:val="009F4CB5"/>
    <w:rsid w:val="009F545F"/>
    <w:rsid w:val="009F562C"/>
    <w:rsid w:val="009F67A6"/>
    <w:rsid w:val="009F7CE5"/>
    <w:rsid w:val="00A01B17"/>
    <w:rsid w:val="00A01BE9"/>
    <w:rsid w:val="00A03D8C"/>
    <w:rsid w:val="00A04C0F"/>
    <w:rsid w:val="00A06352"/>
    <w:rsid w:val="00A120D2"/>
    <w:rsid w:val="00A14AC8"/>
    <w:rsid w:val="00A206F4"/>
    <w:rsid w:val="00A22B83"/>
    <w:rsid w:val="00A23442"/>
    <w:rsid w:val="00A23FAF"/>
    <w:rsid w:val="00A2625C"/>
    <w:rsid w:val="00A308F2"/>
    <w:rsid w:val="00A30ED3"/>
    <w:rsid w:val="00A313D4"/>
    <w:rsid w:val="00A3144C"/>
    <w:rsid w:val="00A31DF3"/>
    <w:rsid w:val="00A35AEF"/>
    <w:rsid w:val="00A42D28"/>
    <w:rsid w:val="00A45530"/>
    <w:rsid w:val="00A47D9A"/>
    <w:rsid w:val="00A500F0"/>
    <w:rsid w:val="00A50E69"/>
    <w:rsid w:val="00A5175D"/>
    <w:rsid w:val="00A53E52"/>
    <w:rsid w:val="00A55E0D"/>
    <w:rsid w:val="00A57435"/>
    <w:rsid w:val="00A57CDF"/>
    <w:rsid w:val="00A57FD4"/>
    <w:rsid w:val="00A618D6"/>
    <w:rsid w:val="00A653C0"/>
    <w:rsid w:val="00A666F3"/>
    <w:rsid w:val="00A72EA9"/>
    <w:rsid w:val="00A747C5"/>
    <w:rsid w:val="00A75BC7"/>
    <w:rsid w:val="00A75D59"/>
    <w:rsid w:val="00A7609C"/>
    <w:rsid w:val="00A76FE3"/>
    <w:rsid w:val="00A814E2"/>
    <w:rsid w:val="00A818E2"/>
    <w:rsid w:val="00A81B7B"/>
    <w:rsid w:val="00A8300E"/>
    <w:rsid w:val="00A8435D"/>
    <w:rsid w:val="00A8513A"/>
    <w:rsid w:val="00A868B6"/>
    <w:rsid w:val="00A86D2A"/>
    <w:rsid w:val="00A903C5"/>
    <w:rsid w:val="00A9042E"/>
    <w:rsid w:val="00A96D2A"/>
    <w:rsid w:val="00AA01D9"/>
    <w:rsid w:val="00AA07E3"/>
    <w:rsid w:val="00AA1F28"/>
    <w:rsid w:val="00AA23FC"/>
    <w:rsid w:val="00AA5094"/>
    <w:rsid w:val="00AA54B1"/>
    <w:rsid w:val="00AA6608"/>
    <w:rsid w:val="00AB0782"/>
    <w:rsid w:val="00AB1268"/>
    <w:rsid w:val="00AB21B8"/>
    <w:rsid w:val="00AB3307"/>
    <w:rsid w:val="00AB52AE"/>
    <w:rsid w:val="00AB5706"/>
    <w:rsid w:val="00AB5E36"/>
    <w:rsid w:val="00AB5FEE"/>
    <w:rsid w:val="00AB69DC"/>
    <w:rsid w:val="00AB6BEF"/>
    <w:rsid w:val="00AC1947"/>
    <w:rsid w:val="00AC209F"/>
    <w:rsid w:val="00AC340D"/>
    <w:rsid w:val="00AC3C28"/>
    <w:rsid w:val="00AC5F95"/>
    <w:rsid w:val="00AD041F"/>
    <w:rsid w:val="00AD11AF"/>
    <w:rsid w:val="00AD2289"/>
    <w:rsid w:val="00AD3981"/>
    <w:rsid w:val="00AD5C99"/>
    <w:rsid w:val="00AD5D60"/>
    <w:rsid w:val="00AD6656"/>
    <w:rsid w:val="00AD71B2"/>
    <w:rsid w:val="00AE1E1E"/>
    <w:rsid w:val="00AE2CDF"/>
    <w:rsid w:val="00AE3E31"/>
    <w:rsid w:val="00AE40B2"/>
    <w:rsid w:val="00AE4277"/>
    <w:rsid w:val="00AE45E6"/>
    <w:rsid w:val="00AE5905"/>
    <w:rsid w:val="00AE627B"/>
    <w:rsid w:val="00AE7E94"/>
    <w:rsid w:val="00AE7FAF"/>
    <w:rsid w:val="00AF3450"/>
    <w:rsid w:val="00AF3E1E"/>
    <w:rsid w:val="00AF68C8"/>
    <w:rsid w:val="00AF7C09"/>
    <w:rsid w:val="00B00C46"/>
    <w:rsid w:val="00B02BB3"/>
    <w:rsid w:val="00B044BF"/>
    <w:rsid w:val="00B04C57"/>
    <w:rsid w:val="00B04D7D"/>
    <w:rsid w:val="00B0543F"/>
    <w:rsid w:val="00B0671D"/>
    <w:rsid w:val="00B06A76"/>
    <w:rsid w:val="00B06BE5"/>
    <w:rsid w:val="00B10921"/>
    <w:rsid w:val="00B11A46"/>
    <w:rsid w:val="00B15260"/>
    <w:rsid w:val="00B20F30"/>
    <w:rsid w:val="00B23043"/>
    <w:rsid w:val="00B24876"/>
    <w:rsid w:val="00B30C72"/>
    <w:rsid w:val="00B331AE"/>
    <w:rsid w:val="00B332CE"/>
    <w:rsid w:val="00B3367D"/>
    <w:rsid w:val="00B33DBA"/>
    <w:rsid w:val="00B34E35"/>
    <w:rsid w:val="00B35A2E"/>
    <w:rsid w:val="00B36CF2"/>
    <w:rsid w:val="00B42DD8"/>
    <w:rsid w:val="00B43622"/>
    <w:rsid w:val="00B439C7"/>
    <w:rsid w:val="00B45B27"/>
    <w:rsid w:val="00B45DB8"/>
    <w:rsid w:val="00B475AB"/>
    <w:rsid w:val="00B475D0"/>
    <w:rsid w:val="00B4788E"/>
    <w:rsid w:val="00B47EF0"/>
    <w:rsid w:val="00B52631"/>
    <w:rsid w:val="00B55385"/>
    <w:rsid w:val="00B55664"/>
    <w:rsid w:val="00B55A83"/>
    <w:rsid w:val="00B55B38"/>
    <w:rsid w:val="00B57A05"/>
    <w:rsid w:val="00B57D9A"/>
    <w:rsid w:val="00B61712"/>
    <w:rsid w:val="00B62793"/>
    <w:rsid w:val="00B62C7E"/>
    <w:rsid w:val="00B63D0F"/>
    <w:rsid w:val="00B644AE"/>
    <w:rsid w:val="00B645D9"/>
    <w:rsid w:val="00B64A3D"/>
    <w:rsid w:val="00B65307"/>
    <w:rsid w:val="00B661C7"/>
    <w:rsid w:val="00B67CA4"/>
    <w:rsid w:val="00B67DFC"/>
    <w:rsid w:val="00B702A2"/>
    <w:rsid w:val="00B7054F"/>
    <w:rsid w:val="00B7083F"/>
    <w:rsid w:val="00B70E41"/>
    <w:rsid w:val="00B71F34"/>
    <w:rsid w:val="00B72042"/>
    <w:rsid w:val="00B72682"/>
    <w:rsid w:val="00B73ACD"/>
    <w:rsid w:val="00B74A35"/>
    <w:rsid w:val="00B77A4D"/>
    <w:rsid w:val="00B8052E"/>
    <w:rsid w:val="00B81A28"/>
    <w:rsid w:val="00B83BB3"/>
    <w:rsid w:val="00B84D15"/>
    <w:rsid w:val="00B86A87"/>
    <w:rsid w:val="00B876F7"/>
    <w:rsid w:val="00B90468"/>
    <w:rsid w:val="00B91494"/>
    <w:rsid w:val="00B91D30"/>
    <w:rsid w:val="00B9358E"/>
    <w:rsid w:val="00B94294"/>
    <w:rsid w:val="00B96741"/>
    <w:rsid w:val="00B97114"/>
    <w:rsid w:val="00B9766F"/>
    <w:rsid w:val="00BA011A"/>
    <w:rsid w:val="00BA0A3F"/>
    <w:rsid w:val="00BA1FEC"/>
    <w:rsid w:val="00BA219C"/>
    <w:rsid w:val="00BA226B"/>
    <w:rsid w:val="00BA2B20"/>
    <w:rsid w:val="00BA3801"/>
    <w:rsid w:val="00BA4D4A"/>
    <w:rsid w:val="00BA54B0"/>
    <w:rsid w:val="00BA763F"/>
    <w:rsid w:val="00BB12B1"/>
    <w:rsid w:val="00BB26E0"/>
    <w:rsid w:val="00BB38A8"/>
    <w:rsid w:val="00BB5E18"/>
    <w:rsid w:val="00BB653E"/>
    <w:rsid w:val="00BB7B8C"/>
    <w:rsid w:val="00BB7BDE"/>
    <w:rsid w:val="00BC021D"/>
    <w:rsid w:val="00BC0373"/>
    <w:rsid w:val="00BC0679"/>
    <w:rsid w:val="00BC1E1E"/>
    <w:rsid w:val="00BC331A"/>
    <w:rsid w:val="00BC3910"/>
    <w:rsid w:val="00BC3D50"/>
    <w:rsid w:val="00BC5B24"/>
    <w:rsid w:val="00BD1102"/>
    <w:rsid w:val="00BD371B"/>
    <w:rsid w:val="00BD3D18"/>
    <w:rsid w:val="00BD4B9F"/>
    <w:rsid w:val="00BD4CD1"/>
    <w:rsid w:val="00BD4FFF"/>
    <w:rsid w:val="00BD5A8B"/>
    <w:rsid w:val="00BD61E2"/>
    <w:rsid w:val="00BE0541"/>
    <w:rsid w:val="00BE194A"/>
    <w:rsid w:val="00BE3D2F"/>
    <w:rsid w:val="00BE41C5"/>
    <w:rsid w:val="00BE591B"/>
    <w:rsid w:val="00BE5BF2"/>
    <w:rsid w:val="00BE63DC"/>
    <w:rsid w:val="00BF351F"/>
    <w:rsid w:val="00BF3818"/>
    <w:rsid w:val="00BF54AD"/>
    <w:rsid w:val="00BF6F5A"/>
    <w:rsid w:val="00BF759E"/>
    <w:rsid w:val="00C02660"/>
    <w:rsid w:val="00C04D2D"/>
    <w:rsid w:val="00C0575E"/>
    <w:rsid w:val="00C0661D"/>
    <w:rsid w:val="00C069CB"/>
    <w:rsid w:val="00C06E7F"/>
    <w:rsid w:val="00C07CDF"/>
    <w:rsid w:val="00C107D5"/>
    <w:rsid w:val="00C1139C"/>
    <w:rsid w:val="00C14A95"/>
    <w:rsid w:val="00C15850"/>
    <w:rsid w:val="00C1718E"/>
    <w:rsid w:val="00C212B4"/>
    <w:rsid w:val="00C2320F"/>
    <w:rsid w:val="00C23F70"/>
    <w:rsid w:val="00C24273"/>
    <w:rsid w:val="00C273CC"/>
    <w:rsid w:val="00C32608"/>
    <w:rsid w:val="00C32755"/>
    <w:rsid w:val="00C32DC5"/>
    <w:rsid w:val="00C33E4F"/>
    <w:rsid w:val="00C33FE4"/>
    <w:rsid w:val="00C34317"/>
    <w:rsid w:val="00C367D0"/>
    <w:rsid w:val="00C36F2C"/>
    <w:rsid w:val="00C37816"/>
    <w:rsid w:val="00C405D6"/>
    <w:rsid w:val="00C40739"/>
    <w:rsid w:val="00C44DBA"/>
    <w:rsid w:val="00C45F96"/>
    <w:rsid w:val="00C468BD"/>
    <w:rsid w:val="00C50651"/>
    <w:rsid w:val="00C50A24"/>
    <w:rsid w:val="00C50AC6"/>
    <w:rsid w:val="00C52B5C"/>
    <w:rsid w:val="00C53811"/>
    <w:rsid w:val="00C5398D"/>
    <w:rsid w:val="00C551AA"/>
    <w:rsid w:val="00C566C0"/>
    <w:rsid w:val="00C56B02"/>
    <w:rsid w:val="00C579AF"/>
    <w:rsid w:val="00C6009F"/>
    <w:rsid w:val="00C604BC"/>
    <w:rsid w:val="00C60979"/>
    <w:rsid w:val="00C60CD3"/>
    <w:rsid w:val="00C62E46"/>
    <w:rsid w:val="00C62EC2"/>
    <w:rsid w:val="00C64422"/>
    <w:rsid w:val="00C64D21"/>
    <w:rsid w:val="00C65AC2"/>
    <w:rsid w:val="00C668CC"/>
    <w:rsid w:val="00C70E04"/>
    <w:rsid w:val="00C7352E"/>
    <w:rsid w:val="00C75C22"/>
    <w:rsid w:val="00C75FF1"/>
    <w:rsid w:val="00C76831"/>
    <w:rsid w:val="00C804C2"/>
    <w:rsid w:val="00C80A30"/>
    <w:rsid w:val="00C81D30"/>
    <w:rsid w:val="00C8548D"/>
    <w:rsid w:val="00C86AB8"/>
    <w:rsid w:val="00C86E03"/>
    <w:rsid w:val="00C86ECA"/>
    <w:rsid w:val="00C87EC5"/>
    <w:rsid w:val="00C907CA"/>
    <w:rsid w:val="00C908AB"/>
    <w:rsid w:val="00C90923"/>
    <w:rsid w:val="00C9278D"/>
    <w:rsid w:val="00C927CD"/>
    <w:rsid w:val="00C92D0C"/>
    <w:rsid w:val="00C93734"/>
    <w:rsid w:val="00C941AC"/>
    <w:rsid w:val="00C96C1C"/>
    <w:rsid w:val="00C97A3A"/>
    <w:rsid w:val="00C97C9E"/>
    <w:rsid w:val="00CA2D20"/>
    <w:rsid w:val="00CA2E4F"/>
    <w:rsid w:val="00CA3FA5"/>
    <w:rsid w:val="00CA451F"/>
    <w:rsid w:val="00CA47DB"/>
    <w:rsid w:val="00CA627D"/>
    <w:rsid w:val="00CB0F16"/>
    <w:rsid w:val="00CB13D1"/>
    <w:rsid w:val="00CB1AB1"/>
    <w:rsid w:val="00CB28FC"/>
    <w:rsid w:val="00CB2E6F"/>
    <w:rsid w:val="00CB42F2"/>
    <w:rsid w:val="00CB4765"/>
    <w:rsid w:val="00CB679F"/>
    <w:rsid w:val="00CB7FE7"/>
    <w:rsid w:val="00CC0A74"/>
    <w:rsid w:val="00CC231A"/>
    <w:rsid w:val="00CC2DF4"/>
    <w:rsid w:val="00CC5A75"/>
    <w:rsid w:val="00CC6147"/>
    <w:rsid w:val="00CC6F15"/>
    <w:rsid w:val="00CC78B6"/>
    <w:rsid w:val="00CC7B39"/>
    <w:rsid w:val="00CD0654"/>
    <w:rsid w:val="00CD06B3"/>
    <w:rsid w:val="00CD17BA"/>
    <w:rsid w:val="00CD1944"/>
    <w:rsid w:val="00CD4B13"/>
    <w:rsid w:val="00CE08FA"/>
    <w:rsid w:val="00CE0A11"/>
    <w:rsid w:val="00CE120D"/>
    <w:rsid w:val="00CE4B9B"/>
    <w:rsid w:val="00CE53C2"/>
    <w:rsid w:val="00CE7E4D"/>
    <w:rsid w:val="00CF0E03"/>
    <w:rsid w:val="00CF2327"/>
    <w:rsid w:val="00CF4D23"/>
    <w:rsid w:val="00CF69B5"/>
    <w:rsid w:val="00D0006E"/>
    <w:rsid w:val="00D0059C"/>
    <w:rsid w:val="00D02B22"/>
    <w:rsid w:val="00D02DF4"/>
    <w:rsid w:val="00D046C5"/>
    <w:rsid w:val="00D04F60"/>
    <w:rsid w:val="00D14414"/>
    <w:rsid w:val="00D15DA2"/>
    <w:rsid w:val="00D1602A"/>
    <w:rsid w:val="00D16262"/>
    <w:rsid w:val="00D16F35"/>
    <w:rsid w:val="00D209D9"/>
    <w:rsid w:val="00D2108D"/>
    <w:rsid w:val="00D22127"/>
    <w:rsid w:val="00D243DD"/>
    <w:rsid w:val="00D2516E"/>
    <w:rsid w:val="00D25408"/>
    <w:rsid w:val="00D254FB"/>
    <w:rsid w:val="00D26A4B"/>
    <w:rsid w:val="00D26D10"/>
    <w:rsid w:val="00D277B5"/>
    <w:rsid w:val="00D31C1C"/>
    <w:rsid w:val="00D3468D"/>
    <w:rsid w:val="00D34792"/>
    <w:rsid w:val="00D349A9"/>
    <w:rsid w:val="00D361F1"/>
    <w:rsid w:val="00D36539"/>
    <w:rsid w:val="00D424BC"/>
    <w:rsid w:val="00D43E92"/>
    <w:rsid w:val="00D454C8"/>
    <w:rsid w:val="00D456BB"/>
    <w:rsid w:val="00D4611D"/>
    <w:rsid w:val="00D4622E"/>
    <w:rsid w:val="00D502E4"/>
    <w:rsid w:val="00D5063D"/>
    <w:rsid w:val="00D509B9"/>
    <w:rsid w:val="00D509FF"/>
    <w:rsid w:val="00D50B49"/>
    <w:rsid w:val="00D51A94"/>
    <w:rsid w:val="00D60264"/>
    <w:rsid w:val="00D60B98"/>
    <w:rsid w:val="00D61587"/>
    <w:rsid w:val="00D6196C"/>
    <w:rsid w:val="00D6215D"/>
    <w:rsid w:val="00D64067"/>
    <w:rsid w:val="00D66130"/>
    <w:rsid w:val="00D67854"/>
    <w:rsid w:val="00D7272B"/>
    <w:rsid w:val="00D746B9"/>
    <w:rsid w:val="00D749B6"/>
    <w:rsid w:val="00D751FE"/>
    <w:rsid w:val="00D75B49"/>
    <w:rsid w:val="00D75B9B"/>
    <w:rsid w:val="00D8135B"/>
    <w:rsid w:val="00D81834"/>
    <w:rsid w:val="00D82A5B"/>
    <w:rsid w:val="00D82B16"/>
    <w:rsid w:val="00D8350F"/>
    <w:rsid w:val="00D837A6"/>
    <w:rsid w:val="00D8380C"/>
    <w:rsid w:val="00D839D4"/>
    <w:rsid w:val="00D84FC5"/>
    <w:rsid w:val="00D877DC"/>
    <w:rsid w:val="00D90219"/>
    <w:rsid w:val="00D91E65"/>
    <w:rsid w:val="00D93EB5"/>
    <w:rsid w:val="00D93F0E"/>
    <w:rsid w:val="00D95E1C"/>
    <w:rsid w:val="00D972E0"/>
    <w:rsid w:val="00DA00BB"/>
    <w:rsid w:val="00DA122F"/>
    <w:rsid w:val="00DA251D"/>
    <w:rsid w:val="00DA3B56"/>
    <w:rsid w:val="00DA559E"/>
    <w:rsid w:val="00DA73CE"/>
    <w:rsid w:val="00DA750D"/>
    <w:rsid w:val="00DB01FB"/>
    <w:rsid w:val="00DB07CC"/>
    <w:rsid w:val="00DB0D22"/>
    <w:rsid w:val="00DB1267"/>
    <w:rsid w:val="00DB14C1"/>
    <w:rsid w:val="00DB256E"/>
    <w:rsid w:val="00DB29C9"/>
    <w:rsid w:val="00DB2CFA"/>
    <w:rsid w:val="00DB5B58"/>
    <w:rsid w:val="00DC078E"/>
    <w:rsid w:val="00DC195A"/>
    <w:rsid w:val="00DC2072"/>
    <w:rsid w:val="00DC3EC2"/>
    <w:rsid w:val="00DD05FF"/>
    <w:rsid w:val="00DD2682"/>
    <w:rsid w:val="00DD2692"/>
    <w:rsid w:val="00DD28C1"/>
    <w:rsid w:val="00DD5E86"/>
    <w:rsid w:val="00DD689F"/>
    <w:rsid w:val="00DD7A50"/>
    <w:rsid w:val="00DD7C92"/>
    <w:rsid w:val="00DE094D"/>
    <w:rsid w:val="00DE0969"/>
    <w:rsid w:val="00DE1466"/>
    <w:rsid w:val="00DE1E5D"/>
    <w:rsid w:val="00DE2680"/>
    <w:rsid w:val="00DE2875"/>
    <w:rsid w:val="00DE4064"/>
    <w:rsid w:val="00DE49E2"/>
    <w:rsid w:val="00DE6217"/>
    <w:rsid w:val="00DE7DA1"/>
    <w:rsid w:val="00DF0A78"/>
    <w:rsid w:val="00DF3C5B"/>
    <w:rsid w:val="00DF5C63"/>
    <w:rsid w:val="00DF6A44"/>
    <w:rsid w:val="00DF6D1A"/>
    <w:rsid w:val="00DF79CE"/>
    <w:rsid w:val="00E00484"/>
    <w:rsid w:val="00E008E8"/>
    <w:rsid w:val="00E0186B"/>
    <w:rsid w:val="00E02B28"/>
    <w:rsid w:val="00E0359A"/>
    <w:rsid w:val="00E03ADF"/>
    <w:rsid w:val="00E03DB3"/>
    <w:rsid w:val="00E0496B"/>
    <w:rsid w:val="00E05960"/>
    <w:rsid w:val="00E05C78"/>
    <w:rsid w:val="00E07372"/>
    <w:rsid w:val="00E07393"/>
    <w:rsid w:val="00E100FB"/>
    <w:rsid w:val="00E1040D"/>
    <w:rsid w:val="00E106D5"/>
    <w:rsid w:val="00E10D86"/>
    <w:rsid w:val="00E11718"/>
    <w:rsid w:val="00E11B61"/>
    <w:rsid w:val="00E11C5C"/>
    <w:rsid w:val="00E14609"/>
    <w:rsid w:val="00E1514B"/>
    <w:rsid w:val="00E15CA6"/>
    <w:rsid w:val="00E17306"/>
    <w:rsid w:val="00E173A1"/>
    <w:rsid w:val="00E17C0E"/>
    <w:rsid w:val="00E201B3"/>
    <w:rsid w:val="00E20230"/>
    <w:rsid w:val="00E2132A"/>
    <w:rsid w:val="00E21460"/>
    <w:rsid w:val="00E221AE"/>
    <w:rsid w:val="00E22407"/>
    <w:rsid w:val="00E24177"/>
    <w:rsid w:val="00E24519"/>
    <w:rsid w:val="00E27B33"/>
    <w:rsid w:val="00E32057"/>
    <w:rsid w:val="00E3251F"/>
    <w:rsid w:val="00E3391F"/>
    <w:rsid w:val="00E34357"/>
    <w:rsid w:val="00E3618D"/>
    <w:rsid w:val="00E36237"/>
    <w:rsid w:val="00E36D2C"/>
    <w:rsid w:val="00E37708"/>
    <w:rsid w:val="00E4292C"/>
    <w:rsid w:val="00E42F42"/>
    <w:rsid w:val="00E434CC"/>
    <w:rsid w:val="00E43D44"/>
    <w:rsid w:val="00E455B4"/>
    <w:rsid w:val="00E4586B"/>
    <w:rsid w:val="00E4611F"/>
    <w:rsid w:val="00E47156"/>
    <w:rsid w:val="00E4757D"/>
    <w:rsid w:val="00E501FB"/>
    <w:rsid w:val="00E50750"/>
    <w:rsid w:val="00E50C85"/>
    <w:rsid w:val="00E51056"/>
    <w:rsid w:val="00E5155A"/>
    <w:rsid w:val="00E52191"/>
    <w:rsid w:val="00E53B2D"/>
    <w:rsid w:val="00E54424"/>
    <w:rsid w:val="00E54A70"/>
    <w:rsid w:val="00E553E7"/>
    <w:rsid w:val="00E55793"/>
    <w:rsid w:val="00E558C6"/>
    <w:rsid w:val="00E56601"/>
    <w:rsid w:val="00E5703B"/>
    <w:rsid w:val="00E5772C"/>
    <w:rsid w:val="00E577A3"/>
    <w:rsid w:val="00E57953"/>
    <w:rsid w:val="00E6004A"/>
    <w:rsid w:val="00E61017"/>
    <w:rsid w:val="00E617D8"/>
    <w:rsid w:val="00E62701"/>
    <w:rsid w:val="00E6383D"/>
    <w:rsid w:val="00E65AED"/>
    <w:rsid w:val="00E6724D"/>
    <w:rsid w:val="00E67A53"/>
    <w:rsid w:val="00E71042"/>
    <w:rsid w:val="00E7126F"/>
    <w:rsid w:val="00E726F6"/>
    <w:rsid w:val="00E729A0"/>
    <w:rsid w:val="00E735F1"/>
    <w:rsid w:val="00E737EF"/>
    <w:rsid w:val="00E76823"/>
    <w:rsid w:val="00E76C60"/>
    <w:rsid w:val="00E774E4"/>
    <w:rsid w:val="00E80100"/>
    <w:rsid w:val="00E80406"/>
    <w:rsid w:val="00E80AA5"/>
    <w:rsid w:val="00E81059"/>
    <w:rsid w:val="00E820F7"/>
    <w:rsid w:val="00E84C2A"/>
    <w:rsid w:val="00E84FD7"/>
    <w:rsid w:val="00E86F23"/>
    <w:rsid w:val="00E8789B"/>
    <w:rsid w:val="00E9197F"/>
    <w:rsid w:val="00E92C94"/>
    <w:rsid w:val="00E9376A"/>
    <w:rsid w:val="00E939E2"/>
    <w:rsid w:val="00E948F6"/>
    <w:rsid w:val="00E9524C"/>
    <w:rsid w:val="00E96009"/>
    <w:rsid w:val="00E9679B"/>
    <w:rsid w:val="00E96D05"/>
    <w:rsid w:val="00E97383"/>
    <w:rsid w:val="00E97474"/>
    <w:rsid w:val="00EA06E2"/>
    <w:rsid w:val="00EA20E7"/>
    <w:rsid w:val="00EA399C"/>
    <w:rsid w:val="00EA4C27"/>
    <w:rsid w:val="00EA7A75"/>
    <w:rsid w:val="00EB2C19"/>
    <w:rsid w:val="00EB2E0B"/>
    <w:rsid w:val="00EB37B2"/>
    <w:rsid w:val="00EB3CF3"/>
    <w:rsid w:val="00EB452C"/>
    <w:rsid w:val="00EB47D9"/>
    <w:rsid w:val="00EB4FD4"/>
    <w:rsid w:val="00EB7858"/>
    <w:rsid w:val="00EC0A5A"/>
    <w:rsid w:val="00EC3A26"/>
    <w:rsid w:val="00EC4A92"/>
    <w:rsid w:val="00EC5C39"/>
    <w:rsid w:val="00EC5DD0"/>
    <w:rsid w:val="00EC615E"/>
    <w:rsid w:val="00ED023B"/>
    <w:rsid w:val="00ED08B0"/>
    <w:rsid w:val="00ED0ABD"/>
    <w:rsid w:val="00ED1E74"/>
    <w:rsid w:val="00ED1EE7"/>
    <w:rsid w:val="00ED2DFC"/>
    <w:rsid w:val="00ED2F48"/>
    <w:rsid w:val="00ED4B49"/>
    <w:rsid w:val="00EE09E1"/>
    <w:rsid w:val="00EE14FB"/>
    <w:rsid w:val="00EE2333"/>
    <w:rsid w:val="00EE2583"/>
    <w:rsid w:val="00EE428E"/>
    <w:rsid w:val="00EE5773"/>
    <w:rsid w:val="00EE691A"/>
    <w:rsid w:val="00EF062F"/>
    <w:rsid w:val="00EF0DA8"/>
    <w:rsid w:val="00EF217E"/>
    <w:rsid w:val="00EF2C3B"/>
    <w:rsid w:val="00EF3B3F"/>
    <w:rsid w:val="00EF43C4"/>
    <w:rsid w:val="00EF4776"/>
    <w:rsid w:val="00EF60FB"/>
    <w:rsid w:val="00EF6741"/>
    <w:rsid w:val="00F011DD"/>
    <w:rsid w:val="00F019AB"/>
    <w:rsid w:val="00F019CF"/>
    <w:rsid w:val="00F03498"/>
    <w:rsid w:val="00F0372F"/>
    <w:rsid w:val="00F03F30"/>
    <w:rsid w:val="00F04857"/>
    <w:rsid w:val="00F06193"/>
    <w:rsid w:val="00F10840"/>
    <w:rsid w:val="00F10D65"/>
    <w:rsid w:val="00F10E2A"/>
    <w:rsid w:val="00F11879"/>
    <w:rsid w:val="00F1224A"/>
    <w:rsid w:val="00F13AC3"/>
    <w:rsid w:val="00F13F12"/>
    <w:rsid w:val="00F14092"/>
    <w:rsid w:val="00F14708"/>
    <w:rsid w:val="00F14E03"/>
    <w:rsid w:val="00F1519C"/>
    <w:rsid w:val="00F17566"/>
    <w:rsid w:val="00F17883"/>
    <w:rsid w:val="00F20ED4"/>
    <w:rsid w:val="00F2308E"/>
    <w:rsid w:val="00F23A05"/>
    <w:rsid w:val="00F2633D"/>
    <w:rsid w:val="00F32945"/>
    <w:rsid w:val="00F32D6F"/>
    <w:rsid w:val="00F337F2"/>
    <w:rsid w:val="00F36737"/>
    <w:rsid w:val="00F37FBB"/>
    <w:rsid w:val="00F41C49"/>
    <w:rsid w:val="00F41E23"/>
    <w:rsid w:val="00F428C6"/>
    <w:rsid w:val="00F42EFB"/>
    <w:rsid w:val="00F4741F"/>
    <w:rsid w:val="00F508CF"/>
    <w:rsid w:val="00F512F6"/>
    <w:rsid w:val="00F5420D"/>
    <w:rsid w:val="00F55444"/>
    <w:rsid w:val="00F55A6A"/>
    <w:rsid w:val="00F55B8C"/>
    <w:rsid w:val="00F560F0"/>
    <w:rsid w:val="00F57301"/>
    <w:rsid w:val="00F602D9"/>
    <w:rsid w:val="00F618E4"/>
    <w:rsid w:val="00F6360E"/>
    <w:rsid w:val="00F637BE"/>
    <w:rsid w:val="00F668F7"/>
    <w:rsid w:val="00F6785A"/>
    <w:rsid w:val="00F73177"/>
    <w:rsid w:val="00F74C61"/>
    <w:rsid w:val="00F75376"/>
    <w:rsid w:val="00F76046"/>
    <w:rsid w:val="00F81B9A"/>
    <w:rsid w:val="00F81DBF"/>
    <w:rsid w:val="00F81EDD"/>
    <w:rsid w:val="00F83CAB"/>
    <w:rsid w:val="00F844BF"/>
    <w:rsid w:val="00F85069"/>
    <w:rsid w:val="00F86E3B"/>
    <w:rsid w:val="00F87399"/>
    <w:rsid w:val="00F902B0"/>
    <w:rsid w:val="00F906EA"/>
    <w:rsid w:val="00F91C7D"/>
    <w:rsid w:val="00F91C96"/>
    <w:rsid w:val="00F92238"/>
    <w:rsid w:val="00F9227E"/>
    <w:rsid w:val="00F95378"/>
    <w:rsid w:val="00F958CC"/>
    <w:rsid w:val="00F9606E"/>
    <w:rsid w:val="00F961D6"/>
    <w:rsid w:val="00F978AA"/>
    <w:rsid w:val="00FA2548"/>
    <w:rsid w:val="00FA2C5A"/>
    <w:rsid w:val="00FA3A27"/>
    <w:rsid w:val="00FA41BD"/>
    <w:rsid w:val="00FA5729"/>
    <w:rsid w:val="00FA65F0"/>
    <w:rsid w:val="00FA744B"/>
    <w:rsid w:val="00FA785C"/>
    <w:rsid w:val="00FB3B83"/>
    <w:rsid w:val="00FB4FD0"/>
    <w:rsid w:val="00FB5073"/>
    <w:rsid w:val="00FB6C3A"/>
    <w:rsid w:val="00FB7E01"/>
    <w:rsid w:val="00FC0AFA"/>
    <w:rsid w:val="00FC384E"/>
    <w:rsid w:val="00FC4895"/>
    <w:rsid w:val="00FC5604"/>
    <w:rsid w:val="00FC6334"/>
    <w:rsid w:val="00FC65DC"/>
    <w:rsid w:val="00FC76B7"/>
    <w:rsid w:val="00FD1C4C"/>
    <w:rsid w:val="00FD3180"/>
    <w:rsid w:val="00FD34EB"/>
    <w:rsid w:val="00FD417A"/>
    <w:rsid w:val="00FD418E"/>
    <w:rsid w:val="00FD548C"/>
    <w:rsid w:val="00FD6940"/>
    <w:rsid w:val="00FE44B1"/>
    <w:rsid w:val="00FE5725"/>
    <w:rsid w:val="00FE69A9"/>
    <w:rsid w:val="00FE7D58"/>
    <w:rsid w:val="00FF0B27"/>
    <w:rsid w:val="00FF1B71"/>
    <w:rsid w:val="00FF2F35"/>
    <w:rsid w:val="00FF4D7F"/>
    <w:rsid w:val="00FF67EF"/>
    <w:rsid w:val="00FF6E1B"/>
    <w:rsid w:val="00FF7490"/>
    <w:rsid w:val="00FF75DD"/>
    <w:rsid w:val="011650A5"/>
    <w:rsid w:val="01383900"/>
    <w:rsid w:val="014829B9"/>
    <w:rsid w:val="016A59B3"/>
    <w:rsid w:val="0180792C"/>
    <w:rsid w:val="0183453D"/>
    <w:rsid w:val="01893391"/>
    <w:rsid w:val="01D90ED7"/>
    <w:rsid w:val="01FA65AD"/>
    <w:rsid w:val="021C6183"/>
    <w:rsid w:val="02292983"/>
    <w:rsid w:val="02657057"/>
    <w:rsid w:val="02780A9B"/>
    <w:rsid w:val="028832B4"/>
    <w:rsid w:val="02931780"/>
    <w:rsid w:val="02944733"/>
    <w:rsid w:val="029B5D53"/>
    <w:rsid w:val="02AD7C71"/>
    <w:rsid w:val="02D432A2"/>
    <w:rsid w:val="02D768EE"/>
    <w:rsid w:val="039C332F"/>
    <w:rsid w:val="03BC0EB4"/>
    <w:rsid w:val="03CE5F43"/>
    <w:rsid w:val="03EE0393"/>
    <w:rsid w:val="03F429F8"/>
    <w:rsid w:val="04591348"/>
    <w:rsid w:val="046441B2"/>
    <w:rsid w:val="046D0B07"/>
    <w:rsid w:val="04770389"/>
    <w:rsid w:val="04A942BA"/>
    <w:rsid w:val="04B07740"/>
    <w:rsid w:val="04F95D2B"/>
    <w:rsid w:val="050078CE"/>
    <w:rsid w:val="050463C4"/>
    <w:rsid w:val="053B5B26"/>
    <w:rsid w:val="054F4E62"/>
    <w:rsid w:val="055A55B4"/>
    <w:rsid w:val="05B76F44"/>
    <w:rsid w:val="05BA38B3"/>
    <w:rsid w:val="05FB779C"/>
    <w:rsid w:val="06140942"/>
    <w:rsid w:val="065906F6"/>
    <w:rsid w:val="065B276A"/>
    <w:rsid w:val="065F7326"/>
    <w:rsid w:val="06AD62E4"/>
    <w:rsid w:val="06B07B82"/>
    <w:rsid w:val="06E34177"/>
    <w:rsid w:val="06EC66E0"/>
    <w:rsid w:val="06F01EEF"/>
    <w:rsid w:val="06FD1204"/>
    <w:rsid w:val="07117EA5"/>
    <w:rsid w:val="071D508F"/>
    <w:rsid w:val="071F2A3E"/>
    <w:rsid w:val="072858CC"/>
    <w:rsid w:val="0737322B"/>
    <w:rsid w:val="075D7DCE"/>
    <w:rsid w:val="079106EB"/>
    <w:rsid w:val="07990616"/>
    <w:rsid w:val="07EA70C4"/>
    <w:rsid w:val="0802440D"/>
    <w:rsid w:val="08201CBA"/>
    <w:rsid w:val="083B358D"/>
    <w:rsid w:val="088F310A"/>
    <w:rsid w:val="088F6118"/>
    <w:rsid w:val="08AC25CB"/>
    <w:rsid w:val="08B1373D"/>
    <w:rsid w:val="08E43623"/>
    <w:rsid w:val="08F724F0"/>
    <w:rsid w:val="08F74237"/>
    <w:rsid w:val="09216B15"/>
    <w:rsid w:val="092A0515"/>
    <w:rsid w:val="093A4032"/>
    <w:rsid w:val="09417EA6"/>
    <w:rsid w:val="09542451"/>
    <w:rsid w:val="09D0518B"/>
    <w:rsid w:val="09EF7E0C"/>
    <w:rsid w:val="09F50B88"/>
    <w:rsid w:val="0A0E1B3D"/>
    <w:rsid w:val="0A2306D7"/>
    <w:rsid w:val="0A3D295B"/>
    <w:rsid w:val="0A8D1916"/>
    <w:rsid w:val="0A9642EF"/>
    <w:rsid w:val="0A982E07"/>
    <w:rsid w:val="0AEF0892"/>
    <w:rsid w:val="0B0523A4"/>
    <w:rsid w:val="0B391A02"/>
    <w:rsid w:val="0B5D6937"/>
    <w:rsid w:val="0B752996"/>
    <w:rsid w:val="0BAD6035"/>
    <w:rsid w:val="0BB12173"/>
    <w:rsid w:val="0C1C1B6C"/>
    <w:rsid w:val="0C2B5E0F"/>
    <w:rsid w:val="0C540FAF"/>
    <w:rsid w:val="0C566AD6"/>
    <w:rsid w:val="0C827AA6"/>
    <w:rsid w:val="0C927091"/>
    <w:rsid w:val="0C9A023C"/>
    <w:rsid w:val="0CB42FE4"/>
    <w:rsid w:val="0CBD0903"/>
    <w:rsid w:val="0D0943F8"/>
    <w:rsid w:val="0D2941EA"/>
    <w:rsid w:val="0D796057"/>
    <w:rsid w:val="0D8B7E99"/>
    <w:rsid w:val="0D9E67E5"/>
    <w:rsid w:val="0DA43871"/>
    <w:rsid w:val="0DBE1AA2"/>
    <w:rsid w:val="0DBE4FEB"/>
    <w:rsid w:val="0E242B7E"/>
    <w:rsid w:val="0E3F636E"/>
    <w:rsid w:val="0E6940FD"/>
    <w:rsid w:val="0E747874"/>
    <w:rsid w:val="0E773F4A"/>
    <w:rsid w:val="0EA77CB0"/>
    <w:rsid w:val="0ECC12D1"/>
    <w:rsid w:val="0ED50710"/>
    <w:rsid w:val="0ED84814"/>
    <w:rsid w:val="0EFF5B55"/>
    <w:rsid w:val="0F0D5446"/>
    <w:rsid w:val="0F1B4A58"/>
    <w:rsid w:val="0F2147E6"/>
    <w:rsid w:val="0F497624"/>
    <w:rsid w:val="0F5710B1"/>
    <w:rsid w:val="0F5F0397"/>
    <w:rsid w:val="0F897E70"/>
    <w:rsid w:val="0FBC3605"/>
    <w:rsid w:val="0FDD12BC"/>
    <w:rsid w:val="10257C82"/>
    <w:rsid w:val="103E2154"/>
    <w:rsid w:val="10475052"/>
    <w:rsid w:val="107A6B0B"/>
    <w:rsid w:val="1092654A"/>
    <w:rsid w:val="109C2F25"/>
    <w:rsid w:val="10E072B6"/>
    <w:rsid w:val="10E14599"/>
    <w:rsid w:val="10F35DB7"/>
    <w:rsid w:val="110348F8"/>
    <w:rsid w:val="11072A94"/>
    <w:rsid w:val="111863FF"/>
    <w:rsid w:val="111F7805"/>
    <w:rsid w:val="11786AB5"/>
    <w:rsid w:val="11B134A5"/>
    <w:rsid w:val="11D81D3B"/>
    <w:rsid w:val="124B075F"/>
    <w:rsid w:val="125352EB"/>
    <w:rsid w:val="1255782F"/>
    <w:rsid w:val="127D1BE6"/>
    <w:rsid w:val="12841571"/>
    <w:rsid w:val="1298498E"/>
    <w:rsid w:val="12A738C8"/>
    <w:rsid w:val="12B50183"/>
    <w:rsid w:val="12BF0D99"/>
    <w:rsid w:val="12ED1BFE"/>
    <w:rsid w:val="12F640D9"/>
    <w:rsid w:val="12FE7BB6"/>
    <w:rsid w:val="13057541"/>
    <w:rsid w:val="13083D49"/>
    <w:rsid w:val="13095F47"/>
    <w:rsid w:val="13106C9B"/>
    <w:rsid w:val="13353440"/>
    <w:rsid w:val="136D0080"/>
    <w:rsid w:val="1395622D"/>
    <w:rsid w:val="13A1744B"/>
    <w:rsid w:val="13AA0808"/>
    <w:rsid w:val="13C74AF8"/>
    <w:rsid w:val="13EB7EFF"/>
    <w:rsid w:val="13F65598"/>
    <w:rsid w:val="13FA243C"/>
    <w:rsid w:val="13FF7A53"/>
    <w:rsid w:val="141352AC"/>
    <w:rsid w:val="14300114"/>
    <w:rsid w:val="14302302"/>
    <w:rsid w:val="144638D4"/>
    <w:rsid w:val="144F46FE"/>
    <w:rsid w:val="14963FC9"/>
    <w:rsid w:val="14A81DE2"/>
    <w:rsid w:val="14B67942"/>
    <w:rsid w:val="151E111F"/>
    <w:rsid w:val="155E4C4D"/>
    <w:rsid w:val="158212AB"/>
    <w:rsid w:val="158775E0"/>
    <w:rsid w:val="15A43EE9"/>
    <w:rsid w:val="15BB4F2C"/>
    <w:rsid w:val="15C63D1D"/>
    <w:rsid w:val="15C727F2"/>
    <w:rsid w:val="15C771B1"/>
    <w:rsid w:val="15E433A4"/>
    <w:rsid w:val="15F1161D"/>
    <w:rsid w:val="15FC1CF2"/>
    <w:rsid w:val="16551E01"/>
    <w:rsid w:val="165E3157"/>
    <w:rsid w:val="1672312F"/>
    <w:rsid w:val="168E1562"/>
    <w:rsid w:val="16DA6555"/>
    <w:rsid w:val="170A0918"/>
    <w:rsid w:val="1714006B"/>
    <w:rsid w:val="171A4173"/>
    <w:rsid w:val="172F1E41"/>
    <w:rsid w:val="173C59AC"/>
    <w:rsid w:val="173E0EAF"/>
    <w:rsid w:val="175C4F96"/>
    <w:rsid w:val="178766DD"/>
    <w:rsid w:val="17A51A0B"/>
    <w:rsid w:val="17BD20FF"/>
    <w:rsid w:val="17CA65CA"/>
    <w:rsid w:val="17E92839"/>
    <w:rsid w:val="180C3FE1"/>
    <w:rsid w:val="181810E3"/>
    <w:rsid w:val="182E0907"/>
    <w:rsid w:val="183630E7"/>
    <w:rsid w:val="183E42D5"/>
    <w:rsid w:val="186D2F3B"/>
    <w:rsid w:val="18B16F26"/>
    <w:rsid w:val="18D1616E"/>
    <w:rsid w:val="18D46CB8"/>
    <w:rsid w:val="18E84F59"/>
    <w:rsid w:val="18F26EAB"/>
    <w:rsid w:val="18FF1D76"/>
    <w:rsid w:val="190855FC"/>
    <w:rsid w:val="19193365"/>
    <w:rsid w:val="191E6EEF"/>
    <w:rsid w:val="192835A8"/>
    <w:rsid w:val="192F0DDA"/>
    <w:rsid w:val="198763F5"/>
    <w:rsid w:val="19A35324"/>
    <w:rsid w:val="19D17B11"/>
    <w:rsid w:val="19FC4CD9"/>
    <w:rsid w:val="1A2227A0"/>
    <w:rsid w:val="1A2B27FC"/>
    <w:rsid w:val="1A423B81"/>
    <w:rsid w:val="1A5345A4"/>
    <w:rsid w:val="1A631AAF"/>
    <w:rsid w:val="1A67585D"/>
    <w:rsid w:val="1A7F342E"/>
    <w:rsid w:val="1A8F0467"/>
    <w:rsid w:val="1A9B5FFB"/>
    <w:rsid w:val="1AB64BE3"/>
    <w:rsid w:val="1B2D117A"/>
    <w:rsid w:val="1B306444"/>
    <w:rsid w:val="1B354DDE"/>
    <w:rsid w:val="1B6A60FA"/>
    <w:rsid w:val="1B854CE1"/>
    <w:rsid w:val="1B9B2757"/>
    <w:rsid w:val="1BAF4E1B"/>
    <w:rsid w:val="1BB70009"/>
    <w:rsid w:val="1BBF6318"/>
    <w:rsid w:val="1BC9004E"/>
    <w:rsid w:val="1BCF4E3C"/>
    <w:rsid w:val="1BE20386"/>
    <w:rsid w:val="1BFB1448"/>
    <w:rsid w:val="1C0334B8"/>
    <w:rsid w:val="1C0A168B"/>
    <w:rsid w:val="1C101580"/>
    <w:rsid w:val="1C252021"/>
    <w:rsid w:val="1C857CD7"/>
    <w:rsid w:val="1C94144C"/>
    <w:rsid w:val="1CA65B7D"/>
    <w:rsid w:val="1CCA0615"/>
    <w:rsid w:val="1CE56278"/>
    <w:rsid w:val="1D027BEA"/>
    <w:rsid w:val="1D687B7F"/>
    <w:rsid w:val="1D7E755C"/>
    <w:rsid w:val="1D8E253F"/>
    <w:rsid w:val="1DAA72BB"/>
    <w:rsid w:val="1DC55869"/>
    <w:rsid w:val="1DD57E18"/>
    <w:rsid w:val="1DDA2008"/>
    <w:rsid w:val="1DE226F6"/>
    <w:rsid w:val="1E0740D4"/>
    <w:rsid w:val="1E4A4B1F"/>
    <w:rsid w:val="1ECB5F13"/>
    <w:rsid w:val="1EE12B77"/>
    <w:rsid w:val="1F02599A"/>
    <w:rsid w:val="1F1160DC"/>
    <w:rsid w:val="1F5514F4"/>
    <w:rsid w:val="1F7C13B4"/>
    <w:rsid w:val="1FA50D5F"/>
    <w:rsid w:val="1FBF9CF6"/>
    <w:rsid w:val="1FC7052F"/>
    <w:rsid w:val="1FDE0E64"/>
    <w:rsid w:val="20195304"/>
    <w:rsid w:val="201C7BDE"/>
    <w:rsid w:val="203404FF"/>
    <w:rsid w:val="20784E15"/>
    <w:rsid w:val="20821001"/>
    <w:rsid w:val="208D48FB"/>
    <w:rsid w:val="20AE4CDA"/>
    <w:rsid w:val="20E56222"/>
    <w:rsid w:val="211D4554"/>
    <w:rsid w:val="21212F05"/>
    <w:rsid w:val="212C3E51"/>
    <w:rsid w:val="2133205B"/>
    <w:rsid w:val="21380790"/>
    <w:rsid w:val="213848B6"/>
    <w:rsid w:val="21780E44"/>
    <w:rsid w:val="21867A05"/>
    <w:rsid w:val="2193710C"/>
    <w:rsid w:val="21A038AF"/>
    <w:rsid w:val="21A24D84"/>
    <w:rsid w:val="21CD2DCA"/>
    <w:rsid w:val="223074F9"/>
    <w:rsid w:val="22350AE4"/>
    <w:rsid w:val="224F7DF7"/>
    <w:rsid w:val="226E6C73"/>
    <w:rsid w:val="227F6529"/>
    <w:rsid w:val="229B25D6"/>
    <w:rsid w:val="22A0025D"/>
    <w:rsid w:val="22A2261D"/>
    <w:rsid w:val="22B9698F"/>
    <w:rsid w:val="22C03B22"/>
    <w:rsid w:val="22D60519"/>
    <w:rsid w:val="22E01A46"/>
    <w:rsid w:val="22E5535D"/>
    <w:rsid w:val="22FF4360"/>
    <w:rsid w:val="23103009"/>
    <w:rsid w:val="234D336A"/>
    <w:rsid w:val="23517A57"/>
    <w:rsid w:val="23647308"/>
    <w:rsid w:val="2365630E"/>
    <w:rsid w:val="23700030"/>
    <w:rsid w:val="237346E5"/>
    <w:rsid w:val="239A2B9A"/>
    <w:rsid w:val="239C0C8D"/>
    <w:rsid w:val="239F6B5C"/>
    <w:rsid w:val="23BC0F3D"/>
    <w:rsid w:val="23F01166"/>
    <w:rsid w:val="24073EC4"/>
    <w:rsid w:val="240F11D3"/>
    <w:rsid w:val="24217E53"/>
    <w:rsid w:val="24526424"/>
    <w:rsid w:val="24562EA0"/>
    <w:rsid w:val="246F34D0"/>
    <w:rsid w:val="24771887"/>
    <w:rsid w:val="247D1363"/>
    <w:rsid w:val="247E2C16"/>
    <w:rsid w:val="248A71DF"/>
    <w:rsid w:val="249440BC"/>
    <w:rsid w:val="24952344"/>
    <w:rsid w:val="24AD398E"/>
    <w:rsid w:val="24C26212"/>
    <w:rsid w:val="24CE347D"/>
    <w:rsid w:val="253F23A5"/>
    <w:rsid w:val="25500059"/>
    <w:rsid w:val="256C6F12"/>
    <w:rsid w:val="25CA52B4"/>
    <w:rsid w:val="25D133E1"/>
    <w:rsid w:val="25F460EE"/>
    <w:rsid w:val="25F56309"/>
    <w:rsid w:val="262B20C6"/>
    <w:rsid w:val="262F59B5"/>
    <w:rsid w:val="26600D09"/>
    <w:rsid w:val="2661324C"/>
    <w:rsid w:val="26631EC1"/>
    <w:rsid w:val="266938DF"/>
    <w:rsid w:val="26844978"/>
    <w:rsid w:val="26B13621"/>
    <w:rsid w:val="26EE1FC0"/>
    <w:rsid w:val="27156F2D"/>
    <w:rsid w:val="272E3D10"/>
    <w:rsid w:val="273309CB"/>
    <w:rsid w:val="273D46C2"/>
    <w:rsid w:val="275F3B4D"/>
    <w:rsid w:val="27634AAD"/>
    <w:rsid w:val="276C31F9"/>
    <w:rsid w:val="27726B79"/>
    <w:rsid w:val="277976C4"/>
    <w:rsid w:val="27846795"/>
    <w:rsid w:val="279454BD"/>
    <w:rsid w:val="27A21EAF"/>
    <w:rsid w:val="27B41158"/>
    <w:rsid w:val="27B74C71"/>
    <w:rsid w:val="27BF5A1F"/>
    <w:rsid w:val="286B151B"/>
    <w:rsid w:val="28834C45"/>
    <w:rsid w:val="2892191C"/>
    <w:rsid w:val="289A78F2"/>
    <w:rsid w:val="289B1FE8"/>
    <w:rsid w:val="28C8445F"/>
    <w:rsid w:val="28C84E77"/>
    <w:rsid w:val="28D66E8F"/>
    <w:rsid w:val="28F17CF9"/>
    <w:rsid w:val="29123BA5"/>
    <w:rsid w:val="293A1D8E"/>
    <w:rsid w:val="294778BF"/>
    <w:rsid w:val="29585AF1"/>
    <w:rsid w:val="29620A37"/>
    <w:rsid w:val="29714AF7"/>
    <w:rsid w:val="2971760E"/>
    <w:rsid w:val="299C3663"/>
    <w:rsid w:val="29A273A6"/>
    <w:rsid w:val="29AE4672"/>
    <w:rsid w:val="29B858A9"/>
    <w:rsid w:val="29C029D5"/>
    <w:rsid w:val="29C35984"/>
    <w:rsid w:val="29D4102F"/>
    <w:rsid w:val="2A027E45"/>
    <w:rsid w:val="2A0E120D"/>
    <w:rsid w:val="2A1D33C3"/>
    <w:rsid w:val="2A2E0C3A"/>
    <w:rsid w:val="2A7918C8"/>
    <w:rsid w:val="2AA25A59"/>
    <w:rsid w:val="2AA96A88"/>
    <w:rsid w:val="2AC563B9"/>
    <w:rsid w:val="2AD72B3C"/>
    <w:rsid w:val="2AE82B97"/>
    <w:rsid w:val="2AF35C03"/>
    <w:rsid w:val="2B035C23"/>
    <w:rsid w:val="2B3202B6"/>
    <w:rsid w:val="2B6C58CD"/>
    <w:rsid w:val="2B9351F9"/>
    <w:rsid w:val="2B991AB0"/>
    <w:rsid w:val="2BAC76B6"/>
    <w:rsid w:val="2BB36041"/>
    <w:rsid w:val="2BE91584"/>
    <w:rsid w:val="2C13735F"/>
    <w:rsid w:val="2C291503"/>
    <w:rsid w:val="2C477D91"/>
    <w:rsid w:val="2C4C6FA3"/>
    <w:rsid w:val="2C87484C"/>
    <w:rsid w:val="2CB76CC5"/>
    <w:rsid w:val="2CDB1CEB"/>
    <w:rsid w:val="2D1660E1"/>
    <w:rsid w:val="2D3C7E15"/>
    <w:rsid w:val="2D5375D5"/>
    <w:rsid w:val="2D6C73C2"/>
    <w:rsid w:val="2D9E48E8"/>
    <w:rsid w:val="2DB925F5"/>
    <w:rsid w:val="2DED4030"/>
    <w:rsid w:val="2DF56CBA"/>
    <w:rsid w:val="2DFD4901"/>
    <w:rsid w:val="2E02278E"/>
    <w:rsid w:val="2E135F1B"/>
    <w:rsid w:val="2E522A7E"/>
    <w:rsid w:val="2E6C30BE"/>
    <w:rsid w:val="2EAB7223"/>
    <w:rsid w:val="2EC952CF"/>
    <w:rsid w:val="2EDB7876"/>
    <w:rsid w:val="2EE73D55"/>
    <w:rsid w:val="2F0712A4"/>
    <w:rsid w:val="2F0D5F48"/>
    <w:rsid w:val="2F1877C3"/>
    <w:rsid w:val="2F292AD6"/>
    <w:rsid w:val="2F376C15"/>
    <w:rsid w:val="2F414F6C"/>
    <w:rsid w:val="2F8172D4"/>
    <w:rsid w:val="2FA05B57"/>
    <w:rsid w:val="2FA450DE"/>
    <w:rsid w:val="2FCC2A87"/>
    <w:rsid w:val="2FD51F89"/>
    <w:rsid w:val="30240B15"/>
    <w:rsid w:val="303D06B3"/>
    <w:rsid w:val="30473E46"/>
    <w:rsid w:val="306B2C29"/>
    <w:rsid w:val="30972047"/>
    <w:rsid w:val="309E19D2"/>
    <w:rsid w:val="30B6433C"/>
    <w:rsid w:val="30C71F6A"/>
    <w:rsid w:val="30D00B18"/>
    <w:rsid w:val="30FF4EEE"/>
    <w:rsid w:val="31021E52"/>
    <w:rsid w:val="3105339B"/>
    <w:rsid w:val="31203052"/>
    <w:rsid w:val="31437F61"/>
    <w:rsid w:val="3145316C"/>
    <w:rsid w:val="31554CFE"/>
    <w:rsid w:val="31584683"/>
    <w:rsid w:val="31607511"/>
    <w:rsid w:val="316E43D2"/>
    <w:rsid w:val="319A63F2"/>
    <w:rsid w:val="31A517E2"/>
    <w:rsid w:val="31B80046"/>
    <w:rsid w:val="31D616CE"/>
    <w:rsid w:val="32170B1A"/>
    <w:rsid w:val="32236BAB"/>
    <w:rsid w:val="32494863"/>
    <w:rsid w:val="32574201"/>
    <w:rsid w:val="325E79CA"/>
    <w:rsid w:val="325F2ABE"/>
    <w:rsid w:val="3287538B"/>
    <w:rsid w:val="328C0BF4"/>
    <w:rsid w:val="32922171"/>
    <w:rsid w:val="32A66524"/>
    <w:rsid w:val="32A90701"/>
    <w:rsid w:val="32F04CDF"/>
    <w:rsid w:val="33284C22"/>
    <w:rsid w:val="332B7336"/>
    <w:rsid w:val="33305F0C"/>
    <w:rsid w:val="33560334"/>
    <w:rsid w:val="336978E6"/>
    <w:rsid w:val="33AD7074"/>
    <w:rsid w:val="33C137F8"/>
    <w:rsid w:val="341B518C"/>
    <w:rsid w:val="342D6E95"/>
    <w:rsid w:val="3432152E"/>
    <w:rsid w:val="344B0EBF"/>
    <w:rsid w:val="34655258"/>
    <w:rsid w:val="347F7212"/>
    <w:rsid w:val="34847DD4"/>
    <w:rsid w:val="34D31DDA"/>
    <w:rsid w:val="34DA0BDF"/>
    <w:rsid w:val="352407BE"/>
    <w:rsid w:val="353A5F72"/>
    <w:rsid w:val="35431A3E"/>
    <w:rsid w:val="35477134"/>
    <w:rsid w:val="35647C06"/>
    <w:rsid w:val="358C5DDF"/>
    <w:rsid w:val="35AA60C1"/>
    <w:rsid w:val="35AB0D9A"/>
    <w:rsid w:val="35D73F34"/>
    <w:rsid w:val="363217A2"/>
    <w:rsid w:val="36513CE6"/>
    <w:rsid w:val="36956822"/>
    <w:rsid w:val="36CE59FA"/>
    <w:rsid w:val="37343C8E"/>
    <w:rsid w:val="37492C0F"/>
    <w:rsid w:val="375A2588"/>
    <w:rsid w:val="37861555"/>
    <w:rsid w:val="3797DC2C"/>
    <w:rsid w:val="37B214EF"/>
    <w:rsid w:val="37B620F4"/>
    <w:rsid w:val="37B96B0F"/>
    <w:rsid w:val="37BA6FC1"/>
    <w:rsid w:val="37E07842"/>
    <w:rsid w:val="37F86794"/>
    <w:rsid w:val="37FD52FF"/>
    <w:rsid w:val="38145D11"/>
    <w:rsid w:val="3882287D"/>
    <w:rsid w:val="38A05623"/>
    <w:rsid w:val="38DB4455"/>
    <w:rsid w:val="38FF492E"/>
    <w:rsid w:val="39194863"/>
    <w:rsid w:val="39315CF4"/>
    <w:rsid w:val="39446C3B"/>
    <w:rsid w:val="39457729"/>
    <w:rsid w:val="39504541"/>
    <w:rsid w:val="395B09E4"/>
    <w:rsid w:val="396E5901"/>
    <w:rsid w:val="39945689"/>
    <w:rsid w:val="39965D61"/>
    <w:rsid w:val="39D83EE5"/>
    <w:rsid w:val="39E840D9"/>
    <w:rsid w:val="39F374A0"/>
    <w:rsid w:val="3A347611"/>
    <w:rsid w:val="3A3F1D10"/>
    <w:rsid w:val="3A49242D"/>
    <w:rsid w:val="3A5925EE"/>
    <w:rsid w:val="3AA27206"/>
    <w:rsid w:val="3AA96157"/>
    <w:rsid w:val="3AC33BEE"/>
    <w:rsid w:val="3AD96499"/>
    <w:rsid w:val="3ADF4F1E"/>
    <w:rsid w:val="3AFF08D7"/>
    <w:rsid w:val="3AFF6407"/>
    <w:rsid w:val="3B0D21A6"/>
    <w:rsid w:val="3B134ED2"/>
    <w:rsid w:val="3B1B329B"/>
    <w:rsid w:val="3B2D013E"/>
    <w:rsid w:val="3B4521AB"/>
    <w:rsid w:val="3B4535CA"/>
    <w:rsid w:val="3B554279"/>
    <w:rsid w:val="3B660234"/>
    <w:rsid w:val="3B6E5F20"/>
    <w:rsid w:val="3B7C7A57"/>
    <w:rsid w:val="3B7F07CA"/>
    <w:rsid w:val="3B96663F"/>
    <w:rsid w:val="3BBF665E"/>
    <w:rsid w:val="3BF70B2D"/>
    <w:rsid w:val="3C1C32AB"/>
    <w:rsid w:val="3C7704C4"/>
    <w:rsid w:val="3C9E57AB"/>
    <w:rsid w:val="3CA359B5"/>
    <w:rsid w:val="3CD13DD3"/>
    <w:rsid w:val="3D0D2931"/>
    <w:rsid w:val="3D245222"/>
    <w:rsid w:val="3D536C64"/>
    <w:rsid w:val="3D5D04C1"/>
    <w:rsid w:val="3D725EAD"/>
    <w:rsid w:val="3D8C47FC"/>
    <w:rsid w:val="3D986795"/>
    <w:rsid w:val="3DC76F84"/>
    <w:rsid w:val="3DCA646D"/>
    <w:rsid w:val="3E2E57F7"/>
    <w:rsid w:val="3E595383"/>
    <w:rsid w:val="3E6B5ABF"/>
    <w:rsid w:val="3E774506"/>
    <w:rsid w:val="3EAA7506"/>
    <w:rsid w:val="3EDCDF73"/>
    <w:rsid w:val="3EEF8672"/>
    <w:rsid w:val="3F055FB6"/>
    <w:rsid w:val="3F065835"/>
    <w:rsid w:val="3F3A3478"/>
    <w:rsid w:val="3F5E56C6"/>
    <w:rsid w:val="3F6031EC"/>
    <w:rsid w:val="3F6FAD7D"/>
    <w:rsid w:val="3F7722E4"/>
    <w:rsid w:val="3F777706"/>
    <w:rsid w:val="3F7BF5FB"/>
    <w:rsid w:val="3FB86B84"/>
    <w:rsid w:val="3FD6525C"/>
    <w:rsid w:val="3FF16DA3"/>
    <w:rsid w:val="3FFFC8BE"/>
    <w:rsid w:val="400F0D79"/>
    <w:rsid w:val="40BC00EF"/>
    <w:rsid w:val="40C5242F"/>
    <w:rsid w:val="40C73FD6"/>
    <w:rsid w:val="40D8674A"/>
    <w:rsid w:val="40F070FB"/>
    <w:rsid w:val="412D79B9"/>
    <w:rsid w:val="41415E2F"/>
    <w:rsid w:val="419158DF"/>
    <w:rsid w:val="419E29B4"/>
    <w:rsid w:val="41AD2FCF"/>
    <w:rsid w:val="41F96B86"/>
    <w:rsid w:val="42051E29"/>
    <w:rsid w:val="42577756"/>
    <w:rsid w:val="428F2423"/>
    <w:rsid w:val="42BD64A5"/>
    <w:rsid w:val="42CA46A0"/>
    <w:rsid w:val="42D27D5B"/>
    <w:rsid w:val="42DF0BC8"/>
    <w:rsid w:val="430B368A"/>
    <w:rsid w:val="430C79A2"/>
    <w:rsid w:val="430E275F"/>
    <w:rsid w:val="431F542F"/>
    <w:rsid w:val="43853E67"/>
    <w:rsid w:val="439816DD"/>
    <w:rsid w:val="43A85BF8"/>
    <w:rsid w:val="43CD276B"/>
    <w:rsid w:val="43DD43D5"/>
    <w:rsid w:val="43E77A38"/>
    <w:rsid w:val="43EE71E8"/>
    <w:rsid w:val="444B6B67"/>
    <w:rsid w:val="44544A76"/>
    <w:rsid w:val="446B6FE1"/>
    <w:rsid w:val="449A3F1C"/>
    <w:rsid w:val="44AB4F09"/>
    <w:rsid w:val="44AC2A30"/>
    <w:rsid w:val="44B85941"/>
    <w:rsid w:val="44ED5522"/>
    <w:rsid w:val="44EE43A5"/>
    <w:rsid w:val="44F77F5D"/>
    <w:rsid w:val="44FC7513"/>
    <w:rsid w:val="44FE0DBC"/>
    <w:rsid w:val="45375026"/>
    <w:rsid w:val="454B049A"/>
    <w:rsid w:val="45670D13"/>
    <w:rsid w:val="457B36D4"/>
    <w:rsid w:val="45A33E32"/>
    <w:rsid w:val="45C16976"/>
    <w:rsid w:val="45C5024D"/>
    <w:rsid w:val="46455BF2"/>
    <w:rsid w:val="46715BF1"/>
    <w:rsid w:val="46947F59"/>
    <w:rsid w:val="46B4285A"/>
    <w:rsid w:val="46BD2CD2"/>
    <w:rsid w:val="46E666CD"/>
    <w:rsid w:val="46EE37D3"/>
    <w:rsid w:val="46F11B84"/>
    <w:rsid w:val="46FA5CD4"/>
    <w:rsid w:val="4721166A"/>
    <w:rsid w:val="472E0158"/>
    <w:rsid w:val="473236C0"/>
    <w:rsid w:val="476B1717"/>
    <w:rsid w:val="47835663"/>
    <w:rsid w:val="479E3C8F"/>
    <w:rsid w:val="479F062A"/>
    <w:rsid w:val="47BE73FC"/>
    <w:rsid w:val="47D77DC3"/>
    <w:rsid w:val="47F25917"/>
    <w:rsid w:val="48046E08"/>
    <w:rsid w:val="481366AF"/>
    <w:rsid w:val="48233EE8"/>
    <w:rsid w:val="485D476D"/>
    <w:rsid w:val="4860600B"/>
    <w:rsid w:val="48822425"/>
    <w:rsid w:val="488F1019"/>
    <w:rsid w:val="48945CB4"/>
    <w:rsid w:val="48B459D5"/>
    <w:rsid w:val="48BB3201"/>
    <w:rsid w:val="48C2156E"/>
    <w:rsid w:val="48E07B1F"/>
    <w:rsid w:val="48FC21D7"/>
    <w:rsid w:val="491237A9"/>
    <w:rsid w:val="49137323"/>
    <w:rsid w:val="491E7603"/>
    <w:rsid w:val="491F7C74"/>
    <w:rsid w:val="495E6AC9"/>
    <w:rsid w:val="496438D9"/>
    <w:rsid w:val="49950546"/>
    <w:rsid w:val="49A10689"/>
    <w:rsid w:val="49B51A7F"/>
    <w:rsid w:val="49CF27A8"/>
    <w:rsid w:val="4A080708"/>
    <w:rsid w:val="4A18309E"/>
    <w:rsid w:val="4A4756D4"/>
    <w:rsid w:val="4A8401CF"/>
    <w:rsid w:val="4A8C305D"/>
    <w:rsid w:val="4AB80E23"/>
    <w:rsid w:val="4AD02480"/>
    <w:rsid w:val="4AE03433"/>
    <w:rsid w:val="4AF61407"/>
    <w:rsid w:val="4B020A9D"/>
    <w:rsid w:val="4B117450"/>
    <w:rsid w:val="4B344B38"/>
    <w:rsid w:val="4B441C14"/>
    <w:rsid w:val="4B5F25AA"/>
    <w:rsid w:val="4B677F94"/>
    <w:rsid w:val="4B683B54"/>
    <w:rsid w:val="4B6928EF"/>
    <w:rsid w:val="4B893ACB"/>
    <w:rsid w:val="4BAB1C93"/>
    <w:rsid w:val="4BAE4439"/>
    <w:rsid w:val="4BF46FF8"/>
    <w:rsid w:val="4C3E582D"/>
    <w:rsid w:val="4C4E1A90"/>
    <w:rsid w:val="4C614E6E"/>
    <w:rsid w:val="4C6F0F12"/>
    <w:rsid w:val="4CE56483"/>
    <w:rsid w:val="4CF756AD"/>
    <w:rsid w:val="4CFC1B5C"/>
    <w:rsid w:val="4D160508"/>
    <w:rsid w:val="4D31441A"/>
    <w:rsid w:val="4D3267B3"/>
    <w:rsid w:val="4D446692"/>
    <w:rsid w:val="4D7056EA"/>
    <w:rsid w:val="4D8D78A2"/>
    <w:rsid w:val="4D92009F"/>
    <w:rsid w:val="4DE15652"/>
    <w:rsid w:val="4E0F71D8"/>
    <w:rsid w:val="4E137126"/>
    <w:rsid w:val="4E157897"/>
    <w:rsid w:val="4E5B45A0"/>
    <w:rsid w:val="4E776E4B"/>
    <w:rsid w:val="4E78174A"/>
    <w:rsid w:val="4E8869A3"/>
    <w:rsid w:val="4EB5692F"/>
    <w:rsid w:val="4EC63BC9"/>
    <w:rsid w:val="4ECA4512"/>
    <w:rsid w:val="4EF120B3"/>
    <w:rsid w:val="4EF43100"/>
    <w:rsid w:val="4F2272E3"/>
    <w:rsid w:val="4F250268"/>
    <w:rsid w:val="4F2F8E1B"/>
    <w:rsid w:val="4F6F4D85"/>
    <w:rsid w:val="4F94330D"/>
    <w:rsid w:val="4FCE12A5"/>
    <w:rsid w:val="4FFB9245"/>
    <w:rsid w:val="4FFFD637"/>
    <w:rsid w:val="50914F3C"/>
    <w:rsid w:val="50AC1F47"/>
    <w:rsid w:val="50B67110"/>
    <w:rsid w:val="50E101BE"/>
    <w:rsid w:val="50FB7BED"/>
    <w:rsid w:val="50FD0CF5"/>
    <w:rsid w:val="5102131E"/>
    <w:rsid w:val="5114220C"/>
    <w:rsid w:val="51493AE0"/>
    <w:rsid w:val="51513CF5"/>
    <w:rsid w:val="517E631C"/>
    <w:rsid w:val="51917235"/>
    <w:rsid w:val="51935A63"/>
    <w:rsid w:val="51B20896"/>
    <w:rsid w:val="51BA2C30"/>
    <w:rsid w:val="51E42E36"/>
    <w:rsid w:val="51F46D81"/>
    <w:rsid w:val="51F96A8C"/>
    <w:rsid w:val="51FC6379"/>
    <w:rsid w:val="52087682"/>
    <w:rsid w:val="521045FE"/>
    <w:rsid w:val="521A5E3F"/>
    <w:rsid w:val="522030C9"/>
    <w:rsid w:val="52390072"/>
    <w:rsid w:val="525A3ACB"/>
    <w:rsid w:val="526112FD"/>
    <w:rsid w:val="526712BE"/>
    <w:rsid w:val="526A0045"/>
    <w:rsid w:val="52774F79"/>
    <w:rsid w:val="527F4767"/>
    <w:rsid w:val="52A631B4"/>
    <w:rsid w:val="52B0193D"/>
    <w:rsid w:val="52DA2A4C"/>
    <w:rsid w:val="52E448CC"/>
    <w:rsid w:val="52FF1A0D"/>
    <w:rsid w:val="53080E48"/>
    <w:rsid w:val="5311062D"/>
    <w:rsid w:val="53484FFE"/>
    <w:rsid w:val="53540C8B"/>
    <w:rsid w:val="53566988"/>
    <w:rsid w:val="53620E89"/>
    <w:rsid w:val="5379714E"/>
    <w:rsid w:val="53806002"/>
    <w:rsid w:val="53E03C54"/>
    <w:rsid w:val="540A3EEE"/>
    <w:rsid w:val="54130285"/>
    <w:rsid w:val="54170DFE"/>
    <w:rsid w:val="542045AD"/>
    <w:rsid w:val="54236053"/>
    <w:rsid w:val="5428129F"/>
    <w:rsid w:val="545339CC"/>
    <w:rsid w:val="54B73456"/>
    <w:rsid w:val="54C04048"/>
    <w:rsid w:val="54C52422"/>
    <w:rsid w:val="54DE1F99"/>
    <w:rsid w:val="54F621D1"/>
    <w:rsid w:val="54FA4A5B"/>
    <w:rsid w:val="551133F2"/>
    <w:rsid w:val="5573008A"/>
    <w:rsid w:val="557A0C4C"/>
    <w:rsid w:val="55D23EFC"/>
    <w:rsid w:val="5604532D"/>
    <w:rsid w:val="560F1140"/>
    <w:rsid w:val="56204D1B"/>
    <w:rsid w:val="563E640C"/>
    <w:rsid w:val="564A5AA2"/>
    <w:rsid w:val="56567336"/>
    <w:rsid w:val="56574EF1"/>
    <w:rsid w:val="565D6CC1"/>
    <w:rsid w:val="56607558"/>
    <w:rsid w:val="56780AB5"/>
    <w:rsid w:val="567A07EF"/>
    <w:rsid w:val="56AE57C6"/>
    <w:rsid w:val="56C20BE3"/>
    <w:rsid w:val="56C941F2"/>
    <w:rsid w:val="570A1F63"/>
    <w:rsid w:val="571132F2"/>
    <w:rsid w:val="57154464"/>
    <w:rsid w:val="57174680"/>
    <w:rsid w:val="5720458B"/>
    <w:rsid w:val="57497BC3"/>
    <w:rsid w:val="575823DC"/>
    <w:rsid w:val="57692E38"/>
    <w:rsid w:val="57AC1E66"/>
    <w:rsid w:val="57B984B2"/>
    <w:rsid w:val="57E427B4"/>
    <w:rsid w:val="57F483A0"/>
    <w:rsid w:val="57FF05EB"/>
    <w:rsid w:val="58044C05"/>
    <w:rsid w:val="5826141A"/>
    <w:rsid w:val="584119B5"/>
    <w:rsid w:val="58767330"/>
    <w:rsid w:val="588E7646"/>
    <w:rsid w:val="58C470AF"/>
    <w:rsid w:val="58D63D1E"/>
    <w:rsid w:val="59140133"/>
    <w:rsid w:val="59376F65"/>
    <w:rsid w:val="59487306"/>
    <w:rsid w:val="595D3DAB"/>
    <w:rsid w:val="595E0345"/>
    <w:rsid w:val="59617E35"/>
    <w:rsid w:val="596B0E28"/>
    <w:rsid w:val="59955D26"/>
    <w:rsid w:val="59DF59A9"/>
    <w:rsid w:val="59DF76D7"/>
    <w:rsid w:val="5A0D28C9"/>
    <w:rsid w:val="5A1804F3"/>
    <w:rsid w:val="5A226FEB"/>
    <w:rsid w:val="5A450696"/>
    <w:rsid w:val="5A6951F3"/>
    <w:rsid w:val="5A7C1BE0"/>
    <w:rsid w:val="5A833B8D"/>
    <w:rsid w:val="5A9E3699"/>
    <w:rsid w:val="5AAD63E9"/>
    <w:rsid w:val="5AB04BD0"/>
    <w:rsid w:val="5AC16DDD"/>
    <w:rsid w:val="5ACC12DE"/>
    <w:rsid w:val="5AD57298"/>
    <w:rsid w:val="5ADF3707"/>
    <w:rsid w:val="5AEA735D"/>
    <w:rsid w:val="5AF1280C"/>
    <w:rsid w:val="5AF34724"/>
    <w:rsid w:val="5B1F58B2"/>
    <w:rsid w:val="5B305D11"/>
    <w:rsid w:val="5B3D11BB"/>
    <w:rsid w:val="5B3E042E"/>
    <w:rsid w:val="5B432AC3"/>
    <w:rsid w:val="5B6854AA"/>
    <w:rsid w:val="5B6D2AA4"/>
    <w:rsid w:val="5B7025B1"/>
    <w:rsid w:val="5B713816"/>
    <w:rsid w:val="5B871DD5"/>
    <w:rsid w:val="5BDB1EAB"/>
    <w:rsid w:val="5BEF797A"/>
    <w:rsid w:val="5BEFB374"/>
    <w:rsid w:val="5C29310B"/>
    <w:rsid w:val="5C34392E"/>
    <w:rsid w:val="5C3D5E61"/>
    <w:rsid w:val="5C7E485A"/>
    <w:rsid w:val="5C836B56"/>
    <w:rsid w:val="5C88775A"/>
    <w:rsid w:val="5CC11316"/>
    <w:rsid w:val="5CC26E3C"/>
    <w:rsid w:val="5CCE2780"/>
    <w:rsid w:val="5CEC5DBD"/>
    <w:rsid w:val="5CF214D0"/>
    <w:rsid w:val="5D111C3D"/>
    <w:rsid w:val="5D123920"/>
    <w:rsid w:val="5D433711"/>
    <w:rsid w:val="5D495CFE"/>
    <w:rsid w:val="5D6C3A2F"/>
    <w:rsid w:val="5D7630E5"/>
    <w:rsid w:val="5D7A5DE9"/>
    <w:rsid w:val="5D7F2AAE"/>
    <w:rsid w:val="5DA1584D"/>
    <w:rsid w:val="5DAC78BD"/>
    <w:rsid w:val="5DB84C35"/>
    <w:rsid w:val="5DE97722"/>
    <w:rsid w:val="5DF04B2E"/>
    <w:rsid w:val="5DF4733F"/>
    <w:rsid w:val="5E2A6A47"/>
    <w:rsid w:val="5E2D4B90"/>
    <w:rsid w:val="5E364898"/>
    <w:rsid w:val="5E39312E"/>
    <w:rsid w:val="5E4A0E97"/>
    <w:rsid w:val="5E4B12BE"/>
    <w:rsid w:val="5E6C4478"/>
    <w:rsid w:val="5E7B54F5"/>
    <w:rsid w:val="5E8575A0"/>
    <w:rsid w:val="5EBE0317"/>
    <w:rsid w:val="5EEEE9C0"/>
    <w:rsid w:val="5F014BB4"/>
    <w:rsid w:val="5F071D35"/>
    <w:rsid w:val="5F0720F8"/>
    <w:rsid w:val="5F184A8E"/>
    <w:rsid w:val="5F2636B2"/>
    <w:rsid w:val="5F3673C4"/>
    <w:rsid w:val="5F4131D6"/>
    <w:rsid w:val="5F5043A8"/>
    <w:rsid w:val="5F5D7283"/>
    <w:rsid w:val="5F677B93"/>
    <w:rsid w:val="5F700DD2"/>
    <w:rsid w:val="5F864BC4"/>
    <w:rsid w:val="5F877CC0"/>
    <w:rsid w:val="5F9D47EA"/>
    <w:rsid w:val="5FC353A5"/>
    <w:rsid w:val="5FD17AC2"/>
    <w:rsid w:val="5FEF3616"/>
    <w:rsid w:val="5FF31D8F"/>
    <w:rsid w:val="5FFDC6A0"/>
    <w:rsid w:val="5FFFF41C"/>
    <w:rsid w:val="60152297"/>
    <w:rsid w:val="601B10C3"/>
    <w:rsid w:val="602755FE"/>
    <w:rsid w:val="604E1113"/>
    <w:rsid w:val="60777FDD"/>
    <w:rsid w:val="609154A7"/>
    <w:rsid w:val="60B21FAC"/>
    <w:rsid w:val="60DB04CD"/>
    <w:rsid w:val="60F17CF0"/>
    <w:rsid w:val="60F560A0"/>
    <w:rsid w:val="61136DE7"/>
    <w:rsid w:val="612956DC"/>
    <w:rsid w:val="61355E2F"/>
    <w:rsid w:val="61483DB4"/>
    <w:rsid w:val="615C6D49"/>
    <w:rsid w:val="616D55C9"/>
    <w:rsid w:val="616E6368"/>
    <w:rsid w:val="617A1A94"/>
    <w:rsid w:val="618021F6"/>
    <w:rsid w:val="61881DC6"/>
    <w:rsid w:val="61942060"/>
    <w:rsid w:val="61A46644"/>
    <w:rsid w:val="61B91F65"/>
    <w:rsid w:val="61BB4BDB"/>
    <w:rsid w:val="620307DC"/>
    <w:rsid w:val="62081D27"/>
    <w:rsid w:val="620A72BB"/>
    <w:rsid w:val="621E68C3"/>
    <w:rsid w:val="62482F74"/>
    <w:rsid w:val="625414DF"/>
    <w:rsid w:val="627757BC"/>
    <w:rsid w:val="62AC2121"/>
    <w:rsid w:val="62B641C5"/>
    <w:rsid w:val="62D652C2"/>
    <w:rsid w:val="62EC7D19"/>
    <w:rsid w:val="62F93461"/>
    <w:rsid w:val="63226E50"/>
    <w:rsid w:val="632409C5"/>
    <w:rsid w:val="633E1998"/>
    <w:rsid w:val="634B7B8C"/>
    <w:rsid w:val="63624A92"/>
    <w:rsid w:val="636E387A"/>
    <w:rsid w:val="63B1721D"/>
    <w:rsid w:val="63B53631"/>
    <w:rsid w:val="63E022EB"/>
    <w:rsid w:val="63FE15F1"/>
    <w:rsid w:val="641649C3"/>
    <w:rsid w:val="641A7B46"/>
    <w:rsid w:val="642108EC"/>
    <w:rsid w:val="64356146"/>
    <w:rsid w:val="647C3834"/>
    <w:rsid w:val="64DE058B"/>
    <w:rsid w:val="6505464C"/>
    <w:rsid w:val="65196F30"/>
    <w:rsid w:val="65295CAB"/>
    <w:rsid w:val="65442AE4"/>
    <w:rsid w:val="65775B6D"/>
    <w:rsid w:val="659550EE"/>
    <w:rsid w:val="65AF6E4B"/>
    <w:rsid w:val="65B0017A"/>
    <w:rsid w:val="65D61121"/>
    <w:rsid w:val="65DC0944"/>
    <w:rsid w:val="65DE1DB1"/>
    <w:rsid w:val="65F31D9F"/>
    <w:rsid w:val="66040139"/>
    <w:rsid w:val="660D37F9"/>
    <w:rsid w:val="66240220"/>
    <w:rsid w:val="662705F6"/>
    <w:rsid w:val="6663200A"/>
    <w:rsid w:val="668E12A5"/>
    <w:rsid w:val="66C22023"/>
    <w:rsid w:val="66E015D3"/>
    <w:rsid w:val="66E0199B"/>
    <w:rsid w:val="6703088E"/>
    <w:rsid w:val="6726007A"/>
    <w:rsid w:val="675C7F54"/>
    <w:rsid w:val="67701963"/>
    <w:rsid w:val="678455BD"/>
    <w:rsid w:val="67AC2BC3"/>
    <w:rsid w:val="67BD66F9"/>
    <w:rsid w:val="680B583D"/>
    <w:rsid w:val="683A01CF"/>
    <w:rsid w:val="68582049"/>
    <w:rsid w:val="685F2D49"/>
    <w:rsid w:val="688A7EDC"/>
    <w:rsid w:val="68A31EA7"/>
    <w:rsid w:val="68AD1096"/>
    <w:rsid w:val="68B00491"/>
    <w:rsid w:val="68CD4B9F"/>
    <w:rsid w:val="68D20407"/>
    <w:rsid w:val="68D75A1D"/>
    <w:rsid w:val="68E17E1F"/>
    <w:rsid w:val="68EC3499"/>
    <w:rsid w:val="68EFAA12"/>
    <w:rsid w:val="68FC6194"/>
    <w:rsid w:val="69025DD5"/>
    <w:rsid w:val="69236EB5"/>
    <w:rsid w:val="692E7D33"/>
    <w:rsid w:val="693C2467"/>
    <w:rsid w:val="69872FA0"/>
    <w:rsid w:val="698C6808"/>
    <w:rsid w:val="699D0A15"/>
    <w:rsid w:val="69D17E84"/>
    <w:rsid w:val="69EF0C1D"/>
    <w:rsid w:val="6A072332"/>
    <w:rsid w:val="6A0C050A"/>
    <w:rsid w:val="6A0E2D79"/>
    <w:rsid w:val="6A126304"/>
    <w:rsid w:val="6A257F5C"/>
    <w:rsid w:val="6A3165A6"/>
    <w:rsid w:val="6A415045"/>
    <w:rsid w:val="6A512476"/>
    <w:rsid w:val="6A5B639A"/>
    <w:rsid w:val="6A7B4D5B"/>
    <w:rsid w:val="6A8E0C62"/>
    <w:rsid w:val="6A90057A"/>
    <w:rsid w:val="6A9B2674"/>
    <w:rsid w:val="6ABF03CB"/>
    <w:rsid w:val="6ADB5852"/>
    <w:rsid w:val="6B034621"/>
    <w:rsid w:val="6B0D5727"/>
    <w:rsid w:val="6B2018FE"/>
    <w:rsid w:val="6B3F3181"/>
    <w:rsid w:val="6B4D26D9"/>
    <w:rsid w:val="6B7604F0"/>
    <w:rsid w:val="6B95409A"/>
    <w:rsid w:val="6BA8732E"/>
    <w:rsid w:val="6BAA2A50"/>
    <w:rsid w:val="6BAA4A2F"/>
    <w:rsid w:val="6BAB7077"/>
    <w:rsid w:val="6BC046CC"/>
    <w:rsid w:val="6BC40E5C"/>
    <w:rsid w:val="6BCD9DA2"/>
    <w:rsid w:val="6BDF7C4D"/>
    <w:rsid w:val="6BE7626E"/>
    <w:rsid w:val="6C10197F"/>
    <w:rsid w:val="6C5C4853"/>
    <w:rsid w:val="6C845EBC"/>
    <w:rsid w:val="6CBF2379"/>
    <w:rsid w:val="6CED0BD3"/>
    <w:rsid w:val="6D164380"/>
    <w:rsid w:val="6D5502EE"/>
    <w:rsid w:val="6D6D6796"/>
    <w:rsid w:val="6D841277"/>
    <w:rsid w:val="6D9A1F25"/>
    <w:rsid w:val="6DA6691C"/>
    <w:rsid w:val="6DAB3112"/>
    <w:rsid w:val="6DB93944"/>
    <w:rsid w:val="6DC5053A"/>
    <w:rsid w:val="6DD6E9D1"/>
    <w:rsid w:val="6DE16E31"/>
    <w:rsid w:val="6E5D6DFE"/>
    <w:rsid w:val="6E5F4EBB"/>
    <w:rsid w:val="6E606222"/>
    <w:rsid w:val="6E9717B7"/>
    <w:rsid w:val="6EA14A8D"/>
    <w:rsid w:val="6EAE7B1F"/>
    <w:rsid w:val="6EB26D11"/>
    <w:rsid w:val="6EC6436A"/>
    <w:rsid w:val="6ECA17BE"/>
    <w:rsid w:val="6ECF9374"/>
    <w:rsid w:val="6EE5683D"/>
    <w:rsid w:val="6EE75201"/>
    <w:rsid w:val="6EF67E1B"/>
    <w:rsid w:val="6EFFFEFA"/>
    <w:rsid w:val="6F045092"/>
    <w:rsid w:val="6F1A5974"/>
    <w:rsid w:val="6F273184"/>
    <w:rsid w:val="6F946416"/>
    <w:rsid w:val="6F9F49B0"/>
    <w:rsid w:val="6FC35A69"/>
    <w:rsid w:val="6FCE2BBA"/>
    <w:rsid w:val="6FE7389E"/>
    <w:rsid w:val="6FE93B2A"/>
    <w:rsid w:val="6FF5FFD9"/>
    <w:rsid w:val="702A28D7"/>
    <w:rsid w:val="703800AB"/>
    <w:rsid w:val="70422316"/>
    <w:rsid w:val="70776C11"/>
    <w:rsid w:val="7080699B"/>
    <w:rsid w:val="70EE1B56"/>
    <w:rsid w:val="70EF1F9B"/>
    <w:rsid w:val="71025602"/>
    <w:rsid w:val="7104316D"/>
    <w:rsid w:val="710F390D"/>
    <w:rsid w:val="711256D8"/>
    <w:rsid w:val="711D2DA0"/>
    <w:rsid w:val="711F3BA7"/>
    <w:rsid w:val="712F05BE"/>
    <w:rsid w:val="71336E8A"/>
    <w:rsid w:val="71483915"/>
    <w:rsid w:val="715C7408"/>
    <w:rsid w:val="717209D9"/>
    <w:rsid w:val="717A0634"/>
    <w:rsid w:val="719E6674"/>
    <w:rsid w:val="71AE2C00"/>
    <w:rsid w:val="71B71FA3"/>
    <w:rsid w:val="71D40D4C"/>
    <w:rsid w:val="71EB6773"/>
    <w:rsid w:val="71F3736D"/>
    <w:rsid w:val="71F64B04"/>
    <w:rsid w:val="720E3BC4"/>
    <w:rsid w:val="723253FE"/>
    <w:rsid w:val="72357CE5"/>
    <w:rsid w:val="723B526F"/>
    <w:rsid w:val="723C5278"/>
    <w:rsid w:val="72535141"/>
    <w:rsid w:val="725A64D5"/>
    <w:rsid w:val="725F1E7E"/>
    <w:rsid w:val="725F7DDF"/>
    <w:rsid w:val="72866D36"/>
    <w:rsid w:val="72A801AB"/>
    <w:rsid w:val="72BE56A3"/>
    <w:rsid w:val="72D90C61"/>
    <w:rsid w:val="72FF1A9C"/>
    <w:rsid w:val="7309711B"/>
    <w:rsid w:val="73261A7B"/>
    <w:rsid w:val="734463A5"/>
    <w:rsid w:val="734844B1"/>
    <w:rsid w:val="735D7D1C"/>
    <w:rsid w:val="738A200A"/>
    <w:rsid w:val="739923BF"/>
    <w:rsid w:val="739E743E"/>
    <w:rsid w:val="73A02941"/>
    <w:rsid w:val="73A87D4E"/>
    <w:rsid w:val="73A905BB"/>
    <w:rsid w:val="73BFB280"/>
    <w:rsid w:val="73CE71BA"/>
    <w:rsid w:val="73FF3515"/>
    <w:rsid w:val="744C085C"/>
    <w:rsid w:val="74822CE1"/>
    <w:rsid w:val="748A69A7"/>
    <w:rsid w:val="74A42250"/>
    <w:rsid w:val="74C0557B"/>
    <w:rsid w:val="74C652C4"/>
    <w:rsid w:val="74C77C00"/>
    <w:rsid w:val="74D34F68"/>
    <w:rsid w:val="74E27C24"/>
    <w:rsid w:val="74E977FD"/>
    <w:rsid w:val="74FB9E44"/>
    <w:rsid w:val="751122B7"/>
    <w:rsid w:val="75397782"/>
    <w:rsid w:val="75526B58"/>
    <w:rsid w:val="755D1755"/>
    <w:rsid w:val="756D63B5"/>
    <w:rsid w:val="756E6BB3"/>
    <w:rsid w:val="756F1996"/>
    <w:rsid w:val="75713E19"/>
    <w:rsid w:val="75866801"/>
    <w:rsid w:val="75941C40"/>
    <w:rsid w:val="75947E51"/>
    <w:rsid w:val="75C838B8"/>
    <w:rsid w:val="75CCDD95"/>
    <w:rsid w:val="75E83C06"/>
    <w:rsid w:val="75F4182A"/>
    <w:rsid w:val="760044E6"/>
    <w:rsid w:val="761E3FC2"/>
    <w:rsid w:val="762D3121"/>
    <w:rsid w:val="763172F6"/>
    <w:rsid w:val="76466A0A"/>
    <w:rsid w:val="76615A97"/>
    <w:rsid w:val="767174B1"/>
    <w:rsid w:val="7687373D"/>
    <w:rsid w:val="76A07D97"/>
    <w:rsid w:val="76A84548"/>
    <w:rsid w:val="76AF5AC7"/>
    <w:rsid w:val="76B10FCA"/>
    <w:rsid w:val="76B353B8"/>
    <w:rsid w:val="76B77D6E"/>
    <w:rsid w:val="76CB247B"/>
    <w:rsid w:val="770C71DA"/>
    <w:rsid w:val="775F04E3"/>
    <w:rsid w:val="7777E01C"/>
    <w:rsid w:val="777C8A46"/>
    <w:rsid w:val="7796596B"/>
    <w:rsid w:val="77AB3A8F"/>
    <w:rsid w:val="77BE04D4"/>
    <w:rsid w:val="77BF424C"/>
    <w:rsid w:val="77C1097B"/>
    <w:rsid w:val="77C3210C"/>
    <w:rsid w:val="77CF26E1"/>
    <w:rsid w:val="77D53A70"/>
    <w:rsid w:val="77D63117"/>
    <w:rsid w:val="77DA64AE"/>
    <w:rsid w:val="77DF669D"/>
    <w:rsid w:val="77E45A61"/>
    <w:rsid w:val="77F3EABD"/>
    <w:rsid w:val="77F7766F"/>
    <w:rsid w:val="77F96C8E"/>
    <w:rsid w:val="77FC3B0D"/>
    <w:rsid w:val="77FD5EA1"/>
    <w:rsid w:val="77FF2E6B"/>
    <w:rsid w:val="77FF442D"/>
    <w:rsid w:val="781F6A99"/>
    <w:rsid w:val="785D35A9"/>
    <w:rsid w:val="78B673FD"/>
    <w:rsid w:val="79156236"/>
    <w:rsid w:val="793D7B1F"/>
    <w:rsid w:val="79504A7B"/>
    <w:rsid w:val="79535D1B"/>
    <w:rsid w:val="795D24DE"/>
    <w:rsid w:val="796E6F4C"/>
    <w:rsid w:val="797F9238"/>
    <w:rsid w:val="79853F6B"/>
    <w:rsid w:val="79B77FBE"/>
    <w:rsid w:val="79BA116F"/>
    <w:rsid w:val="79C066CF"/>
    <w:rsid w:val="79C31852"/>
    <w:rsid w:val="79C54D55"/>
    <w:rsid w:val="79EB767A"/>
    <w:rsid w:val="79FEA69E"/>
    <w:rsid w:val="7A1C6139"/>
    <w:rsid w:val="7A3A5781"/>
    <w:rsid w:val="7A3D6353"/>
    <w:rsid w:val="7A747570"/>
    <w:rsid w:val="7A756308"/>
    <w:rsid w:val="7A79346F"/>
    <w:rsid w:val="7A7C0831"/>
    <w:rsid w:val="7AB91427"/>
    <w:rsid w:val="7ACF7B29"/>
    <w:rsid w:val="7AE55D78"/>
    <w:rsid w:val="7AF5BE47"/>
    <w:rsid w:val="7AF81F4F"/>
    <w:rsid w:val="7AFF1FEC"/>
    <w:rsid w:val="7B051247"/>
    <w:rsid w:val="7B114938"/>
    <w:rsid w:val="7B3466AF"/>
    <w:rsid w:val="7B38059E"/>
    <w:rsid w:val="7B4414B7"/>
    <w:rsid w:val="7B5B066E"/>
    <w:rsid w:val="7B7D40A6"/>
    <w:rsid w:val="7B885CBA"/>
    <w:rsid w:val="7BC65BA9"/>
    <w:rsid w:val="7BCD347D"/>
    <w:rsid w:val="7BEFEA01"/>
    <w:rsid w:val="7C0C783B"/>
    <w:rsid w:val="7C3010F9"/>
    <w:rsid w:val="7C3D0C61"/>
    <w:rsid w:val="7C575210"/>
    <w:rsid w:val="7C6236D0"/>
    <w:rsid w:val="7C7A784D"/>
    <w:rsid w:val="7CA64E0D"/>
    <w:rsid w:val="7CBE14B7"/>
    <w:rsid w:val="7CC77E2B"/>
    <w:rsid w:val="7CD75B94"/>
    <w:rsid w:val="7CD9572C"/>
    <w:rsid w:val="7CDDB730"/>
    <w:rsid w:val="7CED360A"/>
    <w:rsid w:val="7CF60710"/>
    <w:rsid w:val="7D08068B"/>
    <w:rsid w:val="7D3632ED"/>
    <w:rsid w:val="7D521127"/>
    <w:rsid w:val="7D5D30F7"/>
    <w:rsid w:val="7D6A6A08"/>
    <w:rsid w:val="7D741635"/>
    <w:rsid w:val="7D879275"/>
    <w:rsid w:val="7D8D62C7"/>
    <w:rsid w:val="7D96563A"/>
    <w:rsid w:val="7DB6516E"/>
    <w:rsid w:val="7DC10D1E"/>
    <w:rsid w:val="7DCE343B"/>
    <w:rsid w:val="7DEC38C1"/>
    <w:rsid w:val="7DF62030"/>
    <w:rsid w:val="7DF8049A"/>
    <w:rsid w:val="7E3620A1"/>
    <w:rsid w:val="7E404BAE"/>
    <w:rsid w:val="7E423935"/>
    <w:rsid w:val="7E526C39"/>
    <w:rsid w:val="7E5D1997"/>
    <w:rsid w:val="7E5FB6B3"/>
    <w:rsid w:val="7E5FE481"/>
    <w:rsid w:val="7E7A465F"/>
    <w:rsid w:val="7E7F4735"/>
    <w:rsid w:val="7E834226"/>
    <w:rsid w:val="7EBE0DBA"/>
    <w:rsid w:val="7EC6A73B"/>
    <w:rsid w:val="7EC90EF2"/>
    <w:rsid w:val="7ECF2F14"/>
    <w:rsid w:val="7F0026A0"/>
    <w:rsid w:val="7F1B445E"/>
    <w:rsid w:val="7F392BC8"/>
    <w:rsid w:val="7F4B7FF1"/>
    <w:rsid w:val="7F6F528F"/>
    <w:rsid w:val="7F7363FD"/>
    <w:rsid w:val="7F7E7D9E"/>
    <w:rsid w:val="7F7F2608"/>
    <w:rsid w:val="7F7F3881"/>
    <w:rsid w:val="7FA7FBEC"/>
    <w:rsid w:val="7FC535C7"/>
    <w:rsid w:val="7FC6022D"/>
    <w:rsid w:val="7FD32DC6"/>
    <w:rsid w:val="7FDC5C54"/>
    <w:rsid w:val="7FDF78FE"/>
    <w:rsid w:val="7FDF7FEC"/>
    <w:rsid w:val="7FE42AA2"/>
    <w:rsid w:val="7FE774CC"/>
    <w:rsid w:val="7FE874E8"/>
    <w:rsid w:val="7FF6719F"/>
    <w:rsid w:val="7FFE97D7"/>
    <w:rsid w:val="7FFF75C0"/>
    <w:rsid w:val="8EED5F34"/>
    <w:rsid w:val="97E9587E"/>
    <w:rsid w:val="97F717A9"/>
    <w:rsid w:val="995D3A66"/>
    <w:rsid w:val="9DAA1935"/>
    <w:rsid w:val="9F5F8845"/>
    <w:rsid w:val="9FB3F550"/>
    <w:rsid w:val="9FBE757B"/>
    <w:rsid w:val="9FD04709"/>
    <w:rsid w:val="A7ED86DA"/>
    <w:rsid w:val="AB7BEE5B"/>
    <w:rsid w:val="AF2F263B"/>
    <w:rsid w:val="AF43A8E4"/>
    <w:rsid w:val="B1368836"/>
    <w:rsid w:val="B1FB2DBA"/>
    <w:rsid w:val="B4A552F3"/>
    <w:rsid w:val="B6F97B75"/>
    <w:rsid w:val="B78FBE1B"/>
    <w:rsid w:val="B7CDDA5C"/>
    <w:rsid w:val="B897F9CF"/>
    <w:rsid w:val="BBBECFD4"/>
    <w:rsid w:val="BBFFB1FE"/>
    <w:rsid w:val="BEFB510E"/>
    <w:rsid w:val="BF2DC10F"/>
    <w:rsid w:val="BFAD7680"/>
    <w:rsid w:val="BFBB1089"/>
    <w:rsid w:val="BFBF08B6"/>
    <w:rsid w:val="BFDBF886"/>
    <w:rsid w:val="C1EFDFA6"/>
    <w:rsid w:val="C2FF3019"/>
    <w:rsid w:val="CDD5BBFC"/>
    <w:rsid w:val="CFBF633A"/>
    <w:rsid w:val="CFFD3768"/>
    <w:rsid w:val="D1FE6C0B"/>
    <w:rsid w:val="D2EFBE08"/>
    <w:rsid w:val="D3FDD461"/>
    <w:rsid w:val="D47D4FCB"/>
    <w:rsid w:val="DBEDE611"/>
    <w:rsid w:val="DC7E51A5"/>
    <w:rsid w:val="DDFFFB39"/>
    <w:rsid w:val="DEBD5046"/>
    <w:rsid w:val="DEFFF365"/>
    <w:rsid w:val="DFDEB630"/>
    <w:rsid w:val="DFE70C7C"/>
    <w:rsid w:val="DFEDFB64"/>
    <w:rsid w:val="DFF2A6D6"/>
    <w:rsid w:val="DFFD90FD"/>
    <w:rsid w:val="E5B2289F"/>
    <w:rsid w:val="E5FEDC03"/>
    <w:rsid w:val="E7B74090"/>
    <w:rsid w:val="E7B896DE"/>
    <w:rsid w:val="EB7B3F8A"/>
    <w:rsid w:val="EB9F36BC"/>
    <w:rsid w:val="EF8F60B1"/>
    <w:rsid w:val="EFAFA866"/>
    <w:rsid w:val="EFE54C3F"/>
    <w:rsid w:val="EFECA999"/>
    <w:rsid w:val="EFFE181F"/>
    <w:rsid w:val="F19629FB"/>
    <w:rsid w:val="F67FFB63"/>
    <w:rsid w:val="F7BB8573"/>
    <w:rsid w:val="F7DFCD0E"/>
    <w:rsid w:val="F7F71EDD"/>
    <w:rsid w:val="F7FF26AE"/>
    <w:rsid w:val="F9FD3BE0"/>
    <w:rsid w:val="FA7E6D20"/>
    <w:rsid w:val="FAAF0C12"/>
    <w:rsid w:val="FABF0F5E"/>
    <w:rsid w:val="FBDF2BFC"/>
    <w:rsid w:val="FBFFA5D4"/>
    <w:rsid w:val="FC6BF223"/>
    <w:rsid w:val="FCE0E817"/>
    <w:rsid w:val="FD579A1C"/>
    <w:rsid w:val="FED91587"/>
    <w:rsid w:val="FEFF1E4B"/>
    <w:rsid w:val="FEFF35DF"/>
    <w:rsid w:val="FF5BCBF8"/>
    <w:rsid w:val="FF5F35A1"/>
    <w:rsid w:val="FF773ACF"/>
    <w:rsid w:val="FF9620D3"/>
    <w:rsid w:val="FF9FE0CE"/>
    <w:rsid w:val="FFCE8A13"/>
    <w:rsid w:val="FFDFA611"/>
    <w:rsid w:val="FFE2B4EC"/>
    <w:rsid w:val="FFEE54B0"/>
    <w:rsid w:val="FFF932F6"/>
    <w:rsid w:val="FFFAE9EE"/>
    <w:rsid w:val="FFFF8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8"/>
    <w:unhideWhenUsed/>
    <w:qFormat/>
    <w:uiPriority w:val="0"/>
    <w:pPr>
      <w:overflowPunct w:val="0"/>
      <w:ind w:firstLine="0" w:firstLineChars="0"/>
      <w:jc w:val="center"/>
      <w:outlineLvl w:val="1"/>
    </w:pPr>
    <w:rPr>
      <w:rFonts w:ascii="黑体" w:hAnsi="黑体" w:eastAsia="方正小标宋简体" w:cs="方正小标宋简体"/>
    </w:rPr>
  </w:style>
  <w:style w:type="paragraph" w:styleId="4">
    <w:name w:val="heading 3"/>
    <w:basedOn w:val="1"/>
    <w:next w:val="1"/>
    <w:link w:val="47"/>
    <w:unhideWhenUsed/>
    <w:qFormat/>
    <w:uiPriority w:val="0"/>
    <w:pPr>
      <w:outlineLvl w:val="2"/>
    </w:pPr>
    <w:rPr>
      <w:rFonts w:ascii="黑体" w:hAnsi="黑体" w:eastAsia="黑体"/>
      <w:bCs/>
      <w:szCs w:val="32"/>
    </w:rPr>
  </w:style>
  <w:style w:type="paragraph" w:styleId="5">
    <w:name w:val="heading 4"/>
    <w:basedOn w:val="1"/>
    <w:next w:val="1"/>
    <w:link w:val="61"/>
    <w:unhideWhenUsed/>
    <w:qFormat/>
    <w:uiPriority w:val="0"/>
    <w:pPr>
      <w:outlineLvl w:val="3"/>
    </w:pPr>
    <w:rPr>
      <w:rFonts w:ascii="楷体" w:hAnsi="楷体" w:eastAsia="楷体" w:cs="楷体"/>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7">
    <w:name w:val="annotation text"/>
    <w:basedOn w:val="1"/>
    <w:link w:val="31"/>
    <w:qFormat/>
    <w:uiPriority w:val="0"/>
    <w:pPr>
      <w:jc w:val="left"/>
    </w:pPr>
  </w:style>
  <w:style w:type="paragraph" w:styleId="8">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1">
    <w:name w:val="Balloon Text"/>
    <w:basedOn w:val="1"/>
    <w:link w:val="37"/>
    <w:qFormat/>
    <w:uiPriority w:val="0"/>
    <w:rPr>
      <w:sz w:val="18"/>
      <w:szCs w:val="18"/>
    </w:rPr>
  </w:style>
  <w:style w:type="paragraph" w:styleId="12">
    <w:name w:val="footer"/>
    <w:basedOn w:val="1"/>
    <w:link w:val="51"/>
    <w:qFormat/>
    <w:uiPriority w:val="99"/>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heme="minorBidi"/>
      <w:b/>
      <w:bCs/>
      <w:kern w:val="0"/>
      <w:sz w:val="22"/>
      <w:szCs w:val="21"/>
    </w:rPr>
  </w:style>
  <w:style w:type="paragraph" w:styleId="15">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16">
    <w:name w:val="footnote text"/>
    <w:basedOn w:val="1"/>
    <w:link w:val="42"/>
    <w:qFormat/>
    <w:uiPriority w:val="0"/>
    <w:pPr>
      <w:jc w:val="left"/>
    </w:pPr>
    <w:rPr>
      <w:sz w:val="18"/>
      <w:szCs w:val="18"/>
    </w:rPr>
  </w:style>
  <w:style w:type="paragraph" w:styleId="17">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18">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heme="minorBidi"/>
      <w:kern w:val="0"/>
      <w:sz w:val="22"/>
      <w:szCs w:val="21"/>
    </w:rPr>
  </w:style>
  <w:style w:type="paragraph" w:styleId="19">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0">
    <w:name w:val="annotation subject"/>
    <w:basedOn w:val="7"/>
    <w:next w:val="7"/>
    <w:link w:val="3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99"/>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2 字符"/>
    <w:link w:val="3"/>
    <w:qFormat/>
    <w:uiPriority w:val="0"/>
    <w:rPr>
      <w:rFonts w:ascii="黑体" w:hAnsi="黑体" w:eastAsia="方正小标宋简体" w:cs="方正小标宋简体"/>
    </w:rPr>
  </w:style>
  <w:style w:type="paragraph" w:customStyle="1" w:styleId="29">
    <w:name w:val="_Style 17"/>
    <w:basedOn w:val="1"/>
    <w:next w:val="30"/>
    <w:qFormat/>
    <w:uiPriority w:val="34"/>
    <w:pPr>
      <w:ind w:firstLine="420"/>
    </w:pPr>
    <w:rPr>
      <w:szCs w:val="22"/>
    </w:rPr>
  </w:style>
  <w:style w:type="paragraph" w:styleId="30">
    <w:name w:val="List Paragraph"/>
    <w:basedOn w:val="1"/>
    <w:qFormat/>
    <w:uiPriority w:val="1"/>
    <w:pPr>
      <w:ind w:firstLine="420"/>
    </w:pPr>
    <w:rPr>
      <w:szCs w:val="22"/>
    </w:rPr>
  </w:style>
  <w:style w:type="character" w:customStyle="1" w:styleId="31">
    <w:name w:val="批注文字 字符"/>
    <w:basedOn w:val="23"/>
    <w:link w:val="7"/>
    <w:qFormat/>
    <w:uiPriority w:val="0"/>
    <w:rPr>
      <w:rFonts w:ascii="Times New Roman" w:hAnsi="Times New Roman" w:eastAsia="宋体" w:cs="Times New Roman"/>
      <w:kern w:val="2"/>
      <w:sz w:val="21"/>
      <w:szCs w:val="24"/>
    </w:rPr>
  </w:style>
  <w:style w:type="character" w:customStyle="1" w:styleId="32">
    <w:name w:val="批注主题 字符"/>
    <w:basedOn w:val="31"/>
    <w:link w:val="20"/>
    <w:qFormat/>
    <w:uiPriority w:val="0"/>
    <w:rPr>
      <w:rFonts w:ascii="Times New Roman" w:hAnsi="Times New Roman" w:eastAsia="宋体" w:cs="Times New Roman"/>
      <w:b/>
      <w:bCs/>
      <w:kern w:val="2"/>
      <w:sz w:val="21"/>
      <w:szCs w:val="24"/>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36">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字符"/>
    <w:basedOn w:val="23"/>
    <w:link w:val="11"/>
    <w:qFormat/>
    <w:uiPriority w:val="0"/>
    <w:rPr>
      <w:rFonts w:ascii="Times New Roman" w:hAnsi="Times New Roman" w:eastAsia="宋体" w:cs="Times New Roman"/>
      <w:kern w:val="2"/>
      <w:sz w:val="18"/>
      <w:szCs w:val="18"/>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Pa4"/>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1">
    <w:name w:val="A8"/>
    <w:qFormat/>
    <w:uiPriority w:val="99"/>
    <w:rPr>
      <w:rFonts w:cs="Source Han Serif CN"/>
      <w:color w:val="211D1E"/>
      <w:sz w:val="18"/>
      <w:szCs w:val="18"/>
    </w:rPr>
  </w:style>
  <w:style w:type="character" w:customStyle="1" w:styleId="42">
    <w:name w:val="脚注文本 字符"/>
    <w:basedOn w:val="23"/>
    <w:link w:val="16"/>
    <w:qFormat/>
    <w:uiPriority w:val="0"/>
    <w:rPr>
      <w:kern w:val="2"/>
      <w:sz w:val="18"/>
      <w:szCs w:val="18"/>
    </w:rPr>
  </w:style>
  <w:style w:type="character" w:customStyle="1" w:styleId="43">
    <w:name w:val="未处理的提及1"/>
    <w:basedOn w:val="23"/>
    <w:semiHidden/>
    <w:unhideWhenUsed/>
    <w:qFormat/>
    <w:uiPriority w:val="99"/>
    <w:rPr>
      <w:color w:val="605E5C"/>
      <w:shd w:val="clear" w:color="auto" w:fill="E1DFDD"/>
    </w:rPr>
  </w:style>
  <w:style w:type="paragraph" w:customStyle="1" w:styleId="44">
    <w:name w:val="Pa21"/>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5">
    <w:name w:val="A11"/>
    <w:qFormat/>
    <w:uiPriority w:val="99"/>
    <w:rPr>
      <w:rFonts w:cs="Source Han Serif CN"/>
      <w:color w:val="211D1E"/>
      <w:sz w:val="10"/>
      <w:szCs w:val="10"/>
    </w:rPr>
  </w:style>
  <w:style w:type="paragraph" w:customStyle="1" w:styleId="46">
    <w:name w:val="Pa0"/>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7">
    <w:name w:val="标题 3 字符"/>
    <w:basedOn w:val="23"/>
    <w:link w:val="4"/>
    <w:semiHidden/>
    <w:qFormat/>
    <w:uiPriority w:val="0"/>
    <w:rPr>
      <w:rFonts w:ascii="黑体" w:hAnsi="黑体" w:eastAsia="黑体"/>
      <w:bCs/>
      <w:kern w:val="2"/>
      <w:sz w:val="32"/>
      <w:szCs w:val="32"/>
    </w:rPr>
  </w:style>
  <w:style w:type="paragraph" w:customStyle="1" w:styleId="4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val="en-US"/>
    </w:rPr>
  </w:style>
  <w:style w:type="paragraph" w:customStyle="1" w:styleId="4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15"/>
    <w:basedOn w:val="23"/>
    <w:qFormat/>
    <w:uiPriority w:val="0"/>
    <w:rPr>
      <w:rFonts w:hint="default" w:ascii="Times New Roman" w:hAnsi="Times New Roman" w:cs="Source Han Serif CN"/>
      <w:color w:val="211D1E"/>
      <w:sz w:val="18"/>
      <w:szCs w:val="18"/>
    </w:rPr>
  </w:style>
  <w:style w:type="character" w:customStyle="1" w:styleId="51">
    <w:name w:val="页脚 字符"/>
    <w:basedOn w:val="23"/>
    <w:link w:val="12"/>
    <w:qFormat/>
    <w:uiPriority w:val="99"/>
    <w:rPr>
      <w:kern w:val="2"/>
      <w:sz w:val="18"/>
      <w:szCs w:val="24"/>
    </w:rPr>
  </w:style>
  <w:style w:type="paragraph" w:customStyle="1" w:styleId="5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修订7"/>
    <w:hidden/>
    <w:unhideWhenUsed/>
    <w:qFormat/>
    <w:uiPriority w:val="99"/>
    <w:rPr>
      <w:rFonts w:ascii="Times New Roman" w:hAnsi="Times New Roman" w:eastAsia="宋体" w:cs="Times New Roman"/>
      <w:kern w:val="2"/>
      <w:sz w:val="21"/>
      <w:szCs w:val="24"/>
      <w:lang w:val="en-US" w:eastAsia="zh-CN" w:bidi="ar-SA"/>
    </w:rPr>
  </w:style>
  <w:style w:type="table" w:customStyle="1" w:styleId="56">
    <w:name w:val="网格型2"/>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表头"/>
    <w:basedOn w:val="1"/>
    <w:next w:val="1"/>
    <w:link w:val="60"/>
    <w:qFormat/>
    <w:uiPriority w:val="0"/>
    <w:pPr>
      <w:spacing w:line="400" w:lineRule="exact"/>
      <w:ind w:firstLine="0" w:firstLineChars="0"/>
      <w:jc w:val="center"/>
    </w:pPr>
    <w:rPr>
      <w:rFonts w:hint="eastAsia"/>
      <w:sz w:val="28"/>
    </w:rPr>
  </w:style>
  <w:style w:type="paragraph" w:customStyle="1" w:styleId="58">
    <w:name w:val="表格"/>
    <w:basedOn w:val="1"/>
    <w:next w:val="1"/>
    <w:qFormat/>
    <w:uiPriority w:val="0"/>
    <w:pPr>
      <w:spacing w:line="400" w:lineRule="exact"/>
      <w:ind w:firstLine="0" w:firstLineChars="0"/>
    </w:pPr>
    <w:rPr>
      <w:rFonts w:cs="仿宋"/>
      <w:sz w:val="24"/>
    </w:rPr>
  </w:style>
  <w:style w:type="table" w:customStyle="1" w:styleId="59">
    <w:name w:val="网格型浅色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
  </w:style>
  <w:style w:type="character" w:customStyle="1" w:styleId="60">
    <w:name w:val="表头 Char"/>
    <w:link w:val="57"/>
    <w:qFormat/>
    <w:uiPriority w:val="0"/>
    <w:rPr>
      <w:rFonts w:hint="eastAsia"/>
      <w:sz w:val="28"/>
    </w:rPr>
  </w:style>
  <w:style w:type="character" w:customStyle="1" w:styleId="61">
    <w:name w:val="标题 4 字符"/>
    <w:link w:val="5"/>
    <w:qFormat/>
    <w:uiPriority w:val="0"/>
    <w:rPr>
      <w:rFonts w:ascii="楷体" w:hAnsi="楷体" w:eastAsia="楷体" w:cs="楷体"/>
      <w:szCs w:val="32"/>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3">
    <w:name w:val="样式3"/>
    <w:basedOn w:val="23"/>
    <w:qFormat/>
    <w:uiPriority w:val="1"/>
    <w:rPr>
      <w:rFonts w:eastAsia="宋体"/>
      <w:b/>
      <w:color w:val="FF0000"/>
      <w:sz w:val="21"/>
    </w:rPr>
  </w:style>
  <w:style w:type="table" w:customStyle="1" w:styleId="64">
    <w:name w:val="网格型4"/>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2"/>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6">
    <w:name w:val="表格3"/>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7">
    <w:name w:val="表格标题"/>
    <w:basedOn w:val="1"/>
    <w:qFormat/>
    <w:uiPriority w:val="0"/>
    <w:pPr>
      <w:widowControl/>
      <w:spacing w:line="400" w:lineRule="exact"/>
      <w:ind w:firstLine="0" w:firstLineChars="0"/>
      <w:jc w:val="center"/>
    </w:pPr>
    <w:rPr>
      <w:rFonts w:hint="eastAsia"/>
      <w:bCs/>
      <w:color w:val="000000"/>
      <w:sz w:val="28"/>
      <w:szCs w:val="32"/>
    </w:rPr>
  </w:style>
  <w:style w:type="paragraph" w:customStyle="1" w:styleId="68">
    <w:name w:val="Revision"/>
    <w:hidden/>
    <w:unhideWhenUsed/>
    <w:qFormat/>
    <w:uiPriority w:val="99"/>
    <w:rPr>
      <w:rFonts w:ascii="仿宋" w:hAnsi="仿宋"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3053</Words>
  <Characters>3084</Characters>
  <Lines>168</Lines>
  <Paragraphs>175</Paragraphs>
  <TotalTime>9</TotalTime>
  <ScaleCrop>false</ScaleCrop>
  <LinksUpToDate>false</LinksUpToDate>
  <CharactersWithSpaces>3121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2025-12-24T02:09:00Z</dcterms:created>
  <dc:creator>sse</dc:creator>
  <cp:lastModifiedBy>whxu</cp:lastModifiedBy>
  <cp:lastPrinted>2024-10-08T00:54:00Z</cp:lastPrinted>
  <dcterms:modified xsi:type="dcterms:W3CDTF">2026-01-30T11:15:24Z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3165EB8A649D4263A76FC043BF421198_13</vt:lpwstr>
  </property>
  <property fmtid="{D5CDD505-2E9C-101B-9397-08002B2CF9AE}" pid="4" name="KSOTemplateDocerSaveRecord">
    <vt:lpwstr>eyJoZGlkIjoiMzkyMDA3YjgzOGJiZWQ3MDQzODIyNWZlMDExMGViMDYiLCJ1c2VySWQiOiI0MTAwNTg2ODQifQ==</vt:lpwstr>
  </property>
</Properties>
</file>