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default" w:ascii="黑体" w:hAnsi="黑体" w:eastAsia="黑体"/>
          <w:bCs/>
          <w:kern w:val="0"/>
          <w:sz w:val="32"/>
          <w:szCs w:val="32"/>
          <w:lang w:val="en-US" w:eastAsia="zh-CN"/>
        </w:rPr>
      </w:pPr>
      <w:r>
        <w:rPr>
          <w:rFonts w:hint="eastAsia" w:ascii="黑体" w:hAnsi="黑体" w:eastAsia="黑体"/>
          <w:bCs/>
          <w:kern w:val="0"/>
          <w:sz w:val="32"/>
          <w:szCs w:val="32"/>
        </w:rPr>
        <w:t>附件</w:t>
      </w:r>
    </w:p>
    <w:p>
      <w:pPr>
        <w:spacing w:line="560" w:lineRule="exact"/>
        <w:rPr>
          <w:rFonts w:ascii="黑体" w:hAnsi="黑体" w:eastAsia="黑体"/>
          <w:b/>
          <w:bCs/>
          <w:sz w:val="44"/>
          <w:szCs w:val="44"/>
        </w:rPr>
      </w:pPr>
    </w:p>
    <w:p>
      <w:pPr>
        <w:suppressAutoHyphens/>
        <w:adjustRightInd w:val="0"/>
        <w:snapToGrid w:val="0"/>
        <w:spacing w:beforeLines="0" w:afterLines="0"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深圳</w:t>
      </w:r>
      <w:r>
        <w:rPr>
          <w:rFonts w:hint="eastAsia" w:ascii="方正小标宋简体" w:hAnsi="方正小标宋简体" w:eastAsia="方正小标宋简体" w:cs="方正小标宋简体"/>
          <w:bCs/>
          <w:sz w:val="44"/>
          <w:szCs w:val="44"/>
        </w:rPr>
        <w:t>证券交易所公开募集不动产投资信托基金业务指南第</w:t>
      </w:r>
      <w:r>
        <w:rPr>
          <w:rFonts w:hint="eastAsia" w:ascii="方正小标宋简体" w:hAnsi="方正小标宋简体" w:eastAsia="方正小标宋简体" w:cs="方正小标宋简体"/>
          <w:bCs/>
          <w:sz w:val="44"/>
          <w:szCs w:val="44"/>
          <w:lang w:val="en-US" w:eastAsia="zh-CN"/>
        </w:rPr>
        <w:t>6</w:t>
      </w:r>
      <w:r>
        <w:rPr>
          <w:rFonts w:hint="eastAsia" w:ascii="方正小标宋简体" w:hAnsi="方正小标宋简体" w:eastAsia="方正小标宋简体" w:cs="方正小标宋简体"/>
          <w:bCs/>
          <w:sz w:val="44"/>
          <w:szCs w:val="44"/>
        </w:rPr>
        <w:t>号——招募说明书编制</w:t>
      </w:r>
    </w:p>
    <w:p>
      <w:pPr>
        <w:pStyle w:val="13"/>
        <w:rPr>
          <w:rFonts w:hint="eastAsia"/>
        </w:rPr>
      </w:pPr>
    </w:p>
    <w:sdt>
      <w:sdtPr>
        <w:rPr>
          <w:rFonts w:hint="eastAsia" w:ascii="黑体" w:hAnsi="黑体" w:eastAsia="黑体" w:cs="黑体"/>
          <w:kern w:val="2"/>
          <w:sz w:val="21"/>
          <w:szCs w:val="22"/>
          <w:lang w:val="en-US" w:eastAsia="zh-CN" w:bidi="ar-SA"/>
        </w:rPr>
        <w:id w:val="147483417"/>
        <w15:color w:val="DBDBDB"/>
        <w:docPartObj>
          <w:docPartGallery w:val="Table of Contents"/>
          <w:docPartUnique/>
        </w:docPartObj>
      </w:sdtPr>
      <w:sdtEndPr>
        <w:rPr>
          <w:rFonts w:hint="eastAsia" w:ascii="黑体" w:hAnsi="黑体" w:eastAsia="黑体" w:cs="黑体"/>
          <w:kern w:val="2"/>
          <w:sz w:val="21"/>
          <w:szCs w:val="22"/>
          <w:lang w:val="en-US" w:eastAsia="zh-CN" w:bidi="ar-SA"/>
        </w:rPr>
      </w:sdtEndPr>
      <w:sdtContent>
        <w:p>
          <w:pPr>
            <w:spacing w:before="0" w:beforeLines="0" w:after="0" w:afterLines="0" w:line="56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目录</w:t>
          </w:r>
        </w:p>
        <w:p>
          <w:pPr>
            <w:pStyle w:val="19"/>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"1-3"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_Toc3309 </w:instrText>
          </w:r>
          <w:r>
            <w:rPr>
              <w:rFonts w:hint="eastAsia" w:ascii="仿宋" w:hAnsi="仿宋" w:eastAsia="仿宋" w:cs="仿宋"/>
              <w:sz w:val="32"/>
              <w:szCs w:val="32"/>
            </w:rPr>
            <w:fldChar w:fldCharType="separate"/>
          </w:r>
          <w:r>
            <w:rPr>
              <w:rFonts w:hint="eastAsia" w:ascii="仿宋" w:hAnsi="仿宋" w:eastAsia="仿宋" w:cs="仿宋"/>
              <w:bCs w:val="0"/>
              <w:sz w:val="32"/>
              <w:szCs w:val="32"/>
              <w:lang w:val="en-US"/>
            </w:rPr>
            <w:t>第一部分 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_Toc3309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9"/>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_Toc15507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第二部分 招募说明书编制要求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_Toc15507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2"/>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_Toc29358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第一章 一般规定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_Toc29358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_Toc23976 </w:instrText>
          </w:r>
          <w:r>
            <w:rPr>
              <w:rFonts w:hint="eastAsia" w:ascii="仿宋" w:hAnsi="仿宋" w:eastAsia="仿宋" w:cs="仿宋"/>
              <w:sz w:val="32"/>
              <w:szCs w:val="32"/>
            </w:rPr>
            <w:fldChar w:fldCharType="separate"/>
          </w:r>
          <w:r>
            <w:rPr>
              <w:rFonts w:ascii="仿宋" w:hAnsi="仿宋" w:eastAsia="仿宋" w:cs="仿宋"/>
              <w:bCs/>
              <w:sz w:val="32"/>
              <w:szCs w:val="32"/>
            </w:rPr>
            <w:t>第一节 封面、扉页、目录、绪言、释义</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_Toc23976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_Toc8074 </w:instrText>
          </w:r>
          <w:r>
            <w:rPr>
              <w:rFonts w:hint="eastAsia" w:ascii="仿宋" w:hAnsi="仿宋" w:eastAsia="仿宋" w:cs="仿宋"/>
              <w:sz w:val="32"/>
              <w:szCs w:val="32"/>
            </w:rPr>
            <w:fldChar w:fldCharType="separate"/>
          </w:r>
          <w:r>
            <w:rPr>
              <w:rFonts w:ascii="仿宋" w:hAnsi="仿宋" w:eastAsia="仿宋" w:cs="仿宋"/>
              <w:bCs/>
              <w:sz w:val="32"/>
              <w:szCs w:val="32"/>
            </w:rPr>
            <w:t>第二节 招募说明书概要</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_Toc8074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_Toc4453 </w:instrText>
          </w:r>
          <w:r>
            <w:rPr>
              <w:rFonts w:hint="eastAsia" w:ascii="仿宋" w:hAnsi="仿宋" w:eastAsia="仿宋" w:cs="仿宋"/>
              <w:sz w:val="32"/>
              <w:szCs w:val="32"/>
            </w:rPr>
            <w:fldChar w:fldCharType="separate"/>
          </w:r>
          <w:r>
            <w:rPr>
              <w:rFonts w:ascii="仿宋" w:hAnsi="仿宋" w:eastAsia="仿宋" w:cs="仿宋"/>
              <w:bCs/>
              <w:sz w:val="32"/>
              <w:szCs w:val="32"/>
            </w:rPr>
            <w:t>第三节 风险因素</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_Toc4453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2"/>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_Toc5502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第二章 不动产项目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_Toc5502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_Toc15272 </w:instrText>
          </w:r>
          <w:r>
            <w:rPr>
              <w:rFonts w:hint="eastAsia" w:ascii="仿宋" w:hAnsi="仿宋" w:eastAsia="仿宋" w:cs="仿宋"/>
              <w:sz w:val="32"/>
              <w:szCs w:val="32"/>
            </w:rPr>
            <w:fldChar w:fldCharType="separate"/>
          </w:r>
          <w:r>
            <w:rPr>
              <w:rFonts w:ascii="仿宋" w:hAnsi="仿宋" w:eastAsia="仿宋" w:cs="仿宋"/>
              <w:bCs/>
              <w:sz w:val="32"/>
              <w:szCs w:val="32"/>
            </w:rPr>
            <w:t>第一节 不动产项目概况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_Toc15272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_Toc13180 </w:instrText>
          </w:r>
          <w:r>
            <w:rPr>
              <w:rFonts w:hint="eastAsia" w:ascii="仿宋" w:hAnsi="仿宋" w:eastAsia="仿宋" w:cs="仿宋"/>
              <w:sz w:val="32"/>
              <w:szCs w:val="32"/>
            </w:rPr>
            <w:fldChar w:fldCharType="separate"/>
          </w:r>
          <w:r>
            <w:rPr>
              <w:rFonts w:ascii="仿宋" w:hAnsi="仿宋" w:eastAsia="仿宋" w:cs="仿宋"/>
              <w:bCs/>
              <w:sz w:val="32"/>
              <w:szCs w:val="32"/>
            </w:rPr>
            <w:t>第二节 经营业绩</w:t>
          </w:r>
          <w:r>
            <w:rPr>
              <w:rFonts w:hint="eastAsia" w:ascii="仿宋" w:hAnsi="仿宋" w:eastAsia="仿宋" w:cs="仿宋"/>
              <w:bCs/>
              <w:sz w:val="32"/>
              <w:szCs w:val="32"/>
            </w:rPr>
            <w:t>与</w:t>
          </w:r>
          <w:r>
            <w:rPr>
              <w:rFonts w:ascii="仿宋" w:hAnsi="仿宋" w:eastAsia="仿宋" w:cs="仿宋"/>
              <w:bCs/>
              <w:sz w:val="32"/>
              <w:szCs w:val="32"/>
            </w:rPr>
            <w:t>财务状况分析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_Toc13180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_Toc18426 </w:instrText>
          </w:r>
          <w:r>
            <w:rPr>
              <w:rFonts w:hint="eastAsia" w:ascii="仿宋" w:hAnsi="仿宋" w:eastAsia="仿宋" w:cs="仿宋"/>
              <w:sz w:val="32"/>
              <w:szCs w:val="32"/>
            </w:rPr>
            <w:fldChar w:fldCharType="separate"/>
          </w:r>
          <w:r>
            <w:rPr>
              <w:rFonts w:ascii="仿宋" w:hAnsi="仿宋" w:eastAsia="仿宋" w:cs="仿宋"/>
              <w:bCs/>
              <w:sz w:val="32"/>
              <w:szCs w:val="32"/>
            </w:rPr>
            <w:t>第三节 原始权益人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_Toc18426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_Toc9664 </w:instrText>
          </w:r>
          <w:r>
            <w:rPr>
              <w:rFonts w:hint="eastAsia" w:ascii="仿宋" w:hAnsi="仿宋" w:eastAsia="仿宋" w:cs="仿宋"/>
              <w:sz w:val="32"/>
              <w:szCs w:val="32"/>
            </w:rPr>
            <w:fldChar w:fldCharType="separate"/>
          </w:r>
          <w:r>
            <w:rPr>
              <w:rFonts w:ascii="仿宋" w:hAnsi="仿宋" w:eastAsia="仿宋" w:cs="仿宋"/>
              <w:bCs/>
              <w:sz w:val="32"/>
              <w:szCs w:val="32"/>
            </w:rPr>
            <w:t xml:space="preserve">第四节 </w:t>
          </w:r>
          <w:r>
            <w:rPr>
              <w:rFonts w:hint="eastAsia" w:ascii="仿宋" w:hAnsi="仿宋" w:eastAsia="仿宋" w:cs="仿宋"/>
              <w:bCs/>
              <w:sz w:val="32"/>
              <w:szCs w:val="32"/>
            </w:rPr>
            <w:t>运营</w:t>
          </w:r>
          <w:r>
            <w:rPr>
              <w:rFonts w:ascii="仿宋" w:hAnsi="仿宋" w:eastAsia="仿宋" w:cs="仿宋"/>
              <w:bCs/>
              <w:sz w:val="32"/>
              <w:szCs w:val="32"/>
            </w:rPr>
            <w:t>管理机构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_Toc9664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_Toc19738 </w:instrText>
          </w:r>
          <w:r>
            <w:rPr>
              <w:rFonts w:hint="eastAsia" w:ascii="仿宋" w:hAnsi="仿宋" w:eastAsia="仿宋" w:cs="仿宋"/>
              <w:sz w:val="32"/>
              <w:szCs w:val="32"/>
            </w:rPr>
            <w:fldChar w:fldCharType="separate"/>
          </w:r>
          <w:r>
            <w:rPr>
              <w:rFonts w:ascii="仿宋" w:hAnsi="仿宋" w:eastAsia="仿宋" w:cs="仿宋"/>
              <w:bCs/>
              <w:sz w:val="32"/>
              <w:szCs w:val="32"/>
            </w:rPr>
            <w:t>第五节 存在重要影响的其他事项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_Toc19738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2"/>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_Toc7612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第三章 资产评估与现金流测算</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_Toc7612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_Toc32179 </w:instrText>
          </w:r>
          <w:r>
            <w:rPr>
              <w:rFonts w:hint="eastAsia" w:ascii="仿宋" w:hAnsi="仿宋" w:eastAsia="仿宋" w:cs="仿宋"/>
              <w:sz w:val="32"/>
              <w:szCs w:val="32"/>
            </w:rPr>
            <w:fldChar w:fldCharType="separate"/>
          </w:r>
          <w:r>
            <w:rPr>
              <w:rFonts w:ascii="仿宋" w:hAnsi="仿宋" w:eastAsia="仿宋" w:cs="仿宋"/>
              <w:bCs/>
              <w:sz w:val="32"/>
              <w:szCs w:val="32"/>
            </w:rPr>
            <w:t>第一节 资产评估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_Toc32179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_Toc13926 </w:instrText>
          </w:r>
          <w:r>
            <w:rPr>
              <w:rFonts w:hint="eastAsia" w:ascii="仿宋" w:hAnsi="仿宋" w:eastAsia="仿宋" w:cs="仿宋"/>
              <w:sz w:val="32"/>
              <w:szCs w:val="32"/>
            </w:rPr>
            <w:fldChar w:fldCharType="separate"/>
          </w:r>
          <w:r>
            <w:rPr>
              <w:rFonts w:ascii="仿宋" w:hAnsi="仿宋" w:eastAsia="仿宋" w:cs="仿宋"/>
              <w:bCs/>
              <w:sz w:val="32"/>
              <w:szCs w:val="32"/>
            </w:rPr>
            <w:t>第二节 现金流测算分析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_Toc13926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2"/>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_Toc22522 </w:instrText>
          </w:r>
          <w:r>
            <w:rPr>
              <w:rFonts w:hint="eastAsia" w:ascii="仿宋" w:hAnsi="仿宋" w:eastAsia="仿宋" w:cs="仿宋"/>
              <w:sz w:val="32"/>
              <w:szCs w:val="32"/>
            </w:rPr>
            <w:fldChar w:fldCharType="separate"/>
          </w:r>
          <w:r>
            <w:rPr>
              <w:rFonts w:hint="eastAsia" w:ascii="仿宋" w:hAnsi="仿宋" w:eastAsia="仿宋" w:cs="仿宋"/>
              <w:bCs w:val="0"/>
              <w:sz w:val="32"/>
              <w:szCs w:val="32"/>
              <w:lang w:val="en-US" w:eastAsia="zh-CN"/>
            </w:rPr>
            <w:t>第四章 治理机制与运营管理安排</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_Toc22522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_Toc20458 </w:instrText>
          </w:r>
          <w:r>
            <w:rPr>
              <w:rFonts w:hint="eastAsia" w:ascii="仿宋" w:hAnsi="仿宋" w:eastAsia="仿宋" w:cs="仿宋"/>
              <w:sz w:val="32"/>
              <w:szCs w:val="32"/>
            </w:rPr>
            <w:fldChar w:fldCharType="separate"/>
          </w:r>
          <w:r>
            <w:rPr>
              <w:rFonts w:ascii="仿宋" w:hAnsi="仿宋" w:eastAsia="仿宋" w:cs="仿宋"/>
              <w:bCs/>
              <w:sz w:val="32"/>
              <w:szCs w:val="32"/>
            </w:rPr>
            <w:t>第</w:t>
          </w:r>
          <w:r>
            <w:rPr>
              <w:rFonts w:hint="eastAsia" w:ascii="仿宋" w:hAnsi="仿宋" w:eastAsia="仿宋" w:cs="仿宋"/>
              <w:bCs/>
              <w:sz w:val="32"/>
              <w:szCs w:val="32"/>
              <w:lang w:val="en-US" w:eastAsia="zh-CN"/>
            </w:rPr>
            <w:t>一</w:t>
          </w:r>
          <w:r>
            <w:rPr>
              <w:rFonts w:ascii="仿宋" w:hAnsi="仿宋" w:eastAsia="仿宋" w:cs="仿宋"/>
              <w:bCs/>
              <w:sz w:val="32"/>
              <w:szCs w:val="32"/>
            </w:rPr>
            <w:t>节 不动产基金治理</w:t>
          </w:r>
          <w:r>
            <w:rPr>
              <w:rFonts w:hint="eastAsia" w:ascii="仿宋" w:hAnsi="仿宋" w:eastAsia="仿宋" w:cs="仿宋"/>
              <w:bCs/>
              <w:sz w:val="32"/>
              <w:szCs w:val="32"/>
              <w:lang w:val="en-US" w:eastAsia="zh-CN"/>
            </w:rPr>
            <w:t>机制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_Toc20458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_Toc21255 </w:instrText>
          </w:r>
          <w:r>
            <w:rPr>
              <w:rFonts w:hint="eastAsia" w:ascii="仿宋" w:hAnsi="仿宋" w:eastAsia="仿宋" w:cs="仿宋"/>
              <w:sz w:val="32"/>
              <w:szCs w:val="32"/>
            </w:rPr>
            <w:fldChar w:fldCharType="separate"/>
          </w:r>
          <w:r>
            <w:rPr>
              <w:rFonts w:ascii="仿宋" w:hAnsi="仿宋" w:eastAsia="仿宋" w:cs="仿宋"/>
              <w:bCs/>
              <w:sz w:val="32"/>
              <w:szCs w:val="32"/>
            </w:rPr>
            <w:t>第</w:t>
          </w:r>
          <w:r>
            <w:rPr>
              <w:rFonts w:hint="eastAsia" w:ascii="仿宋" w:hAnsi="仿宋" w:eastAsia="仿宋" w:cs="仿宋"/>
              <w:bCs/>
              <w:sz w:val="32"/>
              <w:szCs w:val="32"/>
              <w:lang w:val="en-US" w:eastAsia="zh-CN"/>
            </w:rPr>
            <w:t>二</w:t>
          </w:r>
          <w:r>
            <w:rPr>
              <w:rFonts w:ascii="仿宋" w:hAnsi="仿宋" w:eastAsia="仿宋" w:cs="仿宋"/>
              <w:bCs/>
              <w:sz w:val="32"/>
              <w:szCs w:val="32"/>
            </w:rPr>
            <w:t>节 运营管理安排</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_Toc21255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2"/>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_Toc17941 </w:instrText>
          </w:r>
          <w:r>
            <w:rPr>
              <w:rFonts w:hint="eastAsia" w:ascii="仿宋" w:hAnsi="仿宋" w:eastAsia="仿宋" w:cs="仿宋"/>
              <w:sz w:val="32"/>
              <w:szCs w:val="32"/>
            </w:rPr>
            <w:fldChar w:fldCharType="separate"/>
          </w:r>
          <w:r>
            <w:rPr>
              <w:rFonts w:hint="eastAsia" w:ascii="仿宋" w:hAnsi="仿宋" w:eastAsia="仿宋" w:cs="仿宋"/>
              <w:bCs w:val="0"/>
              <w:sz w:val="32"/>
              <w:szCs w:val="32"/>
              <w:lang w:val="en-US" w:eastAsia="zh-CN"/>
            </w:rPr>
            <w:t xml:space="preserve">第五章 </w:t>
          </w:r>
          <w:r>
            <w:rPr>
              <w:rFonts w:hint="eastAsia" w:ascii="仿宋" w:hAnsi="仿宋" w:eastAsia="仿宋" w:cs="仿宋"/>
              <w:bCs w:val="0"/>
              <w:sz w:val="32"/>
              <w:szCs w:val="32"/>
            </w:rPr>
            <w:t>不动产基金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_Toc17941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_Toc38 </w:instrText>
          </w:r>
          <w:r>
            <w:rPr>
              <w:rFonts w:hint="eastAsia" w:ascii="仿宋" w:hAnsi="仿宋" w:eastAsia="仿宋" w:cs="仿宋"/>
              <w:sz w:val="32"/>
              <w:szCs w:val="32"/>
            </w:rPr>
            <w:fldChar w:fldCharType="separate"/>
          </w:r>
          <w:r>
            <w:rPr>
              <w:rFonts w:ascii="仿宋" w:hAnsi="仿宋" w:eastAsia="仿宋" w:cs="仿宋"/>
              <w:bCs/>
              <w:sz w:val="32"/>
              <w:szCs w:val="32"/>
            </w:rPr>
            <w:t>第一节 本次发行参与机构的基本情况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_Toc38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_Toc16118 </w:instrText>
          </w:r>
          <w:r>
            <w:rPr>
              <w:rFonts w:hint="eastAsia" w:ascii="仿宋" w:hAnsi="仿宋" w:eastAsia="仿宋" w:cs="仿宋"/>
              <w:sz w:val="32"/>
              <w:szCs w:val="32"/>
            </w:rPr>
            <w:fldChar w:fldCharType="separate"/>
          </w:r>
          <w:r>
            <w:rPr>
              <w:rFonts w:ascii="仿宋" w:hAnsi="仿宋" w:eastAsia="仿宋" w:cs="仿宋"/>
              <w:bCs/>
              <w:sz w:val="32"/>
              <w:szCs w:val="32"/>
            </w:rPr>
            <w:t>第二节 不动产基金的交易安排</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_Toc16118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_Toc1902 </w:instrText>
          </w:r>
          <w:r>
            <w:rPr>
              <w:rFonts w:hint="eastAsia" w:ascii="仿宋" w:hAnsi="仿宋" w:eastAsia="仿宋" w:cs="仿宋"/>
              <w:sz w:val="32"/>
              <w:szCs w:val="32"/>
            </w:rPr>
            <w:fldChar w:fldCharType="separate"/>
          </w:r>
          <w:r>
            <w:rPr>
              <w:rFonts w:ascii="仿宋" w:hAnsi="仿宋" w:eastAsia="仿宋" w:cs="仿宋"/>
              <w:bCs/>
              <w:sz w:val="32"/>
              <w:szCs w:val="32"/>
            </w:rPr>
            <w:t>第</w:t>
          </w:r>
          <w:r>
            <w:rPr>
              <w:rFonts w:hint="eastAsia" w:ascii="仿宋" w:hAnsi="仿宋" w:eastAsia="仿宋" w:cs="仿宋"/>
              <w:bCs/>
              <w:sz w:val="32"/>
              <w:szCs w:val="32"/>
              <w:lang w:val="en-US" w:eastAsia="zh-CN"/>
            </w:rPr>
            <w:t>三</w:t>
          </w:r>
          <w:r>
            <w:rPr>
              <w:rFonts w:ascii="仿宋" w:hAnsi="仿宋" w:eastAsia="仿宋" w:cs="仿宋"/>
              <w:bCs/>
              <w:sz w:val="32"/>
              <w:szCs w:val="32"/>
            </w:rPr>
            <w:t>节 关联交易与利益冲突</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_Toc1902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_Toc31612 </w:instrText>
          </w:r>
          <w:r>
            <w:rPr>
              <w:rFonts w:hint="eastAsia" w:ascii="仿宋" w:hAnsi="仿宋" w:eastAsia="仿宋" w:cs="仿宋"/>
              <w:sz w:val="32"/>
              <w:szCs w:val="32"/>
            </w:rPr>
            <w:fldChar w:fldCharType="separate"/>
          </w:r>
          <w:r>
            <w:rPr>
              <w:rFonts w:ascii="仿宋" w:hAnsi="仿宋" w:eastAsia="仿宋" w:cs="仿宋"/>
              <w:bCs/>
              <w:sz w:val="32"/>
              <w:szCs w:val="32"/>
            </w:rPr>
            <w:t>第</w:t>
          </w:r>
          <w:r>
            <w:rPr>
              <w:rFonts w:hint="eastAsia" w:ascii="仿宋" w:hAnsi="仿宋" w:eastAsia="仿宋" w:cs="仿宋"/>
              <w:bCs/>
              <w:sz w:val="32"/>
              <w:szCs w:val="32"/>
              <w:lang w:val="en-US" w:eastAsia="zh-CN"/>
            </w:rPr>
            <w:t>四</w:t>
          </w:r>
          <w:r>
            <w:rPr>
              <w:rFonts w:ascii="仿宋" w:hAnsi="仿宋" w:eastAsia="仿宋" w:cs="仿宋"/>
              <w:bCs/>
              <w:sz w:val="32"/>
              <w:szCs w:val="32"/>
            </w:rPr>
            <w:t>节 基金运作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_Toc31612 \h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_Toc25188 </w:instrText>
          </w:r>
          <w:r>
            <w:rPr>
              <w:rFonts w:hint="eastAsia" w:ascii="仿宋" w:hAnsi="仿宋" w:eastAsia="仿宋" w:cs="仿宋"/>
              <w:sz w:val="32"/>
              <w:szCs w:val="32"/>
            </w:rPr>
            <w:fldChar w:fldCharType="separate"/>
          </w:r>
          <w:r>
            <w:rPr>
              <w:rFonts w:ascii="仿宋" w:hAnsi="仿宋" w:eastAsia="仿宋" w:cs="仿宋"/>
              <w:bCs/>
              <w:sz w:val="32"/>
              <w:szCs w:val="32"/>
            </w:rPr>
            <w:t>第</w:t>
          </w:r>
          <w:r>
            <w:rPr>
              <w:rFonts w:hint="eastAsia" w:ascii="仿宋" w:hAnsi="仿宋" w:eastAsia="仿宋" w:cs="仿宋"/>
              <w:bCs/>
              <w:sz w:val="32"/>
              <w:szCs w:val="32"/>
              <w:lang w:val="en-US" w:eastAsia="zh-CN"/>
            </w:rPr>
            <w:t>五</w:t>
          </w:r>
          <w:r>
            <w:rPr>
              <w:rFonts w:ascii="仿宋" w:hAnsi="仿宋" w:eastAsia="仿宋" w:cs="仿宋"/>
              <w:bCs/>
              <w:sz w:val="32"/>
              <w:szCs w:val="32"/>
            </w:rPr>
            <w:t>节 其他事项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_Toc25188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2"/>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_Toc8737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第</w:t>
          </w:r>
          <w:r>
            <w:rPr>
              <w:rFonts w:hint="eastAsia" w:ascii="仿宋" w:hAnsi="仿宋" w:eastAsia="仿宋" w:cs="仿宋"/>
              <w:bCs w:val="0"/>
              <w:sz w:val="32"/>
              <w:szCs w:val="32"/>
              <w:lang w:val="en-US" w:eastAsia="zh-CN"/>
            </w:rPr>
            <w:t>六</w:t>
          </w:r>
          <w:r>
            <w:rPr>
              <w:rFonts w:hint="eastAsia" w:ascii="仿宋" w:hAnsi="仿宋" w:eastAsia="仿宋" w:cs="仿宋"/>
              <w:bCs w:val="0"/>
              <w:sz w:val="32"/>
              <w:szCs w:val="32"/>
            </w:rPr>
            <w:t>章 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_Toc8737 \h </w:instrText>
          </w:r>
          <w:r>
            <w:rPr>
              <w:rFonts w:hint="eastAsia" w:ascii="仿宋" w:hAnsi="仿宋" w:eastAsia="仿宋" w:cs="仿宋"/>
              <w:sz w:val="32"/>
              <w:szCs w:val="32"/>
            </w:rPr>
            <w:fldChar w:fldCharType="separate"/>
          </w:r>
          <w:r>
            <w:rPr>
              <w:rFonts w:hint="eastAsia" w:ascii="仿宋" w:hAnsi="仿宋" w:eastAsia="仿宋" w:cs="仿宋"/>
              <w:sz w:val="32"/>
              <w:szCs w:val="32"/>
            </w:rPr>
            <w:t>36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9"/>
            <w:tabs>
              <w:tab w:val="right" w:leader="dot" w:pos="830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_Toc3197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第三部分 附则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_Toc3197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spacing w:line="560" w:lineRule="exact"/>
          </w:pPr>
          <w:r>
            <w:rPr>
              <w:rFonts w:hint="eastAsia" w:ascii="仿宋" w:hAnsi="仿宋" w:eastAsia="仿宋" w:cs="仿宋"/>
              <w:sz w:val="32"/>
              <w:szCs w:val="32"/>
            </w:rPr>
            <w:fldChar w:fldCharType="end"/>
          </w:r>
        </w:p>
      </w:sdtContent>
    </w:sdt>
    <w:p>
      <w:pPr>
        <w:rPr>
          <w:rFonts w:hint="eastAsia" w:ascii="黑体" w:hAnsi="黑体" w:eastAsia="黑体" w:cs="仿宋"/>
          <w:b w:val="0"/>
          <w:bCs w:val="0"/>
          <w:color w:val="auto"/>
          <w:sz w:val="32"/>
          <w:szCs w:val="32"/>
          <w:lang w:val="en-US"/>
        </w:rPr>
      </w:pPr>
      <w:bookmarkStart w:id="0" w:name="_Toc203479447"/>
      <w:bookmarkStart w:id="1" w:name="_Toc31737"/>
      <w:r>
        <w:rPr>
          <w:rFonts w:hint="eastAsia" w:ascii="黑体" w:hAnsi="黑体" w:eastAsia="黑体" w:cs="仿宋"/>
          <w:b w:val="0"/>
          <w:bCs w:val="0"/>
          <w:color w:val="auto"/>
          <w:sz w:val="32"/>
          <w:szCs w:val="32"/>
          <w:lang w:val="en-US"/>
        </w:rPr>
        <w:br w:type="page"/>
      </w:r>
    </w:p>
    <w:p>
      <w:pPr>
        <w:pStyle w:val="4"/>
        <w:suppressAutoHyphens/>
        <w:adjustRightInd w:val="0"/>
        <w:snapToGrid w:val="0"/>
        <w:spacing w:before="0" w:beforeLines="0" w:after="0" w:afterLines="0" w:line="560" w:lineRule="exact"/>
        <w:jc w:val="center"/>
        <w:rPr>
          <w:rFonts w:hint="eastAsia" w:ascii="黑体" w:hAnsi="黑体" w:eastAsia="黑体" w:cs="仿宋"/>
          <w:b w:val="0"/>
          <w:bCs w:val="0"/>
          <w:color w:val="auto"/>
          <w:sz w:val="32"/>
          <w:szCs w:val="32"/>
          <w:lang w:val="en-US"/>
        </w:rPr>
      </w:pPr>
      <w:bookmarkStart w:id="2" w:name="_Toc4332"/>
      <w:bookmarkStart w:id="3" w:name="_Toc3309"/>
      <w:r>
        <w:rPr>
          <w:rFonts w:hint="eastAsia" w:ascii="黑体" w:hAnsi="黑体" w:eastAsia="黑体" w:cs="仿宋"/>
          <w:b w:val="0"/>
          <w:bCs w:val="0"/>
          <w:color w:val="auto"/>
          <w:sz w:val="32"/>
          <w:szCs w:val="32"/>
          <w:lang w:val="en-US"/>
        </w:rPr>
        <w:t>第一部分 总则</w:t>
      </w:r>
      <w:bookmarkEnd w:id="0"/>
      <w:bookmarkEnd w:id="1"/>
      <w:bookmarkEnd w:id="2"/>
      <w:bookmarkEnd w:id="3"/>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1.1为了规范</w:t>
      </w:r>
      <w:r>
        <w:rPr>
          <w:rFonts w:hint="eastAsia" w:ascii="仿宋" w:hAnsi="仿宋" w:eastAsia="仿宋" w:cs="仿宋"/>
          <w:sz w:val="32"/>
          <w:szCs w:val="32"/>
          <w:lang w:eastAsia="zh-CN"/>
        </w:rPr>
        <w:t>深圳</w:t>
      </w:r>
      <w:r>
        <w:rPr>
          <w:rFonts w:ascii="仿宋" w:hAnsi="仿宋" w:eastAsia="仿宋" w:cs="仿宋"/>
          <w:sz w:val="32"/>
          <w:szCs w:val="32"/>
        </w:rPr>
        <w:t>证券交易所（以下简称本所）公开募集不动产投资信托基金（以下简称不动产基金）招募说明书的编制和信息披露业务，保护投资者合法权益，根据《中华人民共和国证券法》《中华人民共和国证券投资基金法》（以下简称《基金法》）、《公开募集证券投资基金信息披露管理办法》</w:t>
      </w:r>
      <w:r>
        <w:rPr>
          <w:rFonts w:ascii="仿宋" w:hAnsi="仿宋" w:eastAsia="仿宋" w:cs="仿宋"/>
          <w:bCs/>
          <w:sz w:val="32"/>
          <w:szCs w:val="32"/>
        </w:rPr>
        <w:t>《公开募集基础设施证券投资基金指引（试行）》</w:t>
      </w:r>
      <w:bookmarkStart w:id="4" w:name="_Hlk207641356"/>
      <w:r>
        <w:rPr>
          <w:rFonts w:ascii="仿宋" w:hAnsi="仿宋" w:eastAsia="仿宋" w:cs="仿宋"/>
          <w:bCs/>
          <w:sz w:val="32"/>
          <w:szCs w:val="32"/>
        </w:rPr>
        <w:t>《中国证监会关于推出商业不动产投资信托基金试点的公告》</w:t>
      </w:r>
      <w:bookmarkEnd w:id="4"/>
      <w:r>
        <w:rPr>
          <w:rFonts w:ascii="仿宋" w:hAnsi="仿宋" w:eastAsia="仿宋" w:cs="仿宋"/>
          <w:bCs/>
          <w:sz w:val="32"/>
          <w:szCs w:val="32"/>
        </w:rPr>
        <w:t>《证券投资基金信息披露内容与格式准则第5号</w:t>
      </w:r>
      <w:r>
        <w:rPr>
          <w:rFonts w:hint="eastAsia" w:ascii="仿宋" w:hAnsi="仿宋" w:eastAsia="仿宋" w:cs="仿宋"/>
          <w:bCs/>
          <w:sz w:val="32"/>
          <w:szCs w:val="32"/>
        </w:rPr>
        <w:t>〈</w:t>
      </w:r>
      <w:r>
        <w:rPr>
          <w:rFonts w:ascii="仿宋" w:hAnsi="仿宋" w:eastAsia="仿宋" w:cs="仿宋"/>
          <w:bCs/>
          <w:sz w:val="32"/>
          <w:szCs w:val="32"/>
        </w:rPr>
        <w:t>招募说明书的内容与格式</w:t>
      </w:r>
      <w:r>
        <w:rPr>
          <w:rFonts w:hint="eastAsia" w:ascii="仿宋" w:hAnsi="仿宋" w:eastAsia="仿宋" w:cs="仿宋"/>
          <w:bCs/>
          <w:sz w:val="32"/>
          <w:szCs w:val="32"/>
        </w:rPr>
        <w:t>〉</w:t>
      </w:r>
      <w:r>
        <w:rPr>
          <w:rFonts w:ascii="仿宋" w:hAnsi="仿宋" w:eastAsia="仿宋" w:cs="仿宋"/>
          <w:bCs/>
          <w:sz w:val="32"/>
          <w:szCs w:val="32"/>
        </w:rPr>
        <w:t>》（以下简称《5号指引》）、《</w:t>
      </w:r>
      <w:r>
        <w:rPr>
          <w:rFonts w:hint="eastAsia" w:ascii="仿宋" w:hAnsi="仿宋" w:eastAsia="仿宋" w:cs="仿宋"/>
          <w:bCs/>
          <w:sz w:val="32"/>
          <w:szCs w:val="32"/>
          <w:lang w:eastAsia="zh-CN"/>
        </w:rPr>
        <w:t>深圳</w:t>
      </w:r>
      <w:r>
        <w:rPr>
          <w:rFonts w:ascii="仿宋" w:hAnsi="仿宋" w:eastAsia="仿宋" w:cs="仿宋"/>
          <w:bCs/>
          <w:sz w:val="32"/>
          <w:szCs w:val="32"/>
        </w:rPr>
        <w:t>证券交易所公开募集不动产投资信托基金业务办法</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试行</w:t>
      </w:r>
      <w:r>
        <w:rPr>
          <w:rFonts w:hint="eastAsia" w:ascii="仿宋" w:hAnsi="仿宋" w:eastAsia="仿宋" w:cs="仿宋"/>
          <w:bCs/>
          <w:sz w:val="32"/>
          <w:szCs w:val="32"/>
          <w:lang w:eastAsia="zh-CN"/>
        </w:rPr>
        <w:t>）</w:t>
      </w:r>
      <w:r>
        <w:rPr>
          <w:rFonts w:ascii="仿宋" w:hAnsi="仿宋" w:eastAsia="仿宋" w:cs="仿宋"/>
          <w:bCs/>
          <w:sz w:val="32"/>
          <w:szCs w:val="32"/>
        </w:rPr>
        <w:t>》</w:t>
      </w:r>
      <w:r>
        <w:rPr>
          <w:rFonts w:ascii="仿宋" w:hAnsi="仿宋" w:eastAsia="仿宋" w:cs="仿宋"/>
          <w:sz w:val="32"/>
          <w:szCs w:val="32"/>
        </w:rPr>
        <w:t>等规定，制定本指南。本指南未尽事宜，按</w:t>
      </w:r>
      <w:r>
        <w:rPr>
          <w:rFonts w:hint="eastAsia" w:ascii="仿宋" w:hAnsi="仿宋" w:eastAsia="仿宋" w:cs="仿宋"/>
          <w:sz w:val="32"/>
          <w:szCs w:val="32"/>
        </w:rPr>
        <w:t>照</w:t>
      </w:r>
      <w:r>
        <w:rPr>
          <w:rFonts w:ascii="仿宋" w:hAnsi="仿宋" w:eastAsia="仿宋" w:cs="仿宋"/>
          <w:sz w:val="32"/>
          <w:szCs w:val="32"/>
        </w:rPr>
        <w:t>中国证券监督管理委员会（以下简称中国证监会）有关规定和本所</w:t>
      </w:r>
      <w:r>
        <w:rPr>
          <w:rFonts w:hint="eastAsia" w:ascii="仿宋" w:hAnsi="仿宋" w:eastAsia="仿宋" w:cs="仿宋"/>
          <w:sz w:val="32"/>
          <w:szCs w:val="32"/>
        </w:rPr>
        <w:t>有关</w:t>
      </w:r>
      <w:r>
        <w:rPr>
          <w:rFonts w:ascii="仿宋" w:hAnsi="仿宋" w:eastAsia="仿宋" w:cs="仿宋"/>
          <w:sz w:val="32"/>
          <w:szCs w:val="32"/>
        </w:rPr>
        <w:t>要求执行。</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1.2本指南的规定是对招募说明书信息披露的最低要求。不论本指南是否有明确规定，凡对投资者作出价值判断和投资决策所必需的信息，均</w:t>
      </w:r>
      <w:r>
        <w:rPr>
          <w:rFonts w:hint="eastAsia" w:ascii="仿宋" w:hAnsi="仿宋" w:eastAsia="仿宋" w:cs="仿宋"/>
          <w:sz w:val="32"/>
          <w:szCs w:val="32"/>
        </w:rPr>
        <w:t>应当</w:t>
      </w:r>
      <w:r>
        <w:rPr>
          <w:rFonts w:ascii="仿宋" w:hAnsi="仿宋" w:eastAsia="仿宋" w:cs="仿宋"/>
          <w:sz w:val="32"/>
          <w:szCs w:val="32"/>
        </w:rPr>
        <w:t>披露。</w:t>
      </w:r>
      <w:r>
        <w:rPr>
          <w:rFonts w:ascii="仿宋" w:hAnsi="仿宋" w:eastAsia="仿宋" w:cs="仿宋"/>
          <w:bCs/>
          <w:sz w:val="32"/>
          <w:szCs w:val="32"/>
        </w:rPr>
        <w:t>本指南</w:t>
      </w:r>
      <w:r>
        <w:rPr>
          <w:rFonts w:hint="eastAsia" w:ascii="仿宋" w:hAnsi="仿宋" w:eastAsia="仿宋" w:cs="仿宋"/>
          <w:bCs/>
          <w:sz w:val="32"/>
          <w:szCs w:val="32"/>
          <w:lang w:eastAsia="zh-CN"/>
        </w:rPr>
        <w:t>相关</w:t>
      </w:r>
      <w:r>
        <w:rPr>
          <w:rFonts w:ascii="仿宋" w:hAnsi="仿宋" w:eastAsia="仿宋" w:cs="仿宋"/>
          <w:bCs/>
          <w:sz w:val="32"/>
          <w:szCs w:val="32"/>
        </w:rPr>
        <w:t>具体要求不适用的，管理人</w:t>
      </w:r>
      <w:r>
        <w:rPr>
          <w:rFonts w:hint="eastAsia" w:ascii="仿宋" w:hAnsi="仿宋" w:eastAsia="仿宋" w:cs="仿宋"/>
          <w:bCs/>
          <w:sz w:val="32"/>
          <w:szCs w:val="32"/>
        </w:rPr>
        <w:t>可以</w:t>
      </w:r>
      <w:r>
        <w:rPr>
          <w:rFonts w:ascii="仿宋" w:hAnsi="仿宋" w:eastAsia="仿宋" w:cs="仿宋"/>
          <w:bCs/>
          <w:sz w:val="32"/>
          <w:szCs w:val="32"/>
        </w:rPr>
        <w:t>根据实际情况，在不影响相关内容完整性前提下作适当调整，并作出说明。</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1.3基金管理人</w:t>
      </w:r>
      <w:r>
        <w:rPr>
          <w:rFonts w:hint="eastAsia" w:ascii="仿宋" w:hAnsi="仿宋" w:eastAsia="仿宋" w:cs="仿宋"/>
          <w:sz w:val="32"/>
          <w:szCs w:val="32"/>
        </w:rPr>
        <w:t>应当</w:t>
      </w:r>
      <w:r>
        <w:rPr>
          <w:rFonts w:ascii="仿宋" w:hAnsi="仿宋" w:eastAsia="仿宋" w:cs="仿宋"/>
          <w:sz w:val="32"/>
          <w:szCs w:val="32"/>
        </w:rPr>
        <w:t>以投资者需求为导向，按照本指南的要求编制招募说明书，为投资者作出价值判断和投资决策提供充分且必要的信息，保证招募说明书的内容真实、准确、完整。管理人</w:t>
      </w:r>
      <w:r>
        <w:rPr>
          <w:rFonts w:hint="eastAsia" w:ascii="仿宋" w:hAnsi="仿宋" w:eastAsia="仿宋" w:cs="仿宋"/>
          <w:sz w:val="32"/>
          <w:szCs w:val="32"/>
        </w:rPr>
        <w:t>应当</w:t>
      </w:r>
      <w:r>
        <w:rPr>
          <w:rFonts w:ascii="仿宋" w:hAnsi="仿宋" w:eastAsia="仿宋" w:cs="仿宋"/>
          <w:sz w:val="32"/>
          <w:szCs w:val="32"/>
        </w:rPr>
        <w:t>根据不动产项目的具体情况，明确界定业态</w:t>
      </w:r>
      <w:r>
        <w:rPr>
          <w:rFonts w:hint="eastAsia" w:ascii="仿宋" w:hAnsi="仿宋" w:eastAsia="仿宋" w:cs="仿宋"/>
          <w:sz w:val="32"/>
          <w:szCs w:val="32"/>
        </w:rPr>
        <w:t>或者</w:t>
      </w:r>
      <w:r>
        <w:rPr>
          <w:rFonts w:ascii="仿宋" w:hAnsi="仿宋" w:eastAsia="仿宋" w:cs="仿宋"/>
          <w:sz w:val="32"/>
          <w:szCs w:val="32"/>
        </w:rPr>
        <w:t>行业，进行针对性信息披露。</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1.4招募说明书的编制</w:t>
      </w:r>
      <w:r>
        <w:rPr>
          <w:rFonts w:hint="eastAsia" w:ascii="仿宋" w:hAnsi="仿宋" w:eastAsia="仿宋" w:cs="仿宋"/>
          <w:sz w:val="32"/>
          <w:szCs w:val="32"/>
        </w:rPr>
        <w:t>应当</w:t>
      </w:r>
      <w:r>
        <w:rPr>
          <w:rFonts w:ascii="仿宋" w:hAnsi="仿宋" w:eastAsia="仿宋" w:cs="仿宋"/>
          <w:sz w:val="32"/>
          <w:szCs w:val="32"/>
        </w:rPr>
        <w:t>遵循</w:t>
      </w:r>
      <w:r>
        <w:rPr>
          <w:rFonts w:hint="eastAsia" w:ascii="仿宋" w:hAnsi="仿宋" w:eastAsia="仿宋" w:cs="仿宋"/>
          <w:sz w:val="32"/>
          <w:szCs w:val="32"/>
        </w:rPr>
        <w:t>下列</w:t>
      </w:r>
      <w:r>
        <w:rPr>
          <w:rFonts w:ascii="仿宋" w:hAnsi="仿宋" w:eastAsia="仿宋" w:cs="仿宋"/>
          <w:sz w:val="32"/>
          <w:szCs w:val="32"/>
        </w:rPr>
        <w:t>要求：</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（一）使用通俗易懂的事实性描述语言，不得有祝贺性、广告性、恭维性</w:t>
      </w:r>
      <w:r>
        <w:rPr>
          <w:rFonts w:hint="eastAsia" w:ascii="仿宋" w:hAnsi="仿宋" w:eastAsia="仿宋" w:cs="仿宋"/>
          <w:sz w:val="32"/>
          <w:szCs w:val="32"/>
        </w:rPr>
        <w:t>或者</w:t>
      </w:r>
      <w:r>
        <w:rPr>
          <w:rFonts w:ascii="仿宋" w:hAnsi="仿宋" w:eastAsia="仿宋" w:cs="仿宋"/>
          <w:sz w:val="32"/>
          <w:szCs w:val="32"/>
        </w:rPr>
        <w:t>诋毁性的词句，并尽量采用图表</w:t>
      </w:r>
      <w:r>
        <w:rPr>
          <w:rFonts w:hint="eastAsia" w:ascii="仿宋" w:hAnsi="仿宋" w:eastAsia="仿宋" w:cs="仿宋"/>
          <w:sz w:val="32"/>
          <w:szCs w:val="32"/>
        </w:rPr>
        <w:t>或者</w:t>
      </w:r>
      <w:r>
        <w:rPr>
          <w:rFonts w:ascii="仿宋" w:hAnsi="仿宋" w:eastAsia="仿宋" w:cs="仿宋"/>
          <w:sz w:val="32"/>
          <w:szCs w:val="32"/>
        </w:rPr>
        <w:t>其他较为直观的方式准确披露不动产基金情况；</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（二）引用的信息</w:t>
      </w:r>
      <w:r>
        <w:rPr>
          <w:rFonts w:hint="eastAsia" w:ascii="仿宋" w:hAnsi="仿宋" w:eastAsia="仿宋" w:cs="仿宋"/>
          <w:sz w:val="32"/>
          <w:szCs w:val="32"/>
        </w:rPr>
        <w:t>应当</w:t>
      </w:r>
      <w:r>
        <w:rPr>
          <w:rFonts w:ascii="仿宋" w:hAnsi="仿宋" w:eastAsia="仿宋" w:cs="仿宋"/>
          <w:sz w:val="32"/>
          <w:szCs w:val="32"/>
        </w:rPr>
        <w:t>有明确的时间范围和资料来源，</w:t>
      </w:r>
      <w:r>
        <w:rPr>
          <w:rFonts w:hint="eastAsia" w:ascii="仿宋" w:hAnsi="仿宋" w:eastAsia="仿宋" w:cs="仿宋"/>
          <w:sz w:val="32"/>
          <w:szCs w:val="32"/>
        </w:rPr>
        <w:t>应当</w:t>
      </w:r>
      <w:r>
        <w:rPr>
          <w:rFonts w:ascii="仿宋" w:hAnsi="仿宋" w:eastAsia="仿宋" w:cs="仿宋"/>
          <w:sz w:val="32"/>
          <w:szCs w:val="32"/>
        </w:rPr>
        <w:t>有充分、客观、公正的依据；</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（三）引用的数字</w:t>
      </w:r>
      <w:r>
        <w:rPr>
          <w:rFonts w:hint="eastAsia" w:ascii="仿宋" w:hAnsi="仿宋" w:eastAsia="仿宋" w:cs="仿宋"/>
          <w:sz w:val="32"/>
          <w:szCs w:val="32"/>
        </w:rPr>
        <w:t>应当</w:t>
      </w:r>
      <w:r>
        <w:rPr>
          <w:rFonts w:ascii="仿宋" w:hAnsi="仿宋" w:eastAsia="仿宋" w:cs="仿宋"/>
          <w:sz w:val="32"/>
          <w:szCs w:val="32"/>
        </w:rPr>
        <w:t>采用阿拉伯数字，货币金额除特别说明外，</w:t>
      </w:r>
      <w:r>
        <w:rPr>
          <w:rFonts w:hint="eastAsia" w:ascii="仿宋" w:hAnsi="仿宋" w:eastAsia="仿宋" w:cs="仿宋"/>
          <w:sz w:val="32"/>
          <w:szCs w:val="32"/>
        </w:rPr>
        <w:t>应当</w:t>
      </w:r>
      <w:r>
        <w:rPr>
          <w:rFonts w:ascii="仿宋" w:hAnsi="仿宋" w:eastAsia="仿宋" w:cs="仿宋"/>
          <w:sz w:val="32"/>
          <w:szCs w:val="32"/>
        </w:rPr>
        <w:t>指人民币金额，并注明金额单位。</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1.5在不影响信息披露的完整性并保证阅读方便的前提下，基金管理人</w:t>
      </w:r>
      <w:r>
        <w:rPr>
          <w:rFonts w:hint="eastAsia" w:ascii="仿宋" w:hAnsi="仿宋" w:eastAsia="仿宋" w:cs="仿宋"/>
          <w:sz w:val="32"/>
          <w:szCs w:val="32"/>
        </w:rPr>
        <w:t>可以</w:t>
      </w:r>
      <w:r>
        <w:rPr>
          <w:rFonts w:ascii="仿宋" w:hAnsi="仿宋" w:eastAsia="仿宋" w:cs="仿宋"/>
          <w:sz w:val="32"/>
          <w:szCs w:val="32"/>
        </w:rPr>
        <w:t>采用相互引</w:t>
      </w:r>
      <w:r>
        <w:rPr>
          <w:rFonts w:hint="eastAsia" w:ascii="仿宋" w:hAnsi="仿宋" w:eastAsia="仿宋" w:cs="仿宋"/>
          <w:sz w:val="32"/>
          <w:szCs w:val="32"/>
        </w:rPr>
        <w:t>证</w:t>
      </w:r>
      <w:r>
        <w:rPr>
          <w:rFonts w:ascii="仿宋" w:hAnsi="仿宋" w:eastAsia="仿宋" w:cs="仿宋"/>
          <w:sz w:val="32"/>
          <w:szCs w:val="32"/>
        </w:rPr>
        <w:t>的方法，对招募说明书前后文进行适当的简化处理。</w:t>
      </w:r>
    </w:p>
    <w:p>
      <w:pPr>
        <w:pStyle w:val="2"/>
      </w:pPr>
    </w:p>
    <w:p>
      <w:pPr>
        <w:adjustRightInd w:val="0"/>
        <w:snapToGrid w:val="0"/>
        <w:spacing w:beforeLines="0" w:afterLines="0" w:line="560" w:lineRule="exact"/>
        <w:ind w:left="0"/>
        <w:jc w:val="center"/>
        <w:outlineLvl w:val="0"/>
        <w:rPr>
          <w:rFonts w:hint="eastAsia" w:ascii="黑体" w:hAnsi="黑体" w:eastAsia="黑体" w:cs="仿宋"/>
          <w:b w:val="0"/>
          <w:bCs w:val="0"/>
          <w:sz w:val="32"/>
          <w:szCs w:val="32"/>
        </w:rPr>
      </w:pPr>
      <w:bookmarkStart w:id="5" w:name="_Toc1617"/>
      <w:bookmarkStart w:id="6" w:name="_Toc203479448"/>
      <w:bookmarkStart w:id="7" w:name="_Toc4816"/>
      <w:bookmarkStart w:id="8" w:name="_Toc15507"/>
      <w:r>
        <w:rPr>
          <w:rFonts w:hint="eastAsia" w:ascii="黑体" w:hAnsi="黑体" w:eastAsia="黑体" w:cs="仿宋"/>
          <w:b w:val="0"/>
          <w:bCs w:val="0"/>
          <w:sz w:val="32"/>
          <w:szCs w:val="32"/>
        </w:rPr>
        <w:t>第二部分 招募说明书编制要求</w:t>
      </w:r>
      <w:bookmarkEnd w:id="5"/>
      <w:bookmarkEnd w:id="6"/>
      <w:bookmarkEnd w:id="7"/>
      <w:bookmarkEnd w:id="8"/>
    </w:p>
    <w:p>
      <w:pPr>
        <w:adjustRightInd w:val="0"/>
        <w:snapToGrid w:val="0"/>
        <w:spacing w:beforeLines="0" w:afterLines="0" w:line="560" w:lineRule="exact"/>
        <w:ind w:left="0"/>
        <w:jc w:val="center"/>
        <w:outlineLvl w:val="1"/>
        <w:rPr>
          <w:rFonts w:hint="eastAsia" w:ascii="楷体" w:hAnsi="楷体" w:eastAsia="楷体" w:cs="仿宋"/>
          <w:b w:val="0"/>
          <w:bCs w:val="0"/>
          <w:sz w:val="32"/>
          <w:szCs w:val="32"/>
        </w:rPr>
      </w:pPr>
      <w:bookmarkStart w:id="9" w:name="_Toc29358"/>
      <w:bookmarkStart w:id="10" w:name="_Toc5485"/>
      <w:bookmarkStart w:id="11" w:name="_Toc23783"/>
      <w:bookmarkStart w:id="12" w:name="_Toc203479449"/>
      <w:bookmarkStart w:id="13" w:name="_Toc26892"/>
      <w:bookmarkStart w:id="14" w:name="_Toc20250"/>
      <w:bookmarkStart w:id="15" w:name="_Toc15018"/>
      <w:r>
        <w:rPr>
          <w:rFonts w:hint="eastAsia" w:ascii="楷体" w:hAnsi="楷体" w:eastAsia="楷体" w:cs="仿宋"/>
          <w:b w:val="0"/>
          <w:bCs w:val="0"/>
          <w:sz w:val="32"/>
          <w:szCs w:val="32"/>
        </w:rPr>
        <w:t>第一章 一般规定</w:t>
      </w:r>
      <w:bookmarkEnd w:id="9"/>
      <w:bookmarkEnd w:id="10"/>
      <w:bookmarkEnd w:id="11"/>
      <w:bookmarkEnd w:id="12"/>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16" w:name="_Toc28355"/>
      <w:bookmarkStart w:id="17" w:name="_Toc23976"/>
      <w:bookmarkStart w:id="18" w:name="_Toc5728"/>
      <w:bookmarkStart w:id="19" w:name="_Toc203479450"/>
      <w:r>
        <w:rPr>
          <w:rFonts w:ascii="仿宋" w:hAnsi="仿宋" w:eastAsia="仿宋" w:cs="仿宋"/>
          <w:b/>
          <w:bCs/>
          <w:sz w:val="32"/>
          <w:szCs w:val="32"/>
        </w:rPr>
        <w:t>第一节 封面、扉页、目录、绪言、释义</w:t>
      </w:r>
      <w:bookmarkEnd w:id="16"/>
      <w:bookmarkEnd w:id="17"/>
      <w:bookmarkEnd w:id="18"/>
      <w:bookmarkEnd w:id="19"/>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2.1.1.1招募说明书封面</w:t>
      </w:r>
      <w:r>
        <w:rPr>
          <w:rFonts w:hint="eastAsia" w:ascii="仿宋" w:hAnsi="仿宋" w:eastAsia="仿宋" w:cs="仿宋"/>
          <w:sz w:val="32"/>
          <w:szCs w:val="32"/>
        </w:rPr>
        <w:t>应当</w:t>
      </w:r>
      <w:r>
        <w:rPr>
          <w:rFonts w:ascii="仿宋" w:hAnsi="仿宋" w:eastAsia="仿宋" w:cs="仿宋"/>
          <w:sz w:val="32"/>
          <w:szCs w:val="32"/>
        </w:rPr>
        <w:t>标有“XXX封闭式不动产</w:t>
      </w:r>
      <w:r>
        <w:rPr>
          <w:rFonts w:hint="eastAsia" w:ascii="仿宋" w:hAnsi="仿宋" w:eastAsia="仿宋" w:cs="仿宋"/>
          <w:sz w:val="32"/>
          <w:szCs w:val="32"/>
        </w:rPr>
        <w:t>投资信托</w:t>
      </w:r>
      <w:r>
        <w:rPr>
          <w:rFonts w:ascii="仿宋" w:hAnsi="仿宋" w:eastAsia="仿宋" w:cs="仿宋"/>
          <w:sz w:val="32"/>
          <w:szCs w:val="32"/>
        </w:rPr>
        <w:t>基金招募说明书”字样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基金管理人名称、托管人名称</w:t>
      </w:r>
      <w:r>
        <w:rPr>
          <w:rFonts w:ascii="仿宋" w:hAnsi="仿宋" w:eastAsia="仿宋" w:cs="仿宋"/>
          <w:sz w:val="32"/>
          <w:szCs w:val="32"/>
        </w:rPr>
        <w:t>和签署日期。</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2.1.1.2基金管理人</w:t>
      </w:r>
      <w:r>
        <w:rPr>
          <w:rFonts w:hint="eastAsia" w:ascii="仿宋" w:hAnsi="仿宋" w:eastAsia="仿宋" w:cs="仿宋"/>
          <w:sz w:val="32"/>
          <w:szCs w:val="32"/>
        </w:rPr>
        <w:t>应当</w:t>
      </w:r>
      <w:r>
        <w:rPr>
          <w:rFonts w:ascii="仿宋" w:hAnsi="仿宋" w:eastAsia="仿宋" w:cs="仿宋"/>
          <w:sz w:val="32"/>
          <w:szCs w:val="32"/>
        </w:rPr>
        <w:t>在招募说明书扉页显要位置载明下列文字作为重要提示：</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“基金管理人保证招募说明书的内容真实、准确、完整。中国证监会对本基金募集的注册</w:t>
      </w:r>
      <w:r>
        <w:rPr>
          <w:rFonts w:hint="eastAsia" w:ascii="仿宋" w:hAnsi="仿宋" w:eastAsia="仿宋" w:cs="仿宋"/>
          <w:sz w:val="32"/>
          <w:szCs w:val="32"/>
        </w:rPr>
        <w:t>以及</w:t>
      </w:r>
      <w:r>
        <w:rPr>
          <w:rFonts w:hint="eastAsia" w:ascii="仿宋" w:hAnsi="仿宋" w:eastAsia="仿宋" w:cs="仿宋"/>
          <w:sz w:val="32"/>
          <w:szCs w:val="32"/>
          <w:lang w:eastAsia="zh-CN"/>
        </w:rPr>
        <w:t>深圳</w:t>
      </w:r>
      <w:r>
        <w:rPr>
          <w:rFonts w:ascii="仿宋" w:hAnsi="仿宋" w:eastAsia="仿宋" w:cs="仿宋"/>
          <w:sz w:val="32"/>
          <w:szCs w:val="32"/>
        </w:rPr>
        <w:t>证券交易所同意基金份额上市，并不表明其对本基金的价值和收益作出实质性判断</w:t>
      </w:r>
      <w:r>
        <w:rPr>
          <w:rFonts w:hint="eastAsia" w:ascii="仿宋" w:hAnsi="仿宋" w:eastAsia="仿宋" w:cs="仿宋"/>
          <w:sz w:val="32"/>
          <w:szCs w:val="32"/>
        </w:rPr>
        <w:t>或者</w:t>
      </w:r>
      <w:r>
        <w:rPr>
          <w:rFonts w:ascii="仿宋" w:hAnsi="仿宋" w:eastAsia="仿宋" w:cs="仿宋"/>
          <w:sz w:val="32"/>
          <w:szCs w:val="32"/>
        </w:rPr>
        <w:t>保证，也不表明投资于本基金没有风险。”</w:t>
      </w:r>
    </w:p>
    <w:p>
      <w:p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本基金为不动产基金。不动产基金与投资股票</w:t>
      </w:r>
      <w:r>
        <w:rPr>
          <w:rFonts w:hint="eastAsia" w:ascii="仿宋" w:hAnsi="仿宋" w:eastAsia="仿宋" w:cs="仿宋"/>
          <w:sz w:val="32"/>
          <w:szCs w:val="32"/>
        </w:rPr>
        <w:t>或者</w:t>
      </w:r>
      <w:r>
        <w:rPr>
          <w:rFonts w:ascii="仿宋" w:hAnsi="仿宋" w:eastAsia="仿宋" w:cs="仿宋"/>
          <w:sz w:val="32"/>
          <w:szCs w:val="32"/>
        </w:rPr>
        <w:t>债券</w:t>
      </w:r>
      <w:r>
        <w:rPr>
          <w:rFonts w:hint="eastAsia" w:ascii="仿宋" w:hAnsi="仿宋" w:eastAsia="仿宋" w:cs="仿宋"/>
          <w:sz w:val="32"/>
          <w:szCs w:val="32"/>
        </w:rPr>
        <w:t>等</w:t>
      </w:r>
      <w:r>
        <w:rPr>
          <w:rFonts w:ascii="仿宋" w:hAnsi="仿宋" w:eastAsia="仿宋" w:cs="仿宋"/>
          <w:sz w:val="32"/>
          <w:szCs w:val="32"/>
        </w:rPr>
        <w:t>的公开募集证券投资基金具有不同的风险收益特征。不动产基金80%以上的基金资产投资于不动产资产支持证券，通过持有其全部份额取得不动产项目公司全部股权、不动产项目完全所有权</w:t>
      </w:r>
      <w:r>
        <w:rPr>
          <w:rFonts w:hint="eastAsia" w:ascii="仿宋" w:hAnsi="仿宋" w:eastAsia="仿宋" w:cs="仿宋"/>
          <w:sz w:val="32"/>
          <w:szCs w:val="32"/>
        </w:rPr>
        <w:t>或者</w:t>
      </w:r>
      <w:r>
        <w:rPr>
          <w:rFonts w:ascii="仿宋" w:hAnsi="仿宋" w:eastAsia="仿宋" w:cs="仿宋"/>
          <w:sz w:val="32"/>
          <w:szCs w:val="32"/>
        </w:rPr>
        <w:t>经营权利，以获取不动产项目租金、收费等稳定现金流为主要目的，收益分配比例不低于合并后基金年度可供分配金额的90%。</w:t>
      </w:r>
      <w:r>
        <w:rPr>
          <w:rFonts w:hint="eastAsia" w:ascii="仿宋" w:hAnsi="仿宋" w:eastAsia="仿宋" w:cs="仿宋"/>
          <w:sz w:val="32"/>
          <w:szCs w:val="32"/>
        </w:rPr>
        <w:t>”</w:t>
      </w:r>
    </w:p>
    <w:p>
      <w:p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基金管理人管理的其他基金的过往业绩并不预示本基金未来表现。本基金的可供分配金额测算</w:t>
      </w:r>
      <w:r>
        <w:rPr>
          <w:rFonts w:hint="eastAsia" w:ascii="仿宋" w:hAnsi="仿宋" w:eastAsia="仿宋" w:cs="仿宋"/>
          <w:sz w:val="32"/>
          <w:szCs w:val="32"/>
        </w:rPr>
        <w:t>以及</w:t>
      </w:r>
      <w:r>
        <w:rPr>
          <w:rFonts w:ascii="仿宋" w:hAnsi="仿宋" w:eastAsia="仿宋" w:cs="仿宋"/>
          <w:sz w:val="32"/>
          <w:szCs w:val="32"/>
        </w:rPr>
        <w:t>不动产资产评估结果不代表实际现金流分配</w:t>
      </w:r>
      <w:r>
        <w:rPr>
          <w:rFonts w:hint="eastAsia" w:ascii="仿宋" w:hAnsi="仿宋" w:eastAsia="仿宋" w:cs="仿宋"/>
          <w:sz w:val="32"/>
          <w:szCs w:val="32"/>
        </w:rPr>
        <w:t>或者</w:t>
      </w:r>
      <w:r>
        <w:rPr>
          <w:rFonts w:ascii="仿宋" w:hAnsi="仿宋" w:eastAsia="仿宋" w:cs="仿宋"/>
          <w:sz w:val="32"/>
          <w:szCs w:val="32"/>
        </w:rPr>
        <w:t>资产实际可交易价格。投资有风险，投资者</w:t>
      </w:r>
      <w:r>
        <w:rPr>
          <w:rFonts w:hint="eastAsia" w:ascii="仿宋" w:hAnsi="仿宋" w:eastAsia="仿宋" w:cs="仿宋"/>
          <w:sz w:val="32"/>
          <w:szCs w:val="32"/>
        </w:rPr>
        <w:t>应当</w:t>
      </w:r>
      <w:r>
        <w:rPr>
          <w:rFonts w:ascii="仿宋" w:hAnsi="仿宋" w:eastAsia="仿宋" w:cs="仿宋"/>
          <w:sz w:val="32"/>
          <w:szCs w:val="32"/>
        </w:rPr>
        <w:t>认真阅读招募说明书</w:t>
      </w:r>
      <w:r>
        <w:rPr>
          <w:rFonts w:hint="eastAsia" w:ascii="仿宋" w:hAnsi="仿宋" w:eastAsia="仿宋" w:cs="仿宋"/>
          <w:sz w:val="32"/>
          <w:szCs w:val="32"/>
        </w:rPr>
        <w:t>以及</w:t>
      </w:r>
      <w:r>
        <w:rPr>
          <w:rFonts w:ascii="仿宋" w:hAnsi="仿宋" w:eastAsia="仿宋" w:cs="仿宋"/>
          <w:sz w:val="32"/>
          <w:szCs w:val="32"/>
        </w:rPr>
        <w:t>有关的信息披露文件，审慎判断相关风险，自主作出投资决策。</w:t>
      </w:r>
      <w:r>
        <w:rPr>
          <w:rFonts w:hint="eastAsia" w:ascii="仿宋" w:hAnsi="仿宋" w:eastAsia="仿宋" w:cs="仿宋"/>
          <w:sz w:val="32"/>
          <w:szCs w:val="32"/>
        </w:rPr>
        <w:t>”</w:t>
      </w:r>
    </w:p>
    <w:p>
      <w:p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基金管理人依照恪尽职守、诚实信用、谨慎勤勉的原则管理和运用基金财产，但不保证基金一定盈利，也不保证最低收益。</w:t>
      </w:r>
      <w:r>
        <w:rPr>
          <w:rFonts w:hint="eastAsia" w:ascii="仿宋" w:hAnsi="仿宋" w:eastAsia="仿宋" w:cs="仿宋"/>
          <w:sz w:val="32"/>
          <w:szCs w:val="32"/>
        </w:rPr>
        <w:t>”</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遵循重要性和相关性原则，根据实际情况简明扼要披露重大风险和其他</w:t>
      </w:r>
      <w:r>
        <w:rPr>
          <w:rFonts w:hint="eastAsia" w:ascii="仿宋" w:hAnsi="仿宋" w:eastAsia="仿宋" w:cs="仿宋"/>
          <w:sz w:val="32"/>
          <w:szCs w:val="32"/>
        </w:rPr>
        <w:t>应当</w:t>
      </w:r>
      <w:r>
        <w:rPr>
          <w:rFonts w:ascii="仿宋" w:hAnsi="仿宋" w:eastAsia="仿宋" w:cs="仿宋"/>
          <w:sz w:val="32"/>
          <w:szCs w:val="32"/>
        </w:rPr>
        <w:t>提醒投资者特别关注的重要事项，并索引至正文相关章节。</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2.1.1.3基金管理人</w:t>
      </w:r>
      <w:r>
        <w:rPr>
          <w:rFonts w:hint="eastAsia" w:ascii="仿宋" w:hAnsi="仿宋" w:eastAsia="仿宋" w:cs="仿宋"/>
          <w:sz w:val="32"/>
          <w:szCs w:val="32"/>
        </w:rPr>
        <w:t>应当</w:t>
      </w:r>
      <w:r>
        <w:rPr>
          <w:rFonts w:ascii="仿宋" w:hAnsi="仿宋" w:eastAsia="仿宋" w:cs="仿宋"/>
          <w:sz w:val="32"/>
          <w:szCs w:val="32"/>
        </w:rPr>
        <w:t>在招募说明书扉页列表载明下列内容，参考格式</w:t>
      </w:r>
      <w:r>
        <w:rPr>
          <w:rFonts w:hint="eastAsia" w:ascii="仿宋" w:hAnsi="仿宋" w:eastAsia="仿宋" w:cs="仿宋"/>
          <w:sz w:val="32"/>
          <w:szCs w:val="32"/>
          <w:lang w:eastAsia="zh-CN"/>
        </w:rPr>
        <w:t>见</w:t>
      </w:r>
      <w:r>
        <w:rPr>
          <w:rFonts w:ascii="仿宋" w:hAnsi="仿宋" w:eastAsia="仿宋" w:cs="仿宋"/>
          <w:sz w:val="32"/>
          <w:szCs w:val="32"/>
        </w:rPr>
        <w:t>附件1。</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（一）基金名称；</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（二）不动产项目名称；</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w:t>
      </w:r>
      <w:r>
        <w:rPr>
          <w:rFonts w:hint="eastAsia" w:ascii="仿宋" w:hAnsi="仿宋" w:eastAsia="仿宋" w:cs="仿宋"/>
          <w:sz w:val="32"/>
          <w:szCs w:val="32"/>
        </w:rPr>
        <w:t>（预计）</w:t>
      </w:r>
      <w:r>
        <w:rPr>
          <w:rFonts w:ascii="仿宋" w:hAnsi="仿宋" w:eastAsia="仿宋" w:cs="仿宋"/>
          <w:sz w:val="32"/>
          <w:szCs w:val="32"/>
        </w:rPr>
        <w:t>募集规模；</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w:t>
      </w:r>
      <w:r>
        <w:rPr>
          <w:rFonts w:hint="eastAsia" w:ascii="仿宋" w:hAnsi="仿宋" w:eastAsia="仿宋" w:cs="仿宋"/>
          <w:sz w:val="32"/>
          <w:szCs w:val="32"/>
        </w:rPr>
        <w:t>（拟）</w:t>
      </w:r>
      <w:r>
        <w:rPr>
          <w:rFonts w:ascii="仿宋" w:hAnsi="仿宋" w:eastAsia="仿宋" w:cs="仿宋"/>
          <w:sz w:val="32"/>
          <w:szCs w:val="32"/>
        </w:rPr>
        <w:t>上市的证券交易所；</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（五）基金管理人</w:t>
      </w:r>
      <w:r>
        <w:rPr>
          <w:rFonts w:hint="eastAsia" w:ascii="仿宋" w:hAnsi="仿宋" w:eastAsia="仿宋" w:cs="仿宋"/>
          <w:sz w:val="32"/>
          <w:szCs w:val="32"/>
        </w:rPr>
        <w:t>、基金托管人</w:t>
      </w:r>
      <w:r>
        <w:rPr>
          <w:rFonts w:ascii="仿宋" w:hAnsi="仿宋" w:eastAsia="仿宋" w:cs="仿宋"/>
          <w:sz w:val="32"/>
          <w:szCs w:val="32"/>
        </w:rPr>
        <w:t>；</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（六）资产支持证券管理人；</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（七）财务顾问（如有）；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（八）原始权益人；</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（九）</w:t>
      </w:r>
      <w:r>
        <w:rPr>
          <w:rFonts w:hint="eastAsia" w:ascii="仿宋" w:hAnsi="仿宋" w:eastAsia="仿宋" w:cs="仿宋"/>
          <w:bCs/>
          <w:sz w:val="32"/>
          <w:szCs w:val="32"/>
        </w:rPr>
        <w:t>运营</w:t>
      </w:r>
      <w:r>
        <w:rPr>
          <w:rFonts w:ascii="仿宋" w:hAnsi="仿宋" w:eastAsia="仿宋" w:cs="仿宋"/>
          <w:sz w:val="32"/>
          <w:szCs w:val="32"/>
        </w:rPr>
        <w:t>管理机构；</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（十）招募说明书签署日期。</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2.1.1.4招募说明书目录自首页开始排印，目录</w:t>
      </w:r>
      <w:r>
        <w:rPr>
          <w:rFonts w:hint="eastAsia" w:ascii="仿宋" w:hAnsi="仿宋" w:eastAsia="仿宋" w:cs="仿宋"/>
          <w:sz w:val="32"/>
          <w:szCs w:val="32"/>
        </w:rPr>
        <w:t>应当</w:t>
      </w:r>
      <w:r>
        <w:rPr>
          <w:rFonts w:ascii="仿宋" w:hAnsi="仿宋" w:eastAsia="仿宋" w:cs="仿宋"/>
          <w:sz w:val="32"/>
          <w:szCs w:val="32"/>
        </w:rPr>
        <w:t>列明各部分、章、节的具体标题</w:t>
      </w:r>
      <w:r>
        <w:rPr>
          <w:rFonts w:hint="eastAsia" w:ascii="仿宋" w:hAnsi="仿宋" w:eastAsia="仿宋" w:cs="仿宋"/>
          <w:sz w:val="32"/>
          <w:szCs w:val="32"/>
        </w:rPr>
        <w:t>以及</w:t>
      </w:r>
      <w:r>
        <w:rPr>
          <w:rFonts w:ascii="仿宋" w:hAnsi="仿宋" w:eastAsia="仿宋" w:cs="仿宋"/>
          <w:sz w:val="32"/>
          <w:szCs w:val="32"/>
        </w:rPr>
        <w:t>相应的页码，内容编排</w:t>
      </w:r>
      <w:r>
        <w:rPr>
          <w:rFonts w:hint="eastAsia" w:ascii="仿宋" w:hAnsi="仿宋" w:eastAsia="仿宋" w:cs="仿宋"/>
          <w:sz w:val="32"/>
          <w:szCs w:val="32"/>
        </w:rPr>
        <w:t>应当</w:t>
      </w:r>
      <w:r>
        <w:rPr>
          <w:rFonts w:ascii="仿宋" w:hAnsi="仿宋" w:eastAsia="仿宋" w:cs="仿宋"/>
          <w:sz w:val="32"/>
          <w:szCs w:val="32"/>
        </w:rPr>
        <w:t>符合通行惯例。</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2.1.1.5绪言中须载明招募说明书编写所依据的法规和基金合同。</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下列文字必须载入绪言：</w:t>
      </w:r>
    </w:p>
    <w:p>
      <w:p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基金管理人承诺本招募说明书不存在任何虚假记载、误导性陈述或者重大遗漏，并对其真实性、准确性、完整性承担法律责任。本基金是根据本招募说明书所载明的资料申请募集的。本基金管理人没有委托</w:t>
      </w:r>
      <w:r>
        <w:rPr>
          <w:rFonts w:hint="eastAsia" w:ascii="仿宋" w:hAnsi="仿宋" w:eastAsia="仿宋" w:cs="仿宋"/>
          <w:sz w:val="32"/>
          <w:szCs w:val="32"/>
        </w:rPr>
        <w:t>或者</w:t>
      </w:r>
      <w:r>
        <w:rPr>
          <w:rFonts w:ascii="仿宋" w:hAnsi="仿宋" w:eastAsia="仿宋" w:cs="仿宋"/>
          <w:sz w:val="32"/>
          <w:szCs w:val="32"/>
        </w:rPr>
        <w:t>授权任何其他人提供未在本招募说明书中载明的信息，</w:t>
      </w:r>
      <w:r>
        <w:rPr>
          <w:rFonts w:hint="eastAsia" w:ascii="仿宋" w:hAnsi="仿宋" w:eastAsia="仿宋" w:cs="仿宋"/>
          <w:sz w:val="32"/>
          <w:szCs w:val="32"/>
        </w:rPr>
        <w:t>或者</w:t>
      </w:r>
      <w:r>
        <w:rPr>
          <w:rFonts w:ascii="仿宋" w:hAnsi="仿宋" w:eastAsia="仿宋" w:cs="仿宋"/>
          <w:sz w:val="32"/>
          <w:szCs w:val="32"/>
        </w:rPr>
        <w:t>对本招募说明书作任何解释或者说明。</w:t>
      </w:r>
      <w:r>
        <w:rPr>
          <w:rFonts w:hint="eastAsia" w:ascii="仿宋" w:hAnsi="仿宋" w:eastAsia="仿宋" w:cs="仿宋"/>
          <w:sz w:val="32"/>
          <w:szCs w:val="32"/>
        </w:rPr>
        <w:t>”</w:t>
      </w:r>
    </w:p>
    <w:p>
      <w:p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本招募说明书内容包括不动产基金、不动产项目</w:t>
      </w:r>
      <w:r>
        <w:rPr>
          <w:rFonts w:hint="eastAsia" w:ascii="仿宋" w:hAnsi="仿宋" w:eastAsia="仿宋" w:cs="仿宋"/>
          <w:sz w:val="32"/>
          <w:szCs w:val="32"/>
        </w:rPr>
        <w:t>以及</w:t>
      </w:r>
      <w:r>
        <w:rPr>
          <w:rFonts w:ascii="仿宋" w:hAnsi="仿宋" w:eastAsia="仿宋" w:cs="仿宋"/>
          <w:sz w:val="32"/>
          <w:szCs w:val="32"/>
        </w:rPr>
        <w:t>基金合同的重要内容。基金合同是约定基金当事人之间权利、义务的法律文件。投资者自依</w:t>
      </w:r>
      <w:r>
        <w:rPr>
          <w:rFonts w:hint="eastAsia" w:ascii="仿宋" w:hAnsi="仿宋" w:eastAsia="仿宋" w:cs="仿宋"/>
          <w:sz w:val="32"/>
          <w:szCs w:val="32"/>
        </w:rPr>
        <w:t>据</w:t>
      </w:r>
      <w:r>
        <w:rPr>
          <w:rFonts w:ascii="仿宋" w:hAnsi="仿宋" w:eastAsia="仿宋" w:cs="仿宋"/>
          <w:sz w:val="32"/>
          <w:szCs w:val="32"/>
        </w:rPr>
        <w:t>基金合同取得基金份额，即成为基金份额持有人和本基金合同的当事人，其持有基金份额的行为本身即表明其对基金合同的承认和接受，并按照《基金法》、基金合同</w:t>
      </w:r>
      <w:r>
        <w:rPr>
          <w:rFonts w:hint="eastAsia" w:ascii="仿宋" w:hAnsi="仿宋" w:eastAsia="仿宋" w:cs="仿宋"/>
          <w:sz w:val="32"/>
          <w:szCs w:val="32"/>
        </w:rPr>
        <w:t>以及</w:t>
      </w:r>
      <w:r>
        <w:rPr>
          <w:rFonts w:ascii="仿宋" w:hAnsi="仿宋" w:eastAsia="仿宋" w:cs="仿宋"/>
          <w:sz w:val="32"/>
          <w:szCs w:val="32"/>
        </w:rPr>
        <w:t>其他有关规定享有权利、承担义务。投资者欲了解基金份额持有人的权利和义务，</w:t>
      </w:r>
      <w:r>
        <w:rPr>
          <w:rFonts w:hint="eastAsia" w:ascii="仿宋" w:hAnsi="仿宋" w:eastAsia="仿宋" w:cs="仿宋"/>
          <w:sz w:val="32"/>
          <w:szCs w:val="32"/>
        </w:rPr>
        <w:t>应当</w:t>
      </w:r>
      <w:r>
        <w:rPr>
          <w:rFonts w:ascii="仿宋" w:hAnsi="仿宋" w:eastAsia="仿宋" w:cs="仿宋"/>
          <w:sz w:val="32"/>
          <w:szCs w:val="32"/>
        </w:rPr>
        <w:t>详细查阅基金合同。</w:t>
      </w:r>
      <w:r>
        <w:rPr>
          <w:rFonts w:hint="eastAsia" w:ascii="仿宋" w:hAnsi="仿宋" w:eastAsia="仿宋" w:cs="仿宋"/>
          <w:sz w:val="32"/>
          <w:szCs w:val="32"/>
        </w:rPr>
        <w:t>”</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2.1.1.6基金管理人</w:t>
      </w:r>
      <w:r>
        <w:rPr>
          <w:rFonts w:hint="eastAsia" w:ascii="仿宋" w:hAnsi="仿宋" w:eastAsia="仿宋" w:cs="仿宋"/>
          <w:sz w:val="32"/>
          <w:szCs w:val="32"/>
        </w:rPr>
        <w:t>应当</w:t>
      </w:r>
      <w:r>
        <w:rPr>
          <w:rFonts w:ascii="仿宋" w:hAnsi="仿宋" w:eastAsia="仿宋" w:cs="仿宋"/>
          <w:sz w:val="32"/>
          <w:szCs w:val="32"/>
        </w:rPr>
        <w:t>在招募说明书绪言次页对有助于投资者理解</w:t>
      </w:r>
      <w:r>
        <w:rPr>
          <w:rFonts w:hint="eastAsia" w:ascii="仿宋" w:hAnsi="仿宋" w:eastAsia="仿宋" w:cs="仿宋"/>
          <w:sz w:val="32"/>
          <w:szCs w:val="32"/>
        </w:rPr>
        <w:t>以及</w:t>
      </w:r>
      <w:r>
        <w:rPr>
          <w:rFonts w:ascii="仿宋" w:hAnsi="仿宋" w:eastAsia="仿宋" w:cs="仿宋"/>
          <w:sz w:val="32"/>
          <w:szCs w:val="32"/>
        </w:rPr>
        <w:t>有特定含义的术语（包括但不限于名称缩写、专有名词等）作出释义。</w:t>
      </w:r>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20" w:name="_Toc7830"/>
      <w:bookmarkStart w:id="21" w:name="_Toc2692"/>
      <w:bookmarkStart w:id="22" w:name="_Toc198802677"/>
      <w:bookmarkStart w:id="23" w:name="_Toc8074"/>
      <w:bookmarkStart w:id="24" w:name="_Toc203479451"/>
      <w:r>
        <w:rPr>
          <w:rFonts w:ascii="仿宋" w:hAnsi="仿宋" w:eastAsia="仿宋" w:cs="仿宋"/>
          <w:b/>
          <w:bCs/>
          <w:sz w:val="32"/>
          <w:szCs w:val="32"/>
        </w:rPr>
        <w:t>第二节 招募说明书概要</w:t>
      </w:r>
      <w:bookmarkEnd w:id="20"/>
      <w:bookmarkEnd w:id="21"/>
      <w:bookmarkEnd w:id="22"/>
      <w:bookmarkEnd w:id="23"/>
      <w:bookmarkEnd w:id="24"/>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2.1.2.1基金管理人</w:t>
      </w:r>
      <w:r>
        <w:rPr>
          <w:rFonts w:hint="eastAsia" w:ascii="仿宋" w:hAnsi="仿宋" w:eastAsia="仿宋" w:cs="仿宋"/>
          <w:sz w:val="32"/>
          <w:szCs w:val="32"/>
        </w:rPr>
        <w:t>应当</w:t>
      </w:r>
      <w:r>
        <w:rPr>
          <w:rFonts w:ascii="仿宋" w:hAnsi="仿宋" w:eastAsia="仿宋" w:cs="仿宋"/>
          <w:sz w:val="32"/>
          <w:szCs w:val="32"/>
        </w:rPr>
        <w:t>对招募说明书作精确、扼要的概要，确保概要内容具体清晰、易于理解，以便投资者整体把握本次发行的概况，不</w:t>
      </w:r>
      <w:r>
        <w:rPr>
          <w:rFonts w:hint="eastAsia" w:ascii="仿宋" w:hAnsi="仿宋" w:eastAsia="仿宋" w:cs="仿宋"/>
          <w:sz w:val="32"/>
          <w:szCs w:val="32"/>
        </w:rPr>
        <w:t>得简单</w:t>
      </w:r>
      <w:r>
        <w:rPr>
          <w:rFonts w:ascii="仿宋" w:hAnsi="仿宋" w:eastAsia="仿宋" w:cs="仿宋"/>
          <w:sz w:val="32"/>
          <w:szCs w:val="32"/>
        </w:rPr>
        <w:t>重复列示招募说明书其他章节的内容，不得披露招募说明书其他章节披露内容以外的其他信息。</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2.1.2.2基金管理人</w:t>
      </w:r>
      <w:r>
        <w:rPr>
          <w:rFonts w:hint="eastAsia" w:ascii="仿宋" w:hAnsi="仿宋" w:eastAsia="仿宋" w:cs="仿宋"/>
          <w:sz w:val="32"/>
          <w:szCs w:val="32"/>
        </w:rPr>
        <w:t>应当</w:t>
      </w:r>
      <w:r>
        <w:rPr>
          <w:rFonts w:ascii="仿宋" w:hAnsi="仿宋" w:eastAsia="仿宋" w:cs="仿宋"/>
          <w:sz w:val="32"/>
          <w:szCs w:val="32"/>
        </w:rPr>
        <w:t>在招募说明书概要显要位置声明：</w:t>
      </w:r>
    </w:p>
    <w:p>
      <w:p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本概要仅对招募说明书全文作扼要提示。投资者作出投资决策前，</w:t>
      </w:r>
      <w:r>
        <w:rPr>
          <w:rFonts w:hint="eastAsia" w:ascii="仿宋" w:hAnsi="仿宋" w:eastAsia="仿宋" w:cs="仿宋"/>
          <w:sz w:val="32"/>
          <w:szCs w:val="32"/>
        </w:rPr>
        <w:t>应当</w:t>
      </w:r>
      <w:r>
        <w:rPr>
          <w:rFonts w:ascii="仿宋" w:hAnsi="仿宋" w:eastAsia="仿宋" w:cs="仿宋"/>
          <w:sz w:val="32"/>
          <w:szCs w:val="32"/>
        </w:rPr>
        <w:t>认真阅读招募说明书正文</w:t>
      </w:r>
      <w:r>
        <w:rPr>
          <w:rFonts w:hint="eastAsia" w:ascii="仿宋" w:hAnsi="仿宋" w:eastAsia="仿宋" w:cs="仿宋"/>
          <w:sz w:val="32"/>
          <w:szCs w:val="32"/>
        </w:rPr>
        <w:t>和</w:t>
      </w:r>
      <w:r>
        <w:rPr>
          <w:rFonts w:ascii="仿宋" w:hAnsi="仿宋" w:eastAsia="仿宋" w:cs="仿宋"/>
          <w:sz w:val="32"/>
          <w:szCs w:val="32"/>
        </w:rPr>
        <w:t>附件</w:t>
      </w:r>
      <w:r>
        <w:rPr>
          <w:rFonts w:hint="eastAsia" w:ascii="仿宋" w:hAnsi="仿宋" w:eastAsia="仿宋" w:cs="仿宋"/>
          <w:sz w:val="32"/>
          <w:szCs w:val="32"/>
        </w:rPr>
        <w:t>。”</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2.1.2.3基金管理人</w:t>
      </w:r>
      <w:r>
        <w:rPr>
          <w:rFonts w:hint="eastAsia" w:ascii="仿宋" w:hAnsi="仿宋" w:eastAsia="仿宋" w:cs="仿宋"/>
          <w:sz w:val="32"/>
          <w:szCs w:val="32"/>
        </w:rPr>
        <w:t>应当</w:t>
      </w:r>
      <w:r>
        <w:rPr>
          <w:rFonts w:ascii="仿宋" w:hAnsi="仿宋" w:eastAsia="仿宋" w:cs="仿宋"/>
          <w:sz w:val="32"/>
          <w:szCs w:val="32"/>
        </w:rPr>
        <w:t>结合不动产项目的</w:t>
      </w:r>
      <w:r>
        <w:rPr>
          <w:rFonts w:hint="eastAsia" w:ascii="仿宋" w:hAnsi="仿宋" w:eastAsia="仿宋" w:cs="仿宋"/>
          <w:sz w:val="32"/>
          <w:szCs w:val="32"/>
        </w:rPr>
        <w:t>有关</w:t>
      </w:r>
      <w:r>
        <w:rPr>
          <w:rFonts w:ascii="仿宋" w:hAnsi="仿宋" w:eastAsia="仿宋" w:cs="仿宋"/>
          <w:sz w:val="32"/>
          <w:szCs w:val="32"/>
        </w:rPr>
        <w:t>情况，披露有助于投资者了解不动产项目的相关重要信息，并根据重要性原则对披露内容进行排序，概要内容包括但不限于：</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（一）遵循重要性和相关性原则，根据实际情况作</w:t>
      </w:r>
      <w:r>
        <w:rPr>
          <w:rFonts w:hint="eastAsia" w:ascii="仿宋" w:hAnsi="仿宋" w:eastAsia="仿宋" w:cs="仿宋"/>
          <w:sz w:val="32"/>
          <w:szCs w:val="32"/>
        </w:rPr>
        <w:t>“</w:t>
      </w:r>
      <w:r>
        <w:rPr>
          <w:rFonts w:ascii="仿宋" w:hAnsi="仿宋" w:eastAsia="仿宋" w:cs="仿宋"/>
          <w:sz w:val="32"/>
          <w:szCs w:val="32"/>
        </w:rPr>
        <w:t>重大事项提示</w:t>
      </w:r>
      <w:r>
        <w:rPr>
          <w:rFonts w:hint="eastAsia" w:ascii="仿宋" w:hAnsi="仿宋" w:eastAsia="仿宋" w:cs="仿宋"/>
          <w:sz w:val="32"/>
          <w:szCs w:val="32"/>
        </w:rPr>
        <w:t>”</w:t>
      </w:r>
      <w:r>
        <w:rPr>
          <w:rFonts w:ascii="仿宋" w:hAnsi="仿宋" w:eastAsia="仿宋" w:cs="仿宋"/>
          <w:sz w:val="32"/>
          <w:szCs w:val="32"/>
        </w:rPr>
        <w:t>，简明扼要披露本次不动产基金上市的重大风险和其他</w:t>
      </w:r>
      <w:r>
        <w:rPr>
          <w:rFonts w:hint="eastAsia" w:ascii="仿宋" w:hAnsi="仿宋" w:eastAsia="仿宋" w:cs="仿宋"/>
          <w:sz w:val="32"/>
          <w:szCs w:val="32"/>
        </w:rPr>
        <w:t>应当</w:t>
      </w:r>
      <w:r>
        <w:rPr>
          <w:rFonts w:ascii="仿宋" w:hAnsi="仿宋" w:eastAsia="仿宋" w:cs="仿宋"/>
          <w:sz w:val="32"/>
          <w:szCs w:val="32"/>
        </w:rPr>
        <w:t>提醒投资者特别关注的重要事项，并索引至正文相关章节；</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（二）以简明图示披露不动产基金整体架构；</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（三）简要披露不动产基金发行概况</w:t>
      </w:r>
      <w:r>
        <w:rPr>
          <w:rFonts w:hint="eastAsia" w:ascii="仿宋" w:hAnsi="仿宋" w:eastAsia="仿宋" w:cs="仿宋"/>
          <w:sz w:val="32"/>
          <w:szCs w:val="32"/>
        </w:rPr>
        <w:t>和</w:t>
      </w:r>
      <w:r>
        <w:rPr>
          <w:rFonts w:ascii="仿宋" w:hAnsi="仿宋" w:eastAsia="仿宋" w:cs="仿宋"/>
          <w:sz w:val="32"/>
          <w:szCs w:val="32"/>
        </w:rPr>
        <w:t>本次发行的有关中介机构基本情况</w:t>
      </w:r>
      <w:bookmarkStart w:id="25" w:name="OLE_LINK3"/>
      <w:r>
        <w:rPr>
          <w:rFonts w:ascii="仿宋" w:hAnsi="仿宋" w:eastAsia="仿宋" w:cs="仿宋"/>
          <w:sz w:val="32"/>
          <w:szCs w:val="32"/>
        </w:rPr>
        <w:t>，参考格式</w:t>
      </w:r>
      <w:r>
        <w:rPr>
          <w:rFonts w:hint="eastAsia" w:ascii="仿宋" w:hAnsi="仿宋" w:eastAsia="仿宋" w:cs="仿宋"/>
          <w:sz w:val="32"/>
          <w:szCs w:val="32"/>
          <w:lang w:eastAsia="zh-CN"/>
        </w:rPr>
        <w:t>见</w:t>
      </w:r>
      <w:r>
        <w:rPr>
          <w:rFonts w:ascii="仿宋" w:hAnsi="仿宋" w:eastAsia="仿宋" w:cs="仿宋"/>
          <w:sz w:val="32"/>
          <w:szCs w:val="32"/>
        </w:rPr>
        <w:t>附件</w:t>
      </w:r>
      <w:bookmarkEnd w:id="13"/>
      <w:bookmarkEnd w:id="14"/>
      <w:bookmarkEnd w:id="15"/>
      <w:r>
        <w:rPr>
          <w:rFonts w:ascii="仿宋" w:hAnsi="仿宋" w:eastAsia="仿宋" w:cs="仿宋"/>
          <w:sz w:val="32"/>
          <w:szCs w:val="32"/>
        </w:rPr>
        <w:t>2</w:t>
      </w:r>
      <w:bookmarkEnd w:id="25"/>
      <w:r>
        <w:rPr>
          <w:rFonts w:ascii="仿宋" w:hAnsi="仿宋" w:eastAsia="仿宋" w:cs="仿宋"/>
          <w:sz w:val="32"/>
          <w:szCs w:val="32"/>
        </w:rPr>
        <w:t>；</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（四）简要披露不动产项目概况，参考格式</w:t>
      </w:r>
      <w:r>
        <w:rPr>
          <w:rFonts w:hint="eastAsia" w:ascii="仿宋" w:hAnsi="仿宋" w:eastAsia="仿宋" w:cs="仿宋"/>
          <w:sz w:val="32"/>
          <w:szCs w:val="32"/>
          <w:lang w:eastAsia="zh-CN"/>
        </w:rPr>
        <w:t>见</w:t>
      </w:r>
      <w:r>
        <w:rPr>
          <w:rFonts w:ascii="仿宋" w:hAnsi="仿宋" w:eastAsia="仿宋" w:cs="仿宋"/>
          <w:sz w:val="32"/>
          <w:szCs w:val="32"/>
        </w:rPr>
        <w:t>附件3；</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（五）概述不动产项目经营情况，包括行业</w:t>
      </w:r>
      <w:r>
        <w:rPr>
          <w:rFonts w:hint="eastAsia" w:ascii="仿宋" w:hAnsi="仿宋" w:eastAsia="仿宋" w:cs="仿宋"/>
          <w:sz w:val="32"/>
          <w:szCs w:val="32"/>
        </w:rPr>
        <w:t>和</w:t>
      </w:r>
      <w:r>
        <w:rPr>
          <w:rFonts w:ascii="仿宋" w:hAnsi="仿宋" w:eastAsia="仿宋" w:cs="仿宋"/>
          <w:sz w:val="32"/>
          <w:szCs w:val="32"/>
        </w:rPr>
        <w:t>区域竞争情况、主要经营指标</w:t>
      </w:r>
      <w:r>
        <w:rPr>
          <w:rFonts w:hint="eastAsia" w:ascii="仿宋" w:hAnsi="仿宋" w:eastAsia="仿宋" w:cs="仿宋"/>
          <w:sz w:val="32"/>
          <w:szCs w:val="32"/>
        </w:rPr>
        <w:t>以及</w:t>
      </w:r>
      <w:r>
        <w:rPr>
          <w:rFonts w:ascii="仿宋" w:hAnsi="仿宋" w:eastAsia="仿宋" w:cs="仿宋"/>
          <w:sz w:val="32"/>
          <w:szCs w:val="32"/>
        </w:rPr>
        <w:t>重要现金流提供方（如有）</w:t>
      </w:r>
      <w:r>
        <w:rPr>
          <w:rFonts w:hint="eastAsia" w:ascii="仿宋" w:hAnsi="仿宋" w:eastAsia="仿宋" w:cs="仿宋"/>
          <w:sz w:val="32"/>
          <w:szCs w:val="32"/>
        </w:rPr>
        <w:t>有关</w:t>
      </w:r>
      <w:r>
        <w:rPr>
          <w:rFonts w:ascii="仿宋" w:hAnsi="仿宋" w:eastAsia="仿宋" w:cs="仿宋"/>
          <w:sz w:val="32"/>
          <w:szCs w:val="32"/>
        </w:rPr>
        <w:t>情况等；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（六）简要披露不动产项目资产评估</w:t>
      </w:r>
      <w:r>
        <w:rPr>
          <w:rFonts w:hint="eastAsia" w:ascii="仿宋" w:hAnsi="仿宋" w:eastAsia="仿宋" w:cs="仿宋"/>
          <w:sz w:val="32"/>
          <w:szCs w:val="32"/>
        </w:rPr>
        <w:t>以及</w:t>
      </w:r>
      <w:r>
        <w:rPr>
          <w:rFonts w:ascii="仿宋" w:hAnsi="仿宋" w:eastAsia="仿宋" w:cs="仿宋"/>
          <w:sz w:val="32"/>
          <w:szCs w:val="32"/>
        </w:rPr>
        <w:t>现金流预测情况，参考格式</w:t>
      </w:r>
      <w:r>
        <w:rPr>
          <w:rFonts w:hint="eastAsia" w:ascii="仿宋" w:hAnsi="仿宋" w:eastAsia="仿宋" w:cs="仿宋"/>
          <w:sz w:val="32"/>
          <w:szCs w:val="32"/>
          <w:lang w:eastAsia="zh-CN"/>
        </w:rPr>
        <w:t>见</w:t>
      </w:r>
      <w:r>
        <w:rPr>
          <w:rFonts w:ascii="仿宋" w:hAnsi="仿宋" w:eastAsia="仿宋" w:cs="仿宋"/>
          <w:sz w:val="32"/>
          <w:szCs w:val="32"/>
        </w:rPr>
        <w:t>附件5；</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（七）简要披露不动产基金治理</w:t>
      </w:r>
      <w:r>
        <w:rPr>
          <w:rFonts w:hint="eastAsia" w:ascii="仿宋" w:hAnsi="仿宋" w:eastAsia="仿宋" w:cs="仿宋"/>
          <w:sz w:val="32"/>
          <w:szCs w:val="32"/>
        </w:rPr>
        <w:t>以及</w:t>
      </w:r>
      <w:r>
        <w:rPr>
          <w:rFonts w:ascii="仿宋" w:hAnsi="仿宋" w:eastAsia="仿宋" w:cs="仿宋"/>
          <w:sz w:val="32"/>
          <w:szCs w:val="32"/>
        </w:rPr>
        <w:t>运营管理安排情况，参考格式</w:t>
      </w:r>
      <w:r>
        <w:rPr>
          <w:rFonts w:hint="eastAsia" w:ascii="仿宋" w:hAnsi="仿宋" w:eastAsia="仿宋" w:cs="仿宋"/>
          <w:sz w:val="32"/>
          <w:szCs w:val="32"/>
          <w:lang w:eastAsia="zh-CN"/>
        </w:rPr>
        <w:t>见</w:t>
      </w:r>
      <w:r>
        <w:rPr>
          <w:rFonts w:ascii="仿宋" w:hAnsi="仿宋" w:eastAsia="仿宋" w:cs="仿宋"/>
          <w:sz w:val="32"/>
          <w:szCs w:val="32"/>
        </w:rPr>
        <w:t>附件7、附件8</w:t>
      </w:r>
      <w:r>
        <w:rPr>
          <w:rFonts w:hint="eastAsia" w:ascii="仿宋" w:hAnsi="仿宋" w:eastAsia="仿宋" w:cs="仿宋"/>
          <w:sz w:val="32"/>
          <w:szCs w:val="32"/>
        </w:rPr>
        <w:t>以及</w:t>
      </w:r>
      <w:r>
        <w:rPr>
          <w:rFonts w:ascii="仿宋" w:hAnsi="仿宋" w:eastAsia="仿宋" w:cs="仿宋"/>
          <w:sz w:val="32"/>
          <w:szCs w:val="32"/>
        </w:rPr>
        <w:t>附件9；</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（八）简要披露基金合同的主要内容；</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（九）其他对本次发行有重大影响的事项。</w:t>
      </w:r>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26" w:name="_Toc198802678"/>
      <w:bookmarkStart w:id="27" w:name="_Toc19639"/>
      <w:bookmarkStart w:id="28" w:name="_Toc13427"/>
      <w:bookmarkStart w:id="29" w:name="_Toc4453"/>
      <w:bookmarkStart w:id="30" w:name="_Toc203479452"/>
      <w:r>
        <w:rPr>
          <w:rFonts w:ascii="仿宋" w:hAnsi="仿宋" w:eastAsia="仿宋" w:cs="仿宋"/>
          <w:b/>
          <w:bCs/>
          <w:sz w:val="32"/>
          <w:szCs w:val="32"/>
        </w:rPr>
        <w:t>第三节 风险因素</w:t>
      </w:r>
      <w:bookmarkEnd w:id="26"/>
      <w:bookmarkEnd w:id="27"/>
      <w:bookmarkEnd w:id="28"/>
      <w:bookmarkEnd w:id="29"/>
      <w:bookmarkEnd w:id="30"/>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2.1.3.1基金管理人</w:t>
      </w:r>
      <w:r>
        <w:rPr>
          <w:rFonts w:hint="eastAsia" w:ascii="仿宋" w:hAnsi="仿宋" w:eastAsia="仿宋" w:cs="仿宋"/>
          <w:sz w:val="32"/>
          <w:szCs w:val="32"/>
        </w:rPr>
        <w:t>应当</w:t>
      </w:r>
      <w:r>
        <w:rPr>
          <w:rFonts w:ascii="仿宋" w:hAnsi="仿宋" w:eastAsia="仿宋" w:cs="仿宋"/>
          <w:sz w:val="32"/>
          <w:szCs w:val="32"/>
        </w:rPr>
        <w:t>按</w:t>
      </w:r>
      <w:r>
        <w:rPr>
          <w:rFonts w:hint="eastAsia" w:ascii="仿宋" w:hAnsi="仿宋" w:eastAsia="仿宋" w:cs="仿宋"/>
          <w:sz w:val="32"/>
          <w:szCs w:val="32"/>
        </w:rPr>
        <w:t>照</w:t>
      </w:r>
      <w:r>
        <w:rPr>
          <w:rFonts w:ascii="仿宋" w:hAnsi="仿宋" w:eastAsia="仿宋" w:cs="仿宋"/>
          <w:sz w:val="32"/>
          <w:szCs w:val="32"/>
        </w:rPr>
        <w:t>重要性原则和方便投资者决策原则，针对性、个性化披露不动产基金、不动产项目相关的风险因素，包括但不限于市场风险、管理风险、流动性风险、项目运营风险以及其他与不动产特性相关的风险，避免笼统、模板化表述。</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2.1.3.2基金管理人</w:t>
      </w:r>
      <w:r>
        <w:rPr>
          <w:rFonts w:hint="eastAsia" w:ascii="仿宋" w:hAnsi="仿宋" w:eastAsia="仿宋" w:cs="仿宋"/>
          <w:sz w:val="32"/>
          <w:szCs w:val="32"/>
        </w:rPr>
        <w:t>应当</w:t>
      </w:r>
      <w:r>
        <w:rPr>
          <w:rFonts w:ascii="仿宋" w:hAnsi="仿宋" w:eastAsia="仿宋" w:cs="仿宋"/>
          <w:sz w:val="32"/>
          <w:szCs w:val="32"/>
        </w:rPr>
        <w:t>使用恰当标题概括描述具体风险点，精准清晰充分地揭示每项风险因素的具体情形、产生原因、目前发展阶段和对不动产基金、不动产项目、投资者权益的影响。风险因素所依赖的事实</w:t>
      </w:r>
      <w:r>
        <w:rPr>
          <w:rFonts w:hint="eastAsia" w:ascii="仿宋" w:hAnsi="仿宋" w:eastAsia="仿宋" w:cs="仿宋"/>
          <w:sz w:val="32"/>
          <w:szCs w:val="32"/>
        </w:rPr>
        <w:t>应当</w:t>
      </w:r>
      <w:r>
        <w:rPr>
          <w:rFonts w:ascii="仿宋" w:hAnsi="仿宋" w:eastAsia="仿宋" w:cs="仿宋"/>
          <w:sz w:val="32"/>
          <w:szCs w:val="32"/>
        </w:rPr>
        <w:t>与招募说明书其他章节信息保持一致。</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2.1.3.3基金管理人</w:t>
      </w:r>
      <w:r>
        <w:rPr>
          <w:rFonts w:hint="eastAsia" w:ascii="仿宋" w:hAnsi="仿宋" w:eastAsia="仿宋" w:cs="仿宋"/>
          <w:sz w:val="32"/>
          <w:szCs w:val="32"/>
        </w:rPr>
        <w:t>应当</w:t>
      </w:r>
      <w:r>
        <w:rPr>
          <w:rFonts w:ascii="仿宋" w:hAnsi="仿宋" w:eastAsia="仿宋" w:cs="仿宋"/>
          <w:sz w:val="32"/>
          <w:szCs w:val="32"/>
        </w:rPr>
        <w:t>对项目运营、估值与现金流预测等相关风险因素作定量分析，对导致风险的变动性因素作敏感性分析。无法定量分析的，</w:t>
      </w:r>
      <w:r>
        <w:rPr>
          <w:rFonts w:hint="eastAsia" w:ascii="仿宋" w:hAnsi="仿宋" w:eastAsia="仿宋" w:cs="仿宋"/>
          <w:sz w:val="32"/>
          <w:szCs w:val="32"/>
        </w:rPr>
        <w:t>应当</w:t>
      </w:r>
      <w:r>
        <w:rPr>
          <w:rFonts w:ascii="仿宋" w:hAnsi="仿宋" w:eastAsia="仿宋" w:cs="仿宋"/>
          <w:sz w:val="32"/>
          <w:szCs w:val="32"/>
        </w:rPr>
        <w:t>针对性作出定性描述，清晰告知投资者可能发生的最不利情形。</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2.1.3.4一项风险因素不得描述多个风险。披露风险因素的风险对策、优势</w:t>
      </w:r>
      <w:r>
        <w:rPr>
          <w:rFonts w:hint="eastAsia" w:ascii="仿宋" w:hAnsi="仿宋" w:eastAsia="仿宋" w:cs="仿宋"/>
          <w:sz w:val="32"/>
          <w:szCs w:val="32"/>
        </w:rPr>
        <w:t>以及</w:t>
      </w:r>
      <w:r>
        <w:rPr>
          <w:rFonts w:ascii="仿宋" w:hAnsi="仿宋" w:eastAsia="仿宋" w:cs="仿宋"/>
          <w:sz w:val="32"/>
          <w:szCs w:val="32"/>
        </w:rPr>
        <w:t>类似表述</w:t>
      </w:r>
      <w:r>
        <w:rPr>
          <w:rFonts w:hint="eastAsia" w:ascii="仿宋" w:hAnsi="仿宋" w:eastAsia="仿宋" w:cs="仿宋"/>
          <w:sz w:val="32"/>
          <w:szCs w:val="32"/>
        </w:rPr>
        <w:t>应当</w:t>
      </w:r>
      <w:r>
        <w:rPr>
          <w:rFonts w:ascii="仿宋" w:hAnsi="仿宋" w:eastAsia="仿宋" w:cs="仿宋"/>
          <w:sz w:val="32"/>
          <w:szCs w:val="32"/>
        </w:rPr>
        <w:t>索引至正文相关章节，不得在风险因素中展开披露。</w:t>
      </w:r>
      <w:bookmarkStart w:id="31" w:name="_Toc29573"/>
      <w:bookmarkStart w:id="32" w:name="_Toc5835"/>
      <w:bookmarkStart w:id="33" w:name="_Toc198802679"/>
      <w:bookmarkStart w:id="34" w:name="_Toc15480"/>
      <w:bookmarkStart w:id="35" w:name="_Toc5200"/>
      <w:bookmarkStart w:id="36" w:name="_Toc7052"/>
    </w:p>
    <w:p>
      <w:pPr>
        <w:adjustRightInd w:val="0"/>
        <w:snapToGrid w:val="0"/>
        <w:spacing w:beforeLines="0" w:afterLines="0" w:line="560" w:lineRule="exact"/>
        <w:ind w:left="0"/>
        <w:jc w:val="center"/>
        <w:outlineLvl w:val="1"/>
        <w:rPr>
          <w:rFonts w:hint="eastAsia" w:ascii="楷体" w:hAnsi="楷体" w:eastAsia="楷体" w:cs="仿宋"/>
          <w:b w:val="0"/>
          <w:bCs w:val="0"/>
          <w:sz w:val="32"/>
          <w:szCs w:val="32"/>
        </w:rPr>
      </w:pPr>
      <w:bookmarkStart w:id="37" w:name="_Toc14414"/>
      <w:bookmarkStart w:id="38" w:name="_Toc203479453"/>
      <w:bookmarkStart w:id="39" w:name="_Toc5502"/>
      <w:bookmarkStart w:id="40" w:name="_Toc26990"/>
      <w:r>
        <w:rPr>
          <w:rFonts w:hint="eastAsia" w:ascii="楷体" w:hAnsi="楷体" w:eastAsia="楷体" w:cs="仿宋"/>
          <w:b w:val="0"/>
          <w:bCs w:val="0"/>
          <w:sz w:val="32"/>
          <w:szCs w:val="32"/>
        </w:rPr>
        <w:t>第二章 不动产项目</w:t>
      </w:r>
      <w:bookmarkEnd w:id="31"/>
      <w:bookmarkEnd w:id="32"/>
      <w:bookmarkEnd w:id="33"/>
      <w:bookmarkEnd w:id="34"/>
      <w:bookmarkEnd w:id="37"/>
      <w:bookmarkEnd w:id="38"/>
      <w:bookmarkEnd w:id="39"/>
      <w:bookmarkEnd w:id="40"/>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41" w:name="_Toc1602"/>
      <w:bookmarkStart w:id="42" w:name="_Toc2013"/>
      <w:bookmarkStart w:id="43" w:name="_Toc18492"/>
      <w:bookmarkStart w:id="44" w:name="_Toc10647"/>
      <w:bookmarkStart w:id="45" w:name="_Toc203479454"/>
      <w:bookmarkStart w:id="46" w:name="_Toc15944"/>
      <w:bookmarkStart w:id="47" w:name="_Toc15272"/>
      <w:bookmarkStart w:id="48" w:name="_Toc198802680"/>
      <w:r>
        <w:rPr>
          <w:rFonts w:ascii="仿宋" w:hAnsi="仿宋" w:eastAsia="仿宋" w:cs="仿宋"/>
          <w:b/>
          <w:bCs/>
          <w:sz w:val="32"/>
          <w:szCs w:val="32"/>
        </w:rPr>
        <w:t>第一节 不动产项目</w:t>
      </w:r>
      <w:bookmarkEnd w:id="41"/>
      <w:bookmarkEnd w:id="42"/>
      <w:bookmarkEnd w:id="43"/>
      <w:r>
        <w:rPr>
          <w:rFonts w:ascii="仿宋" w:hAnsi="仿宋" w:eastAsia="仿宋" w:cs="仿宋"/>
          <w:b/>
          <w:bCs/>
          <w:sz w:val="32"/>
          <w:szCs w:val="32"/>
        </w:rPr>
        <w:t>概况</w:t>
      </w:r>
      <w:bookmarkEnd w:id="44"/>
      <w:bookmarkEnd w:id="45"/>
      <w:bookmarkEnd w:id="46"/>
      <w:bookmarkEnd w:id="47"/>
      <w:bookmarkEnd w:id="48"/>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2.2.1.1基金管理人</w:t>
      </w:r>
      <w:r>
        <w:rPr>
          <w:rFonts w:hint="eastAsia" w:ascii="仿宋" w:hAnsi="仿宋" w:eastAsia="仿宋" w:cs="仿宋"/>
          <w:sz w:val="32"/>
          <w:szCs w:val="32"/>
        </w:rPr>
        <w:t>应当</w:t>
      </w:r>
      <w:r>
        <w:rPr>
          <w:rFonts w:ascii="仿宋" w:hAnsi="仿宋" w:eastAsia="仿宋" w:cs="仿宋"/>
          <w:sz w:val="32"/>
          <w:szCs w:val="32"/>
        </w:rPr>
        <w:t>以表格形式简要披露不动产项目概况，参考格式</w:t>
      </w:r>
      <w:r>
        <w:rPr>
          <w:rFonts w:hint="eastAsia" w:ascii="仿宋" w:hAnsi="仿宋" w:eastAsia="仿宋" w:cs="仿宋"/>
          <w:sz w:val="32"/>
          <w:szCs w:val="32"/>
          <w:lang w:eastAsia="zh-CN"/>
        </w:rPr>
        <w:t>见</w:t>
      </w:r>
      <w:r>
        <w:rPr>
          <w:rFonts w:ascii="仿宋" w:hAnsi="仿宋" w:eastAsia="仿宋" w:cs="仿宋"/>
          <w:sz w:val="32"/>
          <w:szCs w:val="32"/>
        </w:rPr>
        <w:t>附件3。基金管理人应当根据不动产项目的具体情况，明确界定大类资产类型。</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2.2.1.2基金管理人</w:t>
      </w:r>
      <w:r>
        <w:rPr>
          <w:rFonts w:hint="eastAsia" w:ascii="仿宋" w:hAnsi="仿宋" w:eastAsia="仿宋" w:cs="仿宋"/>
          <w:sz w:val="32"/>
          <w:szCs w:val="32"/>
        </w:rPr>
        <w:t>应当</w:t>
      </w:r>
      <w:r>
        <w:rPr>
          <w:rFonts w:ascii="仿宋" w:hAnsi="仿宋" w:eastAsia="仿宋" w:cs="仿宋"/>
          <w:sz w:val="32"/>
          <w:szCs w:val="32"/>
        </w:rPr>
        <w:t>披露不动产项目的合规情况，包括：</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（一）项目符合国家战略、发展规划、产业政策的情况；</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（二）项目权属、他项权利</w:t>
      </w:r>
      <w:r>
        <w:rPr>
          <w:rFonts w:hint="eastAsia" w:ascii="仿宋" w:hAnsi="仿宋" w:eastAsia="仿宋" w:cs="仿宋"/>
          <w:sz w:val="32"/>
          <w:szCs w:val="32"/>
        </w:rPr>
        <w:t>以及</w:t>
      </w:r>
      <w:r>
        <w:rPr>
          <w:rFonts w:ascii="仿宋" w:hAnsi="仿宋" w:eastAsia="仿宋" w:cs="仿宋"/>
          <w:sz w:val="32"/>
          <w:szCs w:val="32"/>
        </w:rPr>
        <w:t>解除安排（如有）；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w:t>
      </w:r>
      <w:r>
        <w:rPr>
          <w:rFonts w:hint="eastAsia" w:ascii="仿宋" w:hAnsi="仿宋" w:eastAsia="仿宋" w:cs="仿宋"/>
          <w:bCs/>
          <w:sz w:val="32"/>
          <w:szCs w:val="32"/>
        </w:rPr>
        <w:t>保障不动产项目</w:t>
      </w:r>
      <w:r>
        <w:rPr>
          <w:rFonts w:hint="eastAsia" w:ascii="仿宋" w:hAnsi="仿宋" w:eastAsia="仿宋" w:cs="仿宋"/>
          <w:bCs/>
          <w:sz w:val="32"/>
          <w:szCs w:val="32"/>
          <w:lang w:val="en-US" w:eastAsia="zh-CN"/>
        </w:rPr>
        <w:t>持续</w:t>
      </w:r>
      <w:r>
        <w:rPr>
          <w:rFonts w:hint="eastAsia" w:ascii="仿宋" w:hAnsi="仿宋" w:eastAsia="仿宋" w:cs="仿宋"/>
          <w:bCs/>
          <w:sz w:val="32"/>
          <w:szCs w:val="32"/>
        </w:rPr>
        <w:t>稳定运营的关键合规</w:t>
      </w:r>
      <w:r>
        <w:rPr>
          <w:rFonts w:ascii="仿宋" w:hAnsi="仿宋" w:eastAsia="仿宋" w:cs="仿宋"/>
          <w:bCs/>
          <w:sz w:val="32"/>
          <w:szCs w:val="32"/>
        </w:rPr>
        <w:t>手续</w:t>
      </w:r>
      <w:r>
        <w:rPr>
          <w:rFonts w:hint="eastAsia" w:ascii="仿宋" w:hAnsi="仿宋" w:eastAsia="仿宋" w:cs="仿宋"/>
          <w:bCs/>
          <w:sz w:val="32"/>
          <w:szCs w:val="32"/>
        </w:rPr>
        <w:t>或者有关主管部门的关键合规说明情况；</w:t>
      </w:r>
      <w:r>
        <w:rPr>
          <w:rFonts w:ascii="仿宋" w:hAnsi="仿宋" w:eastAsia="仿宋" w:cs="仿宋"/>
          <w:sz w:val="32"/>
          <w:szCs w:val="32"/>
        </w:rPr>
        <w:t>存在合规手续瑕疵的，基金管理人应当披露原因、合法合规性以及风险缓释措施，并在风险因素章节充分揭示风险；</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（四）土地使用权取得的合法性、有效性，土地使用权剩余期限；</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（五）土地实际用途、规划用途及其权证所载用途一致性情况</w:t>
      </w:r>
      <w:r>
        <w:rPr>
          <w:rFonts w:hint="eastAsia" w:ascii="仿宋" w:hAnsi="仿宋" w:eastAsia="仿宋" w:cs="仿宋"/>
          <w:sz w:val="32"/>
          <w:szCs w:val="32"/>
        </w:rPr>
        <w:t>；</w:t>
      </w:r>
      <w:r>
        <w:rPr>
          <w:rFonts w:ascii="仿宋" w:hAnsi="仿宋" w:eastAsia="仿宋" w:cs="仿宋"/>
          <w:sz w:val="32"/>
          <w:szCs w:val="32"/>
        </w:rPr>
        <w:t>存在差异的，</w:t>
      </w:r>
      <w:r>
        <w:rPr>
          <w:rFonts w:hint="eastAsia" w:ascii="仿宋" w:hAnsi="仿宋" w:eastAsia="仿宋" w:cs="仿宋"/>
          <w:sz w:val="32"/>
          <w:szCs w:val="32"/>
        </w:rPr>
        <w:t>基金管理人应当</w:t>
      </w:r>
      <w:r>
        <w:rPr>
          <w:rFonts w:ascii="仿宋" w:hAnsi="仿宋" w:eastAsia="仿宋" w:cs="仿宋"/>
          <w:sz w:val="32"/>
          <w:szCs w:val="32"/>
        </w:rPr>
        <w:t>披露原因</w:t>
      </w:r>
      <w:r>
        <w:rPr>
          <w:rFonts w:hint="eastAsia" w:ascii="仿宋" w:hAnsi="仿宋" w:eastAsia="仿宋" w:cs="仿宋"/>
          <w:sz w:val="32"/>
          <w:szCs w:val="32"/>
        </w:rPr>
        <w:t>、有关</w:t>
      </w:r>
      <w:r>
        <w:rPr>
          <w:rFonts w:ascii="仿宋" w:hAnsi="仿宋" w:eastAsia="仿宋" w:cs="仿宋"/>
          <w:sz w:val="32"/>
          <w:szCs w:val="32"/>
        </w:rPr>
        <w:t>法规政策依据（如有）</w:t>
      </w:r>
      <w:r>
        <w:rPr>
          <w:rFonts w:hint="eastAsia" w:ascii="仿宋" w:hAnsi="仿宋" w:eastAsia="仿宋" w:cs="仿宋"/>
          <w:sz w:val="32"/>
          <w:szCs w:val="32"/>
        </w:rPr>
        <w:t>以及</w:t>
      </w:r>
      <w:r>
        <w:rPr>
          <w:rFonts w:ascii="仿宋" w:hAnsi="仿宋" w:eastAsia="仿宋" w:cs="仿宋"/>
          <w:sz w:val="32"/>
          <w:szCs w:val="32"/>
        </w:rPr>
        <w:t>风险缓释措施，并在风险因素章节充分揭示风险；</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（六）经营资质取得情况、经营资质期限、有效性</w:t>
      </w:r>
      <w:r>
        <w:rPr>
          <w:rFonts w:hint="eastAsia" w:ascii="仿宋" w:hAnsi="仿宋" w:eastAsia="仿宋" w:cs="仿宋"/>
          <w:sz w:val="32"/>
          <w:szCs w:val="32"/>
        </w:rPr>
        <w:t>以及在不动产基金</w:t>
      </w:r>
      <w:r>
        <w:rPr>
          <w:rFonts w:ascii="仿宋" w:hAnsi="仿宋" w:eastAsia="仿宋" w:cs="仿宋"/>
          <w:sz w:val="32"/>
          <w:szCs w:val="32"/>
        </w:rPr>
        <w:t>存续期</w:t>
      </w:r>
      <w:r>
        <w:rPr>
          <w:rFonts w:hint="eastAsia" w:ascii="仿宋" w:hAnsi="仿宋" w:eastAsia="仿宋" w:cs="仿宋"/>
          <w:sz w:val="32"/>
          <w:szCs w:val="32"/>
        </w:rPr>
        <w:t>间的</w:t>
      </w:r>
      <w:r>
        <w:rPr>
          <w:rFonts w:ascii="仿宋" w:hAnsi="仿宋" w:eastAsia="仿宋" w:cs="仿宋"/>
          <w:sz w:val="32"/>
          <w:szCs w:val="32"/>
        </w:rPr>
        <w:t>展期安排（如有）</w:t>
      </w:r>
      <w:r>
        <w:rPr>
          <w:rFonts w:hint="eastAsia" w:ascii="仿宋" w:hAnsi="仿宋" w:eastAsia="仿宋" w:cs="仿宋"/>
          <w:sz w:val="32"/>
          <w:szCs w:val="32"/>
        </w:rPr>
        <w:t>；</w:t>
      </w:r>
      <w:r>
        <w:rPr>
          <w:rFonts w:ascii="仿宋" w:hAnsi="仿宋" w:eastAsia="仿宋" w:cs="仿宋"/>
          <w:sz w:val="32"/>
          <w:szCs w:val="32"/>
        </w:rPr>
        <w:t>存在经营资质期限无法覆盖基金存续期限的，基金管理人</w:t>
      </w:r>
      <w:r>
        <w:rPr>
          <w:rFonts w:hint="eastAsia" w:ascii="仿宋" w:hAnsi="仿宋" w:eastAsia="仿宋" w:cs="仿宋"/>
          <w:sz w:val="32"/>
          <w:szCs w:val="32"/>
        </w:rPr>
        <w:t>应当</w:t>
      </w:r>
      <w:r>
        <w:rPr>
          <w:rFonts w:ascii="仿宋" w:hAnsi="仿宋" w:eastAsia="仿宋" w:cs="仿宋"/>
          <w:sz w:val="32"/>
          <w:szCs w:val="32"/>
        </w:rPr>
        <w:t>披露风险缓释措施，并在风险因素章节充分揭示风险；</w:t>
      </w:r>
    </w:p>
    <w:p>
      <w:pPr>
        <w:widowControl/>
        <w:adjustRightInd w:val="0"/>
        <w:snapToGrid w:val="0"/>
        <w:spacing w:beforeLines="0" w:afterLines="0" w:line="560" w:lineRule="exact"/>
        <w:ind w:firstLine="640" w:firstLineChars="200"/>
        <w:rPr>
          <w:rFonts w:hint="default" w:ascii="仿宋" w:hAnsi="仿宋" w:eastAsia="仿宋" w:cs="仿宋"/>
          <w:sz w:val="32"/>
          <w:szCs w:val="32"/>
          <w:lang w:val="en-US"/>
        </w:rPr>
      </w:pPr>
      <w:r>
        <w:rPr>
          <w:rFonts w:ascii="仿宋" w:hAnsi="仿宋" w:eastAsia="仿宋" w:cs="仿宋"/>
          <w:sz w:val="32"/>
          <w:szCs w:val="32"/>
        </w:rPr>
        <w:t>（七）其他</w:t>
      </w:r>
      <w:r>
        <w:rPr>
          <w:rFonts w:hint="eastAsia" w:ascii="仿宋" w:hAnsi="仿宋" w:eastAsia="仿宋" w:cs="仿宋"/>
          <w:bCs/>
          <w:sz w:val="32"/>
          <w:szCs w:val="32"/>
          <w:highlight w:val="none"/>
          <w:u w:val="none"/>
          <w:lang w:val="en-US" w:eastAsia="zh-CN"/>
        </w:rPr>
        <w:t>能够实现权属合法有效转移、保障不动产项目持续稳定运营的合规文件取得情况；</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ascii="仿宋" w:hAnsi="仿宋" w:eastAsia="仿宋" w:cs="仿宋"/>
          <w:sz w:val="32"/>
          <w:szCs w:val="32"/>
        </w:rPr>
        <w:t>其他合规事项。</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2.2.1.3实现不动产项目资产功能所必需的、不可分割的相关附属设施、配套设施未纳入资产范围，</w:t>
      </w:r>
      <w:r>
        <w:rPr>
          <w:rFonts w:hint="eastAsia" w:ascii="仿宋" w:hAnsi="仿宋" w:eastAsia="仿宋" w:cs="仿宋"/>
          <w:sz w:val="32"/>
          <w:szCs w:val="32"/>
        </w:rPr>
        <w:t>或者</w:t>
      </w:r>
      <w:r>
        <w:rPr>
          <w:rFonts w:ascii="仿宋" w:hAnsi="仿宋" w:eastAsia="仿宋" w:cs="仿宋"/>
          <w:sz w:val="32"/>
          <w:szCs w:val="32"/>
        </w:rPr>
        <w:t>存在散售情形的，基金管理人</w:t>
      </w:r>
      <w:r>
        <w:rPr>
          <w:rFonts w:hint="eastAsia" w:ascii="仿宋" w:hAnsi="仿宋" w:eastAsia="仿宋" w:cs="仿宋"/>
          <w:sz w:val="32"/>
          <w:szCs w:val="32"/>
        </w:rPr>
        <w:t>应当</w:t>
      </w:r>
      <w:r>
        <w:rPr>
          <w:rFonts w:ascii="仿宋" w:hAnsi="仿宋" w:eastAsia="仿宋" w:cs="仿宋"/>
          <w:sz w:val="32"/>
          <w:szCs w:val="32"/>
        </w:rPr>
        <w:t>披露</w:t>
      </w:r>
      <w:r>
        <w:rPr>
          <w:rFonts w:hint="eastAsia" w:ascii="仿宋" w:hAnsi="仿宋" w:eastAsia="仿宋" w:cs="仿宋"/>
          <w:sz w:val="32"/>
          <w:szCs w:val="32"/>
        </w:rPr>
        <w:t>下列</w:t>
      </w:r>
      <w:r>
        <w:rPr>
          <w:rFonts w:ascii="仿宋" w:hAnsi="仿宋" w:eastAsia="仿宋" w:cs="仿宋"/>
          <w:sz w:val="32"/>
          <w:szCs w:val="32"/>
        </w:rPr>
        <w:t>事项：</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（一）相关设施未纳入资产范围的原因</w:t>
      </w:r>
      <w:r>
        <w:rPr>
          <w:rFonts w:hint="eastAsia" w:ascii="仿宋" w:hAnsi="仿宋" w:eastAsia="仿宋" w:cs="仿宋"/>
          <w:sz w:val="32"/>
          <w:szCs w:val="32"/>
        </w:rPr>
        <w:t>以及</w:t>
      </w:r>
      <w:r>
        <w:rPr>
          <w:rFonts w:ascii="仿宋" w:hAnsi="仿宋" w:eastAsia="仿宋" w:cs="仿宋"/>
          <w:sz w:val="32"/>
          <w:szCs w:val="32"/>
        </w:rPr>
        <w:t>合规性；不动产项目主要依托租赁收入的，管理人</w:t>
      </w:r>
      <w:r>
        <w:rPr>
          <w:rFonts w:hint="eastAsia" w:ascii="仿宋" w:hAnsi="仿宋" w:eastAsia="仿宋" w:cs="仿宋"/>
          <w:sz w:val="32"/>
          <w:szCs w:val="32"/>
        </w:rPr>
        <w:t>应当</w:t>
      </w:r>
      <w:r>
        <w:rPr>
          <w:rFonts w:ascii="仿宋" w:hAnsi="仿宋" w:eastAsia="仿宋" w:cs="仿宋"/>
          <w:sz w:val="32"/>
          <w:szCs w:val="32"/>
        </w:rPr>
        <w:t>披露产生租赁收入的单体建筑是否整体全部纳入资产范围</w:t>
      </w:r>
      <w:r>
        <w:rPr>
          <w:rFonts w:hint="eastAsia" w:ascii="仿宋" w:hAnsi="仿宋" w:eastAsia="仿宋" w:cs="仿宋"/>
          <w:sz w:val="32"/>
          <w:szCs w:val="32"/>
        </w:rPr>
        <w:t>，</w:t>
      </w:r>
      <w:r>
        <w:rPr>
          <w:rFonts w:ascii="仿宋" w:hAnsi="仿宋" w:eastAsia="仿宋" w:cs="仿宋"/>
          <w:sz w:val="32"/>
          <w:szCs w:val="32"/>
        </w:rPr>
        <w:t>如否，</w:t>
      </w:r>
      <w:r>
        <w:rPr>
          <w:rFonts w:hint="eastAsia" w:ascii="仿宋" w:hAnsi="仿宋" w:eastAsia="仿宋" w:cs="仿宋"/>
          <w:sz w:val="32"/>
          <w:szCs w:val="32"/>
        </w:rPr>
        <w:t>应当</w:t>
      </w:r>
      <w:r>
        <w:rPr>
          <w:rFonts w:ascii="仿宋" w:hAnsi="仿宋" w:eastAsia="仿宋" w:cs="仿宋"/>
          <w:sz w:val="32"/>
          <w:szCs w:val="32"/>
        </w:rPr>
        <w:t>披露未纳入部分资产的面积</w:t>
      </w:r>
      <w:r>
        <w:rPr>
          <w:rFonts w:hint="eastAsia" w:ascii="仿宋" w:hAnsi="仿宋" w:eastAsia="仿宋" w:cs="仿宋"/>
          <w:sz w:val="32"/>
          <w:szCs w:val="32"/>
        </w:rPr>
        <w:t>和</w:t>
      </w:r>
      <w:r>
        <w:rPr>
          <w:rFonts w:ascii="仿宋" w:hAnsi="仿宋" w:eastAsia="仿宋" w:cs="仿宋"/>
          <w:sz w:val="32"/>
          <w:szCs w:val="32"/>
        </w:rPr>
        <w:t>比例；</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（二）相关资产后续使用、维护</w:t>
      </w:r>
      <w:r>
        <w:rPr>
          <w:rFonts w:hint="eastAsia" w:ascii="仿宋" w:hAnsi="仿宋" w:eastAsia="仿宋" w:cs="仿宋"/>
          <w:sz w:val="32"/>
          <w:szCs w:val="32"/>
        </w:rPr>
        <w:t>和</w:t>
      </w:r>
      <w:r>
        <w:rPr>
          <w:rFonts w:ascii="仿宋" w:hAnsi="仿宋" w:eastAsia="仿宋" w:cs="仿宋"/>
          <w:sz w:val="32"/>
          <w:szCs w:val="32"/>
        </w:rPr>
        <w:t>权责划分安排；</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（三）相关安排对运营稳定性、现金流</w:t>
      </w:r>
      <w:r>
        <w:rPr>
          <w:rFonts w:hint="eastAsia" w:ascii="仿宋" w:hAnsi="仿宋" w:eastAsia="仿宋" w:cs="仿宋"/>
          <w:sz w:val="32"/>
          <w:szCs w:val="32"/>
        </w:rPr>
        <w:t>和</w:t>
      </w:r>
      <w:r>
        <w:rPr>
          <w:rFonts w:ascii="仿宋" w:hAnsi="仿宋" w:eastAsia="仿宋" w:cs="仿宋"/>
          <w:sz w:val="32"/>
          <w:szCs w:val="32"/>
        </w:rPr>
        <w:t>估值的影响分析；</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（四）相关安排的风险揭示</w:t>
      </w:r>
      <w:r>
        <w:rPr>
          <w:rFonts w:hint="eastAsia" w:ascii="仿宋" w:hAnsi="仿宋" w:eastAsia="仿宋" w:cs="仿宋"/>
          <w:sz w:val="32"/>
          <w:szCs w:val="32"/>
        </w:rPr>
        <w:t>和</w:t>
      </w:r>
      <w:r>
        <w:rPr>
          <w:rFonts w:ascii="仿宋" w:hAnsi="仿宋" w:eastAsia="仿宋" w:cs="仿宋"/>
          <w:sz w:val="32"/>
          <w:szCs w:val="32"/>
        </w:rPr>
        <w:t>相关缓释措施。</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2.2.1.4项目公司与其他方共用</w:t>
      </w:r>
      <w:r>
        <w:rPr>
          <w:rFonts w:hint="eastAsia" w:ascii="仿宋" w:hAnsi="仿宋" w:eastAsia="仿宋" w:cs="仿宋"/>
          <w:sz w:val="32"/>
          <w:szCs w:val="32"/>
        </w:rPr>
        <w:t>、共有</w:t>
      </w:r>
      <w:r>
        <w:rPr>
          <w:rFonts w:ascii="仿宋" w:hAnsi="仿宋" w:eastAsia="仿宋" w:cs="仿宋"/>
          <w:sz w:val="32"/>
          <w:szCs w:val="32"/>
        </w:rPr>
        <w:t>资产的，基金管理人</w:t>
      </w:r>
      <w:r>
        <w:rPr>
          <w:rFonts w:hint="eastAsia" w:ascii="仿宋" w:hAnsi="仿宋" w:eastAsia="仿宋" w:cs="仿宋"/>
          <w:sz w:val="32"/>
          <w:szCs w:val="32"/>
        </w:rPr>
        <w:t>应当</w:t>
      </w:r>
      <w:r>
        <w:rPr>
          <w:rFonts w:ascii="仿宋" w:hAnsi="仿宋" w:eastAsia="仿宋" w:cs="仿宋"/>
          <w:sz w:val="32"/>
          <w:szCs w:val="32"/>
        </w:rPr>
        <w:t>披露</w:t>
      </w:r>
      <w:r>
        <w:rPr>
          <w:rFonts w:hint="eastAsia" w:ascii="仿宋" w:hAnsi="仿宋" w:eastAsia="仿宋" w:cs="仿宋"/>
          <w:sz w:val="32"/>
          <w:szCs w:val="32"/>
        </w:rPr>
        <w:t>下列</w:t>
      </w:r>
      <w:r>
        <w:rPr>
          <w:rFonts w:ascii="仿宋" w:hAnsi="仿宋" w:eastAsia="仿宋" w:cs="仿宋"/>
          <w:sz w:val="32"/>
          <w:szCs w:val="32"/>
        </w:rPr>
        <w:t>事项：</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（一）共用</w:t>
      </w:r>
      <w:r>
        <w:rPr>
          <w:rFonts w:hint="eastAsia" w:ascii="仿宋" w:hAnsi="仿宋" w:eastAsia="仿宋" w:cs="仿宋"/>
          <w:sz w:val="32"/>
          <w:szCs w:val="32"/>
        </w:rPr>
        <w:t>、共有</w:t>
      </w:r>
      <w:r>
        <w:rPr>
          <w:rFonts w:ascii="仿宋" w:hAnsi="仿宋" w:eastAsia="仿宋" w:cs="仿宋"/>
          <w:sz w:val="32"/>
          <w:szCs w:val="32"/>
        </w:rPr>
        <w:t>资产范围</w:t>
      </w:r>
      <w:r>
        <w:rPr>
          <w:rFonts w:hint="eastAsia" w:ascii="仿宋" w:hAnsi="仿宋" w:eastAsia="仿宋" w:cs="仿宋"/>
          <w:sz w:val="32"/>
          <w:szCs w:val="32"/>
        </w:rPr>
        <w:t>，</w:t>
      </w:r>
      <w:r>
        <w:rPr>
          <w:rFonts w:ascii="仿宋" w:hAnsi="仿宋" w:eastAsia="仿宋" w:cs="仿宋"/>
          <w:sz w:val="32"/>
          <w:szCs w:val="32"/>
        </w:rPr>
        <w:t>共用</w:t>
      </w:r>
      <w:r>
        <w:rPr>
          <w:rFonts w:hint="eastAsia" w:ascii="仿宋" w:hAnsi="仿宋" w:eastAsia="仿宋" w:cs="仿宋"/>
          <w:sz w:val="32"/>
          <w:szCs w:val="32"/>
        </w:rPr>
        <w:t>、共有</w:t>
      </w:r>
      <w:r>
        <w:rPr>
          <w:rFonts w:ascii="仿宋" w:hAnsi="仿宋" w:eastAsia="仿宋" w:cs="仿宋"/>
          <w:sz w:val="32"/>
          <w:szCs w:val="32"/>
        </w:rPr>
        <w:t>原因</w:t>
      </w:r>
      <w:r>
        <w:rPr>
          <w:rFonts w:hint="eastAsia" w:ascii="仿宋" w:hAnsi="仿宋" w:eastAsia="仿宋" w:cs="仿宋"/>
          <w:sz w:val="32"/>
          <w:szCs w:val="32"/>
        </w:rPr>
        <w:t>以及</w:t>
      </w:r>
      <w:r>
        <w:rPr>
          <w:rFonts w:ascii="仿宋" w:hAnsi="仿宋" w:eastAsia="仿宋" w:cs="仿宋"/>
          <w:sz w:val="32"/>
          <w:szCs w:val="32"/>
        </w:rPr>
        <w:t>合规性；</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（二）共用</w:t>
      </w:r>
      <w:r>
        <w:rPr>
          <w:rFonts w:hint="eastAsia" w:ascii="仿宋" w:hAnsi="仿宋" w:eastAsia="仿宋" w:cs="仿宋"/>
          <w:sz w:val="32"/>
          <w:szCs w:val="32"/>
        </w:rPr>
        <w:t>、共有</w:t>
      </w:r>
      <w:r>
        <w:rPr>
          <w:rFonts w:ascii="仿宋" w:hAnsi="仿宋" w:eastAsia="仿宋" w:cs="仿宋"/>
          <w:sz w:val="32"/>
          <w:szCs w:val="32"/>
        </w:rPr>
        <w:t>资产存续期</w:t>
      </w:r>
      <w:r>
        <w:rPr>
          <w:rFonts w:hint="eastAsia" w:ascii="仿宋" w:hAnsi="仿宋" w:eastAsia="仿宋" w:cs="仿宋"/>
          <w:sz w:val="32"/>
          <w:szCs w:val="32"/>
        </w:rPr>
        <w:t>间</w:t>
      </w:r>
      <w:r>
        <w:rPr>
          <w:rFonts w:ascii="仿宋" w:hAnsi="仿宋" w:eastAsia="仿宋" w:cs="仿宋"/>
          <w:sz w:val="32"/>
          <w:szCs w:val="32"/>
        </w:rPr>
        <w:t>的运营权责划分</w:t>
      </w:r>
      <w:r>
        <w:rPr>
          <w:rFonts w:hint="eastAsia" w:ascii="仿宋" w:hAnsi="仿宋" w:eastAsia="仿宋" w:cs="仿宋"/>
          <w:sz w:val="32"/>
          <w:szCs w:val="32"/>
        </w:rPr>
        <w:t>和</w:t>
      </w:r>
      <w:r>
        <w:rPr>
          <w:rFonts w:ascii="仿宋" w:hAnsi="仿宋" w:eastAsia="仿宋" w:cs="仿宋"/>
          <w:sz w:val="32"/>
          <w:szCs w:val="32"/>
        </w:rPr>
        <w:t>管理安排；</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（三）共用</w:t>
      </w:r>
      <w:r>
        <w:rPr>
          <w:rFonts w:hint="eastAsia" w:ascii="仿宋" w:hAnsi="仿宋" w:eastAsia="仿宋" w:cs="仿宋"/>
          <w:sz w:val="32"/>
          <w:szCs w:val="32"/>
        </w:rPr>
        <w:t>、共有</w:t>
      </w:r>
      <w:r>
        <w:rPr>
          <w:rFonts w:ascii="仿宋" w:hAnsi="仿宋" w:eastAsia="仿宋" w:cs="仿宋"/>
          <w:sz w:val="32"/>
          <w:szCs w:val="32"/>
        </w:rPr>
        <w:t>资产未纳入资产范围的原因（如有）</w:t>
      </w:r>
      <w:r>
        <w:rPr>
          <w:rFonts w:hint="eastAsia" w:ascii="仿宋" w:hAnsi="仿宋" w:eastAsia="仿宋" w:cs="仿宋"/>
          <w:sz w:val="32"/>
          <w:szCs w:val="32"/>
        </w:rPr>
        <w:t>以及</w:t>
      </w:r>
      <w:r>
        <w:rPr>
          <w:rFonts w:ascii="仿宋" w:hAnsi="仿宋" w:eastAsia="仿宋" w:cs="仿宋"/>
          <w:sz w:val="32"/>
          <w:szCs w:val="32"/>
        </w:rPr>
        <w:t>对运营稳定的影响；</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（四）对现金流</w:t>
      </w:r>
      <w:r>
        <w:rPr>
          <w:rFonts w:hint="eastAsia" w:ascii="仿宋" w:hAnsi="仿宋" w:eastAsia="仿宋" w:cs="仿宋"/>
          <w:sz w:val="32"/>
          <w:szCs w:val="32"/>
        </w:rPr>
        <w:t>和</w:t>
      </w:r>
      <w:r>
        <w:rPr>
          <w:rFonts w:ascii="仿宋" w:hAnsi="仿宋" w:eastAsia="仿宋" w:cs="仿宋"/>
          <w:sz w:val="32"/>
          <w:szCs w:val="32"/>
        </w:rPr>
        <w:t>估值的具体影响；</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（五）风险揭示</w:t>
      </w:r>
      <w:r>
        <w:rPr>
          <w:rFonts w:hint="eastAsia" w:ascii="仿宋" w:hAnsi="仿宋" w:eastAsia="仿宋" w:cs="仿宋"/>
          <w:sz w:val="32"/>
          <w:szCs w:val="32"/>
        </w:rPr>
        <w:t>和</w:t>
      </w:r>
      <w:r>
        <w:rPr>
          <w:rFonts w:ascii="仿宋" w:hAnsi="仿宋" w:eastAsia="仿宋" w:cs="仿宋"/>
          <w:sz w:val="32"/>
          <w:szCs w:val="32"/>
        </w:rPr>
        <w:t>相关缓释措施。</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2.2.1.5基金管理人</w:t>
      </w:r>
      <w:r>
        <w:rPr>
          <w:rFonts w:hint="eastAsia" w:ascii="仿宋" w:hAnsi="仿宋" w:eastAsia="仿宋" w:cs="仿宋"/>
          <w:sz w:val="32"/>
          <w:szCs w:val="32"/>
        </w:rPr>
        <w:t>应当</w:t>
      </w:r>
      <w:r>
        <w:rPr>
          <w:rFonts w:ascii="仿宋" w:hAnsi="仿宋" w:eastAsia="仿宋" w:cs="仿宋"/>
          <w:sz w:val="32"/>
          <w:szCs w:val="32"/>
        </w:rPr>
        <w:t>披露不动产项目转让</w:t>
      </w:r>
      <w:r>
        <w:rPr>
          <w:rFonts w:hint="eastAsia" w:ascii="仿宋" w:hAnsi="仿宋" w:eastAsia="仿宋" w:cs="仿宋"/>
          <w:sz w:val="32"/>
          <w:szCs w:val="32"/>
        </w:rPr>
        <w:t>有关</w:t>
      </w:r>
      <w:r>
        <w:rPr>
          <w:rFonts w:ascii="仿宋" w:hAnsi="仿宋" w:eastAsia="仿宋" w:cs="仿宋"/>
          <w:sz w:val="32"/>
          <w:szCs w:val="32"/>
        </w:rPr>
        <w:t>事项，包括：</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（一）原始权益人转让不动产项目是否获得了合法有效的授权</w:t>
      </w:r>
      <w:r>
        <w:rPr>
          <w:rFonts w:hint="eastAsia" w:ascii="仿宋" w:hAnsi="仿宋" w:eastAsia="仿宋" w:cs="仿宋"/>
          <w:sz w:val="32"/>
          <w:szCs w:val="32"/>
        </w:rPr>
        <w:t>以及</w:t>
      </w:r>
      <w:r>
        <w:rPr>
          <w:rFonts w:ascii="仿宋" w:hAnsi="仿宋" w:eastAsia="仿宋" w:cs="仿宋"/>
          <w:sz w:val="32"/>
          <w:szCs w:val="32"/>
        </w:rPr>
        <w:t>外部有权机构审批（如有）；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w:t>
      </w:r>
      <w:r>
        <w:rPr>
          <w:rFonts w:hint="eastAsia" w:ascii="仿宋" w:hAnsi="仿宋" w:eastAsia="仿宋" w:cs="仿宋"/>
          <w:sz w:val="32"/>
          <w:szCs w:val="32"/>
        </w:rPr>
        <w:t>有关</w:t>
      </w:r>
      <w:r>
        <w:rPr>
          <w:rFonts w:ascii="仿宋" w:hAnsi="仿宋" w:eastAsia="仿宋" w:cs="仿宋"/>
          <w:sz w:val="32"/>
          <w:szCs w:val="32"/>
        </w:rPr>
        <w:t>法律法规</w:t>
      </w:r>
      <w:r>
        <w:rPr>
          <w:rFonts w:hint="eastAsia" w:ascii="仿宋" w:hAnsi="仿宋" w:eastAsia="仿宋" w:cs="仿宋"/>
          <w:sz w:val="32"/>
          <w:szCs w:val="32"/>
        </w:rPr>
        <w:t>以及</w:t>
      </w:r>
      <w:r>
        <w:rPr>
          <w:rFonts w:ascii="仿宋" w:hAnsi="仿宋" w:eastAsia="仿宋" w:cs="仿宋"/>
          <w:sz w:val="32"/>
          <w:szCs w:val="32"/>
        </w:rPr>
        <w:t>协议文件对不动产项目土地使用权、资产、项目公司股权、特许经营权、经营收益权的转让限制情况（如有）</w:t>
      </w:r>
      <w:r>
        <w:rPr>
          <w:rFonts w:hint="eastAsia" w:ascii="仿宋" w:hAnsi="仿宋" w:eastAsia="仿宋" w:cs="仿宋"/>
          <w:sz w:val="32"/>
          <w:szCs w:val="32"/>
        </w:rPr>
        <w:t>以及</w:t>
      </w:r>
      <w:r>
        <w:rPr>
          <w:rFonts w:ascii="仿宋" w:hAnsi="仿宋" w:eastAsia="仿宋" w:cs="仿宋"/>
          <w:sz w:val="32"/>
          <w:szCs w:val="32"/>
        </w:rPr>
        <w:t>主管部门或者相关权利方明确同意转让的证明。</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基金存续期间以及清算时，不动产项目可能面临限制转让情形的，基金管理人</w:t>
      </w:r>
      <w:r>
        <w:rPr>
          <w:rFonts w:hint="eastAsia" w:ascii="仿宋" w:hAnsi="仿宋" w:eastAsia="仿宋" w:cs="仿宋"/>
          <w:sz w:val="32"/>
          <w:szCs w:val="32"/>
        </w:rPr>
        <w:t>应当</w:t>
      </w:r>
      <w:r>
        <w:rPr>
          <w:rFonts w:ascii="仿宋" w:hAnsi="仿宋" w:eastAsia="仿宋" w:cs="仿宋"/>
          <w:sz w:val="32"/>
          <w:szCs w:val="32"/>
        </w:rPr>
        <w:t>披露风险缓释措施，并在风险因素章节充分揭示风险。</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2.2.1.6基金管理人应当披露不动产基金到期后相关资产移交和处置安排。</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如</w:t>
      </w:r>
      <w:r>
        <w:rPr>
          <w:rFonts w:hint="eastAsia" w:ascii="仿宋" w:hAnsi="仿宋" w:eastAsia="仿宋" w:cs="仿宋"/>
          <w:sz w:val="32"/>
          <w:szCs w:val="32"/>
        </w:rPr>
        <w:t>果</w:t>
      </w:r>
      <w:r>
        <w:rPr>
          <w:rFonts w:ascii="仿宋" w:hAnsi="仿宋" w:eastAsia="仿宋" w:cs="仿宋"/>
          <w:sz w:val="32"/>
          <w:szCs w:val="32"/>
        </w:rPr>
        <w:t>不动产项目相关资产或者经营权存在被主管部门提前收回的风险，基金管理人</w:t>
      </w:r>
      <w:r>
        <w:rPr>
          <w:rFonts w:hint="eastAsia" w:ascii="仿宋" w:hAnsi="仿宋" w:eastAsia="仿宋" w:cs="仿宋"/>
          <w:sz w:val="32"/>
          <w:szCs w:val="32"/>
        </w:rPr>
        <w:t>应当</w:t>
      </w:r>
      <w:r>
        <w:rPr>
          <w:rFonts w:ascii="仿宋" w:hAnsi="仿宋" w:eastAsia="仿宋" w:cs="仿宋"/>
          <w:sz w:val="32"/>
          <w:szCs w:val="32"/>
        </w:rPr>
        <w:t>披露相关的投资者利益保护机制，包括回购价款的支付条件、回购价款与不动产项目估值之间的关联性、对投资者收益的影响等。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2.2.1.7基金管理人</w:t>
      </w:r>
      <w:r>
        <w:rPr>
          <w:rFonts w:hint="eastAsia" w:ascii="仿宋" w:hAnsi="仿宋" w:eastAsia="仿宋" w:cs="仿宋"/>
          <w:sz w:val="32"/>
          <w:szCs w:val="32"/>
        </w:rPr>
        <w:t>应当</w:t>
      </w:r>
      <w:r>
        <w:rPr>
          <w:rFonts w:ascii="仿宋" w:hAnsi="仿宋" w:eastAsia="仿宋" w:cs="仿宋"/>
          <w:sz w:val="32"/>
          <w:szCs w:val="32"/>
        </w:rPr>
        <w:t>披露项目公司的基本情况，包括：</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财务会计制度和财务管理制度；</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ascii="仿宋" w:hAnsi="仿宋" w:eastAsia="仿宋" w:cs="仿宋"/>
          <w:sz w:val="32"/>
          <w:szCs w:val="32"/>
        </w:rPr>
        <w:t>资产独立性</w:t>
      </w:r>
      <w:r>
        <w:rPr>
          <w:rFonts w:hint="eastAsia" w:ascii="仿宋" w:hAnsi="仿宋" w:eastAsia="仿宋" w:cs="仿宋"/>
          <w:sz w:val="32"/>
          <w:szCs w:val="32"/>
        </w:rPr>
        <w:t>和</w:t>
      </w:r>
      <w:r>
        <w:rPr>
          <w:rFonts w:ascii="仿宋" w:hAnsi="仿宋" w:eastAsia="仿宋" w:cs="仿宋"/>
          <w:sz w:val="32"/>
          <w:szCs w:val="32"/>
        </w:rPr>
        <w:t>财务独立性；</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（三）</w:t>
      </w:r>
      <w:r>
        <w:rPr>
          <w:rFonts w:ascii="仿宋" w:hAnsi="仿宋" w:eastAsia="仿宋" w:cs="仿宋"/>
          <w:sz w:val="32"/>
          <w:szCs w:val="32"/>
        </w:rPr>
        <w:t>是否合法且完全持有不动产的所有权或者经营权利；</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（四）</w:t>
      </w:r>
      <w:r>
        <w:rPr>
          <w:rFonts w:ascii="仿宋" w:hAnsi="仿宋" w:eastAsia="仿宋" w:cs="仿宋"/>
          <w:sz w:val="32"/>
          <w:szCs w:val="32"/>
        </w:rPr>
        <w:t>是否存在重大违法、违规</w:t>
      </w:r>
      <w:r>
        <w:rPr>
          <w:rFonts w:hint="eastAsia" w:ascii="仿宋" w:hAnsi="仿宋" w:eastAsia="仿宋" w:cs="仿宋"/>
          <w:sz w:val="32"/>
          <w:szCs w:val="32"/>
        </w:rPr>
        <w:t>或者</w:t>
      </w:r>
      <w:r>
        <w:rPr>
          <w:rFonts w:ascii="仿宋" w:hAnsi="仿宋" w:eastAsia="仿宋" w:cs="仿宋"/>
          <w:sz w:val="32"/>
          <w:szCs w:val="32"/>
        </w:rPr>
        <w:t>不诚信行为，是否被认定为失信被执行人</w:t>
      </w:r>
      <w:r>
        <w:rPr>
          <w:rFonts w:hint="eastAsia" w:ascii="仿宋" w:hAnsi="仿宋" w:eastAsia="仿宋" w:cs="仿宋"/>
          <w:sz w:val="32"/>
          <w:szCs w:val="32"/>
        </w:rPr>
        <w:t>，</w:t>
      </w:r>
      <w:r>
        <w:rPr>
          <w:rFonts w:ascii="仿宋" w:hAnsi="仿宋" w:eastAsia="仿宋" w:cs="仿宋"/>
          <w:sz w:val="32"/>
          <w:szCs w:val="32"/>
        </w:rPr>
        <w:t>是否受到过行政处罚以及相应的整改情况。</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不动产基金设立前后，项目公司</w:t>
      </w:r>
      <w:r>
        <w:rPr>
          <w:rFonts w:hint="eastAsia" w:ascii="仿宋" w:hAnsi="仿宋" w:eastAsia="仿宋" w:cs="仿宋"/>
          <w:sz w:val="32"/>
          <w:szCs w:val="32"/>
        </w:rPr>
        <w:t>核心</w:t>
      </w:r>
      <w:r>
        <w:rPr>
          <w:rFonts w:ascii="仿宋" w:hAnsi="仿宋" w:eastAsia="仿宋" w:cs="仿宋"/>
          <w:sz w:val="32"/>
          <w:szCs w:val="32"/>
        </w:rPr>
        <w:t>人员、财务、运营等存在变化的，</w:t>
      </w:r>
      <w:r>
        <w:rPr>
          <w:rFonts w:hint="eastAsia" w:ascii="仿宋" w:hAnsi="仿宋" w:eastAsia="仿宋" w:cs="仿宋"/>
          <w:sz w:val="32"/>
          <w:szCs w:val="32"/>
        </w:rPr>
        <w:t>应当</w:t>
      </w:r>
      <w:r>
        <w:rPr>
          <w:rFonts w:ascii="仿宋" w:hAnsi="仿宋" w:eastAsia="仿宋" w:cs="仿宋"/>
          <w:sz w:val="32"/>
          <w:szCs w:val="32"/>
        </w:rPr>
        <w:t>分析披露相关安排能否满足不动产基金正常运作需要。如</w:t>
      </w:r>
      <w:r>
        <w:rPr>
          <w:rFonts w:hint="eastAsia" w:ascii="仿宋" w:hAnsi="仿宋" w:eastAsia="仿宋" w:cs="仿宋"/>
          <w:sz w:val="32"/>
          <w:szCs w:val="32"/>
        </w:rPr>
        <w:t>果</w:t>
      </w:r>
      <w:r>
        <w:rPr>
          <w:rFonts w:ascii="仿宋" w:hAnsi="仿宋" w:eastAsia="仿宋" w:cs="仿宋"/>
          <w:sz w:val="32"/>
          <w:szCs w:val="32"/>
        </w:rPr>
        <w:t>存在重组情况，</w:t>
      </w:r>
      <w:r>
        <w:rPr>
          <w:rFonts w:hint="eastAsia" w:ascii="仿宋" w:hAnsi="仿宋" w:eastAsia="仿宋" w:cs="仿宋"/>
          <w:sz w:val="32"/>
          <w:szCs w:val="32"/>
        </w:rPr>
        <w:t>应当</w:t>
      </w:r>
      <w:r>
        <w:rPr>
          <w:rFonts w:ascii="仿宋" w:hAnsi="仿宋" w:eastAsia="仿宋" w:cs="仿宋"/>
          <w:sz w:val="32"/>
          <w:szCs w:val="32"/>
        </w:rPr>
        <w:t>披露已完成事宜的情况、未完成事宜的情况及其原因、后续重组事项（包括但不限于工商变更登记、资产交割、印章</w:t>
      </w:r>
      <w:r>
        <w:rPr>
          <w:rFonts w:hint="eastAsia" w:ascii="仿宋" w:hAnsi="仿宋" w:eastAsia="仿宋" w:cs="仿宋"/>
          <w:sz w:val="32"/>
          <w:szCs w:val="32"/>
        </w:rPr>
        <w:t>和</w:t>
      </w:r>
      <w:r>
        <w:rPr>
          <w:rFonts w:ascii="仿宋" w:hAnsi="仿宋" w:eastAsia="仿宋" w:cs="仿宋"/>
          <w:sz w:val="32"/>
          <w:szCs w:val="32"/>
        </w:rPr>
        <w:t>档案等文件资料移交、劳动关系调整、资质申请、业务合同换签等方面）的具体安排</w:t>
      </w:r>
      <w:r>
        <w:rPr>
          <w:rFonts w:hint="eastAsia" w:ascii="仿宋" w:hAnsi="仿宋" w:eastAsia="仿宋" w:cs="仿宋"/>
          <w:sz w:val="32"/>
          <w:szCs w:val="32"/>
        </w:rPr>
        <w:t>和</w:t>
      </w:r>
      <w:r>
        <w:rPr>
          <w:rFonts w:ascii="仿宋" w:hAnsi="仿宋" w:eastAsia="仿宋" w:cs="仿宋"/>
          <w:sz w:val="32"/>
          <w:szCs w:val="32"/>
        </w:rPr>
        <w:t>预期重组完成的时间。</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2.2.1.8基金管理人</w:t>
      </w:r>
      <w:r>
        <w:rPr>
          <w:rFonts w:hint="eastAsia" w:ascii="仿宋" w:hAnsi="仿宋" w:eastAsia="仿宋" w:cs="仿宋"/>
          <w:sz w:val="32"/>
          <w:szCs w:val="32"/>
        </w:rPr>
        <w:t>应当</w:t>
      </w:r>
      <w:r>
        <w:rPr>
          <w:rFonts w:ascii="仿宋" w:hAnsi="仿宋" w:eastAsia="仿宋" w:cs="仿宋"/>
          <w:sz w:val="32"/>
          <w:szCs w:val="32"/>
        </w:rPr>
        <w:t>披露不动产项目的经营模式，包括：</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业务基本情况；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ascii="仿宋" w:hAnsi="仿宋" w:eastAsia="仿宋" w:cs="仿宋"/>
          <w:sz w:val="32"/>
          <w:szCs w:val="32"/>
        </w:rPr>
        <w:t>盈利模式概况</w:t>
      </w:r>
      <w:r>
        <w:rPr>
          <w:rFonts w:hint="eastAsia" w:ascii="仿宋" w:hAnsi="仿宋" w:eastAsia="仿宋" w:cs="仿宋"/>
          <w:sz w:val="32"/>
          <w:szCs w:val="32"/>
        </w:rPr>
        <w:t>和</w:t>
      </w:r>
      <w:r>
        <w:rPr>
          <w:rFonts w:ascii="仿宋" w:hAnsi="仿宋" w:eastAsia="仿宋" w:cs="仿宋"/>
          <w:sz w:val="32"/>
          <w:szCs w:val="32"/>
        </w:rPr>
        <w:t>主要运营策略；</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（三）</w:t>
      </w:r>
      <w:r>
        <w:rPr>
          <w:rFonts w:ascii="仿宋" w:hAnsi="仿宋" w:eastAsia="仿宋" w:cs="仿宋"/>
          <w:sz w:val="32"/>
          <w:szCs w:val="32"/>
        </w:rPr>
        <w:t>运营管理</w:t>
      </w:r>
      <w:r>
        <w:rPr>
          <w:rFonts w:hint="eastAsia" w:ascii="仿宋" w:hAnsi="仿宋" w:eastAsia="仿宋" w:cs="仿宋"/>
          <w:sz w:val="32"/>
          <w:szCs w:val="32"/>
        </w:rPr>
        <w:t>和</w:t>
      </w:r>
      <w:r>
        <w:rPr>
          <w:rFonts w:ascii="仿宋" w:hAnsi="仿宋" w:eastAsia="仿宋" w:cs="仿宋"/>
          <w:sz w:val="32"/>
          <w:szCs w:val="32"/>
        </w:rPr>
        <w:t>现金流归集安排；</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（四）</w:t>
      </w:r>
      <w:r>
        <w:rPr>
          <w:rFonts w:ascii="仿宋" w:hAnsi="仿宋" w:eastAsia="仿宋" w:cs="仿宋"/>
          <w:sz w:val="32"/>
          <w:szCs w:val="32"/>
        </w:rPr>
        <w:t>项目运营未来展望。</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2.2.1.9不动产项目存在重要现金流提供方的，基金管理人</w:t>
      </w:r>
      <w:r>
        <w:rPr>
          <w:rFonts w:hint="eastAsia" w:ascii="仿宋" w:hAnsi="仿宋" w:eastAsia="仿宋" w:cs="仿宋"/>
          <w:sz w:val="32"/>
          <w:szCs w:val="32"/>
        </w:rPr>
        <w:t>应当</w:t>
      </w:r>
      <w:r>
        <w:rPr>
          <w:rFonts w:ascii="仿宋" w:hAnsi="仿宋" w:eastAsia="仿宋" w:cs="仿宋"/>
          <w:sz w:val="32"/>
          <w:szCs w:val="32"/>
        </w:rPr>
        <w:t>披露重要现金流提供方的</w:t>
      </w:r>
      <w:r>
        <w:rPr>
          <w:rFonts w:hint="eastAsia" w:ascii="仿宋" w:hAnsi="仿宋" w:eastAsia="仿宋" w:cs="仿宋"/>
          <w:sz w:val="32"/>
          <w:szCs w:val="32"/>
        </w:rPr>
        <w:t>有关</w:t>
      </w:r>
      <w:r>
        <w:rPr>
          <w:rFonts w:ascii="仿宋" w:hAnsi="仿宋" w:eastAsia="仿宋" w:cs="仿宋"/>
          <w:sz w:val="32"/>
          <w:szCs w:val="32"/>
        </w:rPr>
        <w:t>情况，包括：</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基本情况；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ascii="仿宋" w:hAnsi="仿宋" w:eastAsia="仿宋" w:cs="仿宋"/>
          <w:sz w:val="32"/>
          <w:szCs w:val="32"/>
        </w:rPr>
        <w:t>主营业务情况；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（三）</w:t>
      </w:r>
      <w:r>
        <w:rPr>
          <w:rFonts w:ascii="仿宋" w:hAnsi="仿宋" w:eastAsia="仿宋" w:cs="仿宋"/>
          <w:sz w:val="32"/>
          <w:szCs w:val="32"/>
        </w:rPr>
        <w:t>经营情况；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（四）财务状况（如有）；</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（五）</w:t>
      </w:r>
      <w:r>
        <w:rPr>
          <w:rFonts w:ascii="仿宋" w:hAnsi="仿宋" w:eastAsia="仿宋" w:cs="仿宋"/>
          <w:sz w:val="32"/>
          <w:szCs w:val="32"/>
        </w:rPr>
        <w:t>公司主体评级情况（如有）；</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（六）</w:t>
      </w:r>
      <w:r>
        <w:rPr>
          <w:rFonts w:ascii="仿宋" w:hAnsi="仿宋" w:eastAsia="仿宋" w:cs="仿宋"/>
          <w:sz w:val="32"/>
          <w:szCs w:val="32"/>
        </w:rPr>
        <w:t>与原始权益人的关联关系</w:t>
      </w:r>
      <w:r>
        <w:rPr>
          <w:rFonts w:hint="eastAsia" w:ascii="仿宋" w:hAnsi="仿宋" w:eastAsia="仿宋" w:cs="仿宋"/>
          <w:sz w:val="32"/>
          <w:szCs w:val="32"/>
        </w:rPr>
        <w:t>和</w:t>
      </w:r>
      <w:r>
        <w:rPr>
          <w:rFonts w:ascii="仿宋" w:hAnsi="仿宋" w:eastAsia="仿宋" w:cs="仿宋"/>
          <w:sz w:val="32"/>
          <w:szCs w:val="32"/>
        </w:rPr>
        <w:t>过往业务合作情况；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（七）</w:t>
      </w:r>
      <w:r>
        <w:rPr>
          <w:rFonts w:ascii="仿宋" w:hAnsi="仿宋" w:eastAsia="仿宋" w:cs="仿宋"/>
          <w:sz w:val="32"/>
          <w:szCs w:val="32"/>
        </w:rPr>
        <w:t>历史支付义务履行情况（如有）；</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（八）</w:t>
      </w:r>
      <w:r>
        <w:rPr>
          <w:rFonts w:ascii="仿宋" w:hAnsi="仿宋" w:eastAsia="仿宋" w:cs="仿宋"/>
          <w:sz w:val="32"/>
          <w:szCs w:val="32"/>
        </w:rPr>
        <w:t>最近</w:t>
      </w:r>
      <w:r>
        <w:rPr>
          <w:rFonts w:hint="eastAsia" w:ascii="仿宋" w:hAnsi="仿宋" w:eastAsia="仿宋" w:cs="仿宋"/>
          <w:sz w:val="32"/>
          <w:szCs w:val="32"/>
        </w:rPr>
        <w:t>3</w:t>
      </w:r>
      <w:r>
        <w:rPr>
          <w:rFonts w:ascii="仿宋" w:hAnsi="仿宋" w:eastAsia="仿宋" w:cs="仿宋"/>
          <w:sz w:val="32"/>
          <w:szCs w:val="32"/>
        </w:rPr>
        <w:t>年内是否存在因严重违法失信行为，被有权部门认定为失信被执行人、重大税收违法案件当事人</w:t>
      </w:r>
      <w:r>
        <w:rPr>
          <w:rFonts w:hint="eastAsia" w:ascii="仿宋" w:hAnsi="仿宋" w:eastAsia="仿宋" w:cs="仿宋"/>
          <w:sz w:val="32"/>
          <w:szCs w:val="32"/>
        </w:rPr>
        <w:t>或者</w:t>
      </w:r>
      <w:r>
        <w:rPr>
          <w:rFonts w:ascii="仿宋" w:hAnsi="仿宋" w:eastAsia="仿宋" w:cs="仿宋"/>
          <w:sz w:val="32"/>
          <w:szCs w:val="32"/>
        </w:rPr>
        <w:t>涉及金融严重失信人的情形；</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（九）</w:t>
      </w:r>
      <w:r>
        <w:rPr>
          <w:rFonts w:ascii="仿宋" w:hAnsi="仿宋" w:eastAsia="仿宋" w:cs="仿宋"/>
          <w:sz w:val="32"/>
          <w:szCs w:val="32"/>
        </w:rPr>
        <w:t>现金流占比</w:t>
      </w:r>
      <w:r>
        <w:rPr>
          <w:rFonts w:hint="eastAsia" w:ascii="仿宋" w:hAnsi="仿宋" w:eastAsia="仿宋" w:cs="仿宋"/>
          <w:sz w:val="32"/>
          <w:szCs w:val="32"/>
        </w:rPr>
        <w:t>、</w:t>
      </w:r>
      <w:r>
        <w:rPr>
          <w:rFonts w:ascii="仿宋" w:hAnsi="仿宋" w:eastAsia="仿宋" w:cs="仿宋"/>
          <w:sz w:val="32"/>
          <w:szCs w:val="32"/>
        </w:rPr>
        <w:t>租赁面积占比（如有）</w:t>
      </w:r>
      <w:r>
        <w:rPr>
          <w:rFonts w:hint="eastAsia" w:ascii="仿宋" w:hAnsi="仿宋" w:eastAsia="仿宋" w:cs="仿宋"/>
          <w:sz w:val="32"/>
          <w:szCs w:val="32"/>
        </w:rPr>
        <w:t>、</w:t>
      </w:r>
      <w:r>
        <w:rPr>
          <w:rFonts w:hint="eastAsia" w:ascii="仿宋" w:hAnsi="仿宋" w:eastAsia="仿宋" w:cs="仿宋"/>
          <w:sz w:val="32"/>
          <w:szCs w:val="32"/>
          <w:lang w:val="en-US" w:eastAsia="zh-CN"/>
        </w:rPr>
        <w:t>有</w:t>
      </w:r>
      <w:r>
        <w:rPr>
          <w:rFonts w:ascii="仿宋" w:hAnsi="仿宋" w:eastAsia="仿宋" w:cs="仿宋"/>
          <w:sz w:val="32"/>
          <w:szCs w:val="32"/>
        </w:rPr>
        <w:t>关协议期限</w:t>
      </w:r>
      <w:r>
        <w:rPr>
          <w:rFonts w:hint="eastAsia" w:ascii="仿宋" w:hAnsi="仿宋" w:eastAsia="仿宋" w:cs="仿宋"/>
          <w:sz w:val="32"/>
          <w:szCs w:val="32"/>
        </w:rPr>
        <w:t>、</w:t>
      </w:r>
      <w:r>
        <w:rPr>
          <w:rFonts w:ascii="仿宋" w:hAnsi="仿宋" w:eastAsia="仿宋" w:cs="仿宋"/>
          <w:sz w:val="32"/>
          <w:szCs w:val="32"/>
        </w:rPr>
        <w:t>续约安排（如有）</w:t>
      </w:r>
      <w:r>
        <w:rPr>
          <w:rFonts w:hint="eastAsia" w:ascii="仿宋" w:hAnsi="仿宋" w:eastAsia="仿宋" w:cs="仿宋"/>
          <w:sz w:val="32"/>
          <w:szCs w:val="32"/>
        </w:rPr>
        <w:t>、</w:t>
      </w:r>
      <w:r>
        <w:rPr>
          <w:rFonts w:ascii="仿宋" w:hAnsi="仿宋" w:eastAsia="仿宋" w:cs="仿宋"/>
          <w:sz w:val="32"/>
          <w:szCs w:val="32"/>
        </w:rPr>
        <w:t>租金收缴率（如有）</w:t>
      </w:r>
      <w:r>
        <w:rPr>
          <w:rFonts w:hint="eastAsia" w:ascii="仿宋" w:hAnsi="仿宋" w:eastAsia="仿宋" w:cs="仿宋"/>
          <w:sz w:val="32"/>
          <w:szCs w:val="32"/>
        </w:rPr>
        <w:t>、</w:t>
      </w:r>
      <w:r>
        <w:rPr>
          <w:rFonts w:ascii="仿宋" w:hAnsi="仿宋" w:eastAsia="仿宋" w:cs="仿宋"/>
          <w:sz w:val="32"/>
          <w:szCs w:val="32"/>
        </w:rPr>
        <w:t>定制化服务等情况。</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结合重要现金流提供方的可替代性等情况，说明不动产项目运营的稳定性，披露风险缓释措施（如有），并在风险因素章节充分揭示相关风险（如有）。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2.2.1.10基金管理人</w:t>
      </w:r>
      <w:r>
        <w:rPr>
          <w:rFonts w:hint="eastAsia" w:ascii="仿宋" w:hAnsi="仿宋" w:eastAsia="仿宋" w:cs="仿宋"/>
          <w:sz w:val="32"/>
          <w:szCs w:val="32"/>
        </w:rPr>
        <w:t>应当</w:t>
      </w:r>
      <w:r>
        <w:rPr>
          <w:rFonts w:ascii="仿宋" w:hAnsi="仿宋" w:eastAsia="仿宋" w:cs="仿宋"/>
          <w:sz w:val="32"/>
          <w:szCs w:val="32"/>
        </w:rPr>
        <w:t>披露不动产项目所属行业</w:t>
      </w:r>
      <w:r>
        <w:rPr>
          <w:rFonts w:hint="eastAsia" w:ascii="仿宋" w:hAnsi="仿宋" w:eastAsia="仿宋" w:cs="仿宋"/>
          <w:sz w:val="32"/>
          <w:szCs w:val="32"/>
        </w:rPr>
        <w:t>和</w:t>
      </w:r>
      <w:r>
        <w:rPr>
          <w:rFonts w:ascii="仿宋" w:hAnsi="仿宋" w:eastAsia="仿宋" w:cs="仿宋"/>
          <w:sz w:val="32"/>
          <w:szCs w:val="32"/>
        </w:rPr>
        <w:t>竞争情况，包括：</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分析所属行业法律法规、行业政策对项目经营资质、准入门槛、运营模式、行业竞争格局等方面的主要影响；</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ascii="仿宋" w:hAnsi="仿宋" w:eastAsia="仿宋" w:cs="仿宋"/>
          <w:sz w:val="32"/>
          <w:szCs w:val="32"/>
        </w:rPr>
        <w:t>所属行业的供求状况、竞争格局、历史发展情况和未来变化趋势情况，以及对行业发展前景的有利和不利因素；</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（三）</w:t>
      </w:r>
      <w:r>
        <w:rPr>
          <w:rFonts w:ascii="仿宋" w:hAnsi="仿宋" w:eastAsia="仿宋" w:cs="仿宋"/>
          <w:sz w:val="32"/>
          <w:szCs w:val="32"/>
        </w:rPr>
        <w:t>所属行业的周期性、区域性</w:t>
      </w:r>
      <w:r>
        <w:rPr>
          <w:rFonts w:hint="eastAsia" w:ascii="仿宋" w:hAnsi="仿宋" w:eastAsia="仿宋" w:cs="仿宋"/>
          <w:sz w:val="32"/>
          <w:szCs w:val="32"/>
        </w:rPr>
        <w:t>或者</w:t>
      </w:r>
      <w:r>
        <w:rPr>
          <w:rFonts w:ascii="仿宋" w:hAnsi="仿宋" w:eastAsia="仿宋" w:cs="仿宋"/>
          <w:sz w:val="32"/>
          <w:szCs w:val="32"/>
        </w:rPr>
        <w:t>季节性特征（如有）；</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（四）</w:t>
      </w:r>
      <w:r>
        <w:rPr>
          <w:rFonts w:ascii="仿宋" w:hAnsi="仿宋" w:eastAsia="仿宋" w:cs="仿宋"/>
          <w:sz w:val="32"/>
          <w:szCs w:val="32"/>
        </w:rPr>
        <w:t>所属行业特有的经营模式，结合行业可比项目采用的主要商业模式、盈利模式等，对照项目公司所采用的模式，判断其主要风险</w:t>
      </w:r>
      <w:r>
        <w:rPr>
          <w:rFonts w:hint="eastAsia" w:ascii="仿宋" w:hAnsi="仿宋" w:eastAsia="仿宋" w:cs="仿宋"/>
          <w:sz w:val="32"/>
          <w:szCs w:val="32"/>
        </w:rPr>
        <w:t>以及</w:t>
      </w:r>
      <w:r>
        <w:rPr>
          <w:rFonts w:ascii="仿宋" w:hAnsi="仿宋" w:eastAsia="仿宋" w:cs="仿宋"/>
          <w:sz w:val="32"/>
          <w:szCs w:val="32"/>
        </w:rPr>
        <w:t>对未来运营稳定性的影响，分析其竞争力。</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2.2.1.11基金管理人</w:t>
      </w:r>
      <w:r>
        <w:rPr>
          <w:rFonts w:hint="eastAsia" w:ascii="仿宋" w:hAnsi="仿宋" w:eastAsia="仿宋" w:cs="仿宋"/>
          <w:sz w:val="32"/>
          <w:szCs w:val="32"/>
        </w:rPr>
        <w:t>应当</w:t>
      </w:r>
      <w:r>
        <w:rPr>
          <w:rFonts w:ascii="仿宋" w:hAnsi="仿宋" w:eastAsia="仿宋" w:cs="仿宋"/>
          <w:sz w:val="32"/>
          <w:szCs w:val="32"/>
        </w:rPr>
        <w:t>披露不动产项目所在区域竞争情况，包括：</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（一）所在区域宏观经济历史</w:t>
      </w:r>
      <w:r>
        <w:rPr>
          <w:rFonts w:hint="eastAsia" w:ascii="仿宋" w:hAnsi="仿宋" w:eastAsia="仿宋" w:cs="仿宋"/>
          <w:sz w:val="32"/>
          <w:szCs w:val="32"/>
        </w:rPr>
        <w:t>和</w:t>
      </w:r>
      <w:r>
        <w:rPr>
          <w:rFonts w:ascii="仿宋" w:hAnsi="仿宋" w:eastAsia="仿宋" w:cs="仿宋"/>
          <w:sz w:val="32"/>
          <w:szCs w:val="32"/>
        </w:rPr>
        <w:t>趋势情况；</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（二）区域内现有在运营和未来</w:t>
      </w:r>
      <w:r>
        <w:rPr>
          <w:rFonts w:hint="eastAsia" w:ascii="仿宋" w:hAnsi="仿宋" w:eastAsia="仿宋" w:cs="仿宋"/>
          <w:sz w:val="32"/>
          <w:szCs w:val="32"/>
        </w:rPr>
        <w:t>3</w:t>
      </w:r>
      <w:r>
        <w:rPr>
          <w:rFonts w:ascii="仿宋" w:hAnsi="仿宋" w:eastAsia="仿宋" w:cs="仿宋"/>
          <w:sz w:val="32"/>
          <w:szCs w:val="32"/>
        </w:rPr>
        <w:t>年已规划可比竞品分析</w:t>
      </w:r>
      <w:r>
        <w:rPr>
          <w:rFonts w:hint="eastAsia" w:ascii="仿宋" w:hAnsi="仿宋" w:eastAsia="仿宋" w:cs="仿宋"/>
          <w:sz w:val="32"/>
          <w:szCs w:val="32"/>
        </w:rPr>
        <w:t>；</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（三）区域核心客群特征</w:t>
      </w:r>
      <w:r>
        <w:rPr>
          <w:rFonts w:hint="eastAsia" w:ascii="仿宋" w:hAnsi="仿宋" w:eastAsia="仿宋" w:cs="仿宋"/>
          <w:sz w:val="32"/>
          <w:szCs w:val="32"/>
        </w:rPr>
        <w:t>和</w:t>
      </w:r>
      <w:r>
        <w:rPr>
          <w:rFonts w:ascii="仿宋" w:hAnsi="仿宋" w:eastAsia="仿宋" w:cs="仿宋"/>
          <w:sz w:val="32"/>
          <w:szCs w:val="32"/>
        </w:rPr>
        <w:t>需求情况；</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（四）区域经济发展和供需情况对项目运营的影响。</w:t>
      </w:r>
      <w:bookmarkStart w:id="49" w:name="_Toc11334"/>
      <w:bookmarkStart w:id="50" w:name="_Toc3570"/>
      <w:bookmarkStart w:id="51" w:name="_Toc203479455"/>
      <w:bookmarkStart w:id="52" w:name="_Toc23435"/>
      <w:bookmarkStart w:id="53" w:name="_Toc198802681"/>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54" w:name="_Toc14234"/>
      <w:bookmarkStart w:id="55" w:name="_Toc32749"/>
      <w:bookmarkStart w:id="56" w:name="_Toc13180"/>
      <w:r>
        <w:rPr>
          <w:rFonts w:ascii="仿宋" w:hAnsi="仿宋" w:eastAsia="仿宋" w:cs="仿宋"/>
          <w:b/>
          <w:bCs/>
          <w:sz w:val="32"/>
          <w:szCs w:val="32"/>
        </w:rPr>
        <w:t>第二节 经营业绩</w:t>
      </w:r>
      <w:r>
        <w:rPr>
          <w:rFonts w:hint="eastAsia" w:ascii="仿宋" w:hAnsi="仿宋" w:eastAsia="仿宋" w:cs="仿宋"/>
          <w:b/>
          <w:bCs/>
          <w:sz w:val="32"/>
          <w:szCs w:val="32"/>
        </w:rPr>
        <w:t>与</w:t>
      </w:r>
      <w:r>
        <w:rPr>
          <w:rFonts w:ascii="仿宋" w:hAnsi="仿宋" w:eastAsia="仿宋" w:cs="仿宋"/>
          <w:b/>
          <w:bCs/>
          <w:sz w:val="32"/>
          <w:szCs w:val="32"/>
        </w:rPr>
        <w:t>财务状况分析</w:t>
      </w:r>
      <w:bookmarkEnd w:id="49"/>
      <w:bookmarkEnd w:id="50"/>
      <w:bookmarkEnd w:id="51"/>
      <w:bookmarkEnd w:id="52"/>
      <w:bookmarkEnd w:id="53"/>
      <w:bookmarkEnd w:id="54"/>
      <w:bookmarkEnd w:id="55"/>
      <w:bookmarkEnd w:id="56"/>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2.2.2.1基金管理人</w:t>
      </w:r>
      <w:r>
        <w:rPr>
          <w:rFonts w:hint="eastAsia" w:ascii="仿宋" w:hAnsi="仿宋" w:eastAsia="仿宋" w:cs="仿宋"/>
          <w:sz w:val="32"/>
          <w:szCs w:val="32"/>
        </w:rPr>
        <w:t>应当</w:t>
      </w:r>
      <w:r>
        <w:rPr>
          <w:rFonts w:ascii="仿宋" w:hAnsi="仿宋" w:eastAsia="仿宋" w:cs="仿宋"/>
          <w:sz w:val="32"/>
          <w:szCs w:val="32"/>
        </w:rPr>
        <w:t>使用投资者</w:t>
      </w:r>
      <w:r>
        <w:rPr>
          <w:rFonts w:hint="eastAsia" w:ascii="仿宋" w:hAnsi="仿宋" w:eastAsia="仿宋" w:cs="仿宋"/>
          <w:sz w:val="32"/>
          <w:szCs w:val="32"/>
        </w:rPr>
        <w:t>可以</w:t>
      </w:r>
      <w:r>
        <w:rPr>
          <w:rFonts w:ascii="仿宋" w:hAnsi="仿宋" w:eastAsia="仿宋" w:cs="仿宋"/>
          <w:sz w:val="32"/>
          <w:szCs w:val="32"/>
        </w:rPr>
        <w:t>理解的语言，采用定量与定性相结合的方法，清晰披露不动产项目经营与财务相关的重大信息，并结合项目特征和投资者决策需要，分析说明业务经营信息和财务会计信息的逻辑一致性。</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提示投资者阅读财务报告和审计报告全文。</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2.2.2.2基金管理人</w:t>
      </w:r>
      <w:r>
        <w:rPr>
          <w:rFonts w:hint="eastAsia" w:ascii="仿宋" w:hAnsi="仿宋" w:eastAsia="仿宋" w:cs="仿宋"/>
          <w:sz w:val="32"/>
          <w:szCs w:val="32"/>
        </w:rPr>
        <w:t>应当</w:t>
      </w:r>
      <w:r>
        <w:rPr>
          <w:rFonts w:ascii="仿宋" w:hAnsi="仿宋" w:eastAsia="仿宋" w:cs="仿宋"/>
          <w:sz w:val="32"/>
          <w:szCs w:val="32"/>
        </w:rPr>
        <w:t>简要披露不动产项目经营</w:t>
      </w:r>
      <w:r>
        <w:rPr>
          <w:rFonts w:hint="eastAsia" w:ascii="仿宋" w:hAnsi="仿宋" w:eastAsia="仿宋" w:cs="仿宋"/>
          <w:sz w:val="32"/>
          <w:szCs w:val="32"/>
        </w:rPr>
        <w:t>与</w:t>
      </w:r>
      <w:r>
        <w:rPr>
          <w:rFonts w:ascii="仿宋" w:hAnsi="仿宋" w:eastAsia="仿宋" w:cs="仿宋"/>
          <w:sz w:val="32"/>
          <w:szCs w:val="32"/>
        </w:rPr>
        <w:t>财务情况，参考格式</w:t>
      </w:r>
      <w:r>
        <w:rPr>
          <w:rFonts w:hint="eastAsia" w:ascii="仿宋" w:hAnsi="仿宋" w:eastAsia="仿宋" w:cs="仿宋"/>
          <w:sz w:val="32"/>
          <w:szCs w:val="32"/>
          <w:lang w:eastAsia="zh-CN"/>
        </w:rPr>
        <w:t>见</w:t>
      </w:r>
      <w:r>
        <w:rPr>
          <w:rFonts w:ascii="仿宋" w:hAnsi="仿宋" w:eastAsia="仿宋" w:cs="仿宋"/>
          <w:sz w:val="32"/>
          <w:szCs w:val="32"/>
        </w:rPr>
        <w:t>附件4。基金管理人</w:t>
      </w:r>
      <w:r>
        <w:rPr>
          <w:rFonts w:hint="eastAsia" w:ascii="仿宋" w:hAnsi="仿宋" w:eastAsia="仿宋" w:cs="仿宋"/>
          <w:sz w:val="32"/>
          <w:szCs w:val="32"/>
        </w:rPr>
        <w:t>应当</w:t>
      </w:r>
      <w:r>
        <w:rPr>
          <w:rFonts w:ascii="仿宋" w:hAnsi="仿宋" w:eastAsia="仿宋" w:cs="仿宋"/>
          <w:sz w:val="32"/>
          <w:szCs w:val="32"/>
        </w:rPr>
        <w:t>披露不动产项目报告期的资产负债表、利润表和现金流量表，分析报告期内不动产项目的经营和财务情况，并披露主要影响项目、事项</w:t>
      </w:r>
      <w:r>
        <w:rPr>
          <w:rFonts w:hint="eastAsia" w:ascii="仿宋" w:hAnsi="仿宋" w:eastAsia="仿宋" w:cs="仿宋"/>
          <w:sz w:val="32"/>
          <w:szCs w:val="32"/>
        </w:rPr>
        <w:t>或者</w:t>
      </w:r>
      <w:r>
        <w:rPr>
          <w:rFonts w:ascii="仿宋" w:hAnsi="仿宋" w:eastAsia="仿宋" w:cs="仿宋"/>
          <w:sz w:val="32"/>
          <w:szCs w:val="32"/>
        </w:rPr>
        <w:t>因素在数值与结构变动方面的原因、影响程度，一般</w:t>
      </w:r>
      <w:r>
        <w:rPr>
          <w:rFonts w:hint="eastAsia" w:ascii="仿宋" w:hAnsi="仿宋" w:eastAsia="仿宋" w:cs="仿宋"/>
          <w:sz w:val="32"/>
          <w:szCs w:val="32"/>
        </w:rPr>
        <w:t>应当</w:t>
      </w:r>
      <w:r>
        <w:rPr>
          <w:rFonts w:ascii="仿宋" w:hAnsi="仿宋" w:eastAsia="仿宋" w:cs="仿宋"/>
          <w:sz w:val="32"/>
          <w:szCs w:val="32"/>
        </w:rPr>
        <w:t>包括下列内容：</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各期营业收入与营业成本的构成</w:t>
      </w:r>
      <w:r>
        <w:rPr>
          <w:rFonts w:hint="eastAsia" w:ascii="仿宋" w:hAnsi="仿宋" w:eastAsia="仿宋" w:cs="仿宋"/>
          <w:sz w:val="32"/>
          <w:szCs w:val="32"/>
        </w:rPr>
        <w:t>和</w:t>
      </w:r>
      <w:r>
        <w:rPr>
          <w:rFonts w:ascii="仿宋" w:hAnsi="仿宋" w:eastAsia="仿宋" w:cs="仿宋"/>
          <w:sz w:val="32"/>
          <w:szCs w:val="32"/>
        </w:rPr>
        <w:t>比例，各类成本占营业收入的比重和变化情况</w:t>
      </w:r>
      <w:r>
        <w:rPr>
          <w:rFonts w:hint="eastAsia" w:ascii="仿宋" w:hAnsi="仿宋" w:eastAsia="仿宋" w:cs="仿宋"/>
          <w:sz w:val="32"/>
          <w:szCs w:val="32"/>
        </w:rPr>
        <w:t>以及</w:t>
      </w:r>
      <w:r>
        <w:rPr>
          <w:rFonts w:ascii="仿宋" w:hAnsi="仿宋" w:eastAsia="仿宋" w:cs="仿宋"/>
          <w:sz w:val="32"/>
          <w:szCs w:val="32"/>
        </w:rPr>
        <w:t>与同行业可比项目对比情况，分析营业收入、营业成本、运营净收益的增减变动情况</w:t>
      </w:r>
      <w:r>
        <w:rPr>
          <w:rFonts w:hint="eastAsia" w:ascii="仿宋" w:hAnsi="仿宋" w:eastAsia="仿宋" w:cs="仿宋"/>
          <w:sz w:val="32"/>
          <w:szCs w:val="32"/>
        </w:rPr>
        <w:t>及其</w:t>
      </w:r>
      <w:r>
        <w:rPr>
          <w:rFonts w:ascii="仿宋" w:hAnsi="仿宋" w:eastAsia="仿宋" w:cs="仿宋"/>
          <w:sz w:val="32"/>
          <w:szCs w:val="32"/>
        </w:rPr>
        <w:t>原因；</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ascii="仿宋" w:hAnsi="仿宋" w:eastAsia="仿宋" w:cs="仿宋"/>
          <w:sz w:val="32"/>
          <w:szCs w:val="32"/>
        </w:rPr>
        <w:t>各期末主要资产、负债情况</w:t>
      </w:r>
      <w:r>
        <w:rPr>
          <w:rFonts w:hint="eastAsia" w:ascii="仿宋" w:hAnsi="仿宋" w:eastAsia="仿宋" w:cs="仿宋"/>
          <w:sz w:val="32"/>
          <w:szCs w:val="32"/>
        </w:rPr>
        <w:t>和</w:t>
      </w:r>
      <w:r>
        <w:rPr>
          <w:rFonts w:ascii="仿宋" w:hAnsi="仿宋" w:eastAsia="仿宋" w:cs="仿宋"/>
          <w:sz w:val="32"/>
          <w:szCs w:val="32"/>
        </w:rPr>
        <w:t>重大变动分析；</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（三）</w:t>
      </w:r>
      <w:r>
        <w:rPr>
          <w:rFonts w:ascii="仿宋" w:hAnsi="仿宋" w:eastAsia="仿宋" w:cs="仿宋"/>
          <w:sz w:val="32"/>
          <w:szCs w:val="32"/>
        </w:rPr>
        <w:t>各期相关税金和费用占营业收入的比重和变化情况；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（四）</w:t>
      </w:r>
      <w:r>
        <w:rPr>
          <w:rFonts w:ascii="仿宋" w:hAnsi="仿宋" w:eastAsia="仿宋" w:cs="仿宋"/>
          <w:sz w:val="32"/>
          <w:szCs w:val="32"/>
        </w:rPr>
        <w:t>各期资本性支出情况；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（五）</w:t>
      </w:r>
      <w:r>
        <w:rPr>
          <w:rFonts w:ascii="仿宋" w:hAnsi="仿宋" w:eastAsia="仿宋" w:cs="仿宋"/>
          <w:sz w:val="32"/>
          <w:szCs w:val="32"/>
        </w:rPr>
        <w:t>各期现金流量情况</w:t>
      </w:r>
      <w:r>
        <w:rPr>
          <w:rFonts w:hint="eastAsia" w:ascii="仿宋" w:hAnsi="仿宋" w:eastAsia="仿宋" w:cs="仿宋"/>
          <w:sz w:val="32"/>
          <w:szCs w:val="32"/>
        </w:rPr>
        <w:t>和</w:t>
      </w:r>
      <w:r>
        <w:rPr>
          <w:rFonts w:ascii="仿宋" w:hAnsi="仿宋" w:eastAsia="仿宋" w:cs="仿宋"/>
          <w:sz w:val="32"/>
          <w:szCs w:val="32"/>
        </w:rPr>
        <w:t>重大变动分析。</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报告期内，因不可抗力或者产业政策等原因导致不动产项目收入存在较大波动的，基金管理人可以适当延长历史运营数据的披露时间区间。</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2.2.2.3不动产项目主要依托租赁收入的，基金管理人</w:t>
      </w:r>
      <w:r>
        <w:rPr>
          <w:rFonts w:hint="eastAsia" w:ascii="仿宋" w:hAnsi="仿宋" w:eastAsia="仿宋" w:cs="仿宋"/>
          <w:sz w:val="32"/>
          <w:szCs w:val="32"/>
        </w:rPr>
        <w:t>应当</w:t>
      </w:r>
      <w:r>
        <w:rPr>
          <w:rFonts w:ascii="仿宋" w:hAnsi="仿宋" w:eastAsia="仿宋" w:cs="仿宋"/>
          <w:sz w:val="32"/>
          <w:szCs w:val="32"/>
        </w:rPr>
        <w:t>披露不动产项目的租户情况，包括：</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（一）租户数量；</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（二）租户行业分布和集中度；</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（三）关联方租户；</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（四）租赁合同期限以及到期时间分布；</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（五）加权平均剩余租期；</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（六）免租期协定（如有）；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（七）平均免租期时长（如有）；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（八）享受补贴情况（如有）。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存在政府类租户的，基金管理人</w:t>
      </w:r>
      <w:r>
        <w:rPr>
          <w:rFonts w:hint="eastAsia" w:ascii="仿宋" w:hAnsi="仿宋" w:eastAsia="仿宋" w:cs="仿宋"/>
          <w:sz w:val="32"/>
          <w:szCs w:val="32"/>
        </w:rPr>
        <w:t>应当</w:t>
      </w:r>
      <w:r>
        <w:rPr>
          <w:rFonts w:ascii="仿宋" w:hAnsi="仿宋" w:eastAsia="仿宋" w:cs="仿宋"/>
          <w:sz w:val="32"/>
          <w:szCs w:val="32"/>
        </w:rPr>
        <w:t>披露租金价格、支付安排等方面与其他租户的差异情况，是否符合市场化原则。</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租户行业集中度较高的，基金管理人</w:t>
      </w:r>
      <w:r>
        <w:rPr>
          <w:rFonts w:hint="eastAsia" w:ascii="仿宋" w:hAnsi="仿宋" w:eastAsia="仿宋" w:cs="仿宋"/>
          <w:sz w:val="32"/>
          <w:szCs w:val="32"/>
        </w:rPr>
        <w:t>应当</w:t>
      </w:r>
      <w:r>
        <w:rPr>
          <w:rFonts w:ascii="仿宋" w:hAnsi="仿宋" w:eastAsia="仿宋" w:cs="仿宋"/>
          <w:sz w:val="32"/>
          <w:szCs w:val="32"/>
        </w:rPr>
        <w:t>披露集中度较高的行业发展情况，并充分揭示风险。</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披露最近一期到期租约去化情况，包括但不限于平均去化时间、续租率、新签</w:t>
      </w:r>
      <w:r>
        <w:rPr>
          <w:rFonts w:hint="eastAsia" w:ascii="仿宋" w:hAnsi="仿宋" w:eastAsia="仿宋" w:cs="仿宋"/>
          <w:sz w:val="32"/>
          <w:szCs w:val="32"/>
        </w:rPr>
        <w:t>和</w:t>
      </w:r>
      <w:r>
        <w:rPr>
          <w:rFonts w:ascii="仿宋" w:hAnsi="仿宋" w:eastAsia="仿宋" w:cs="仿宋"/>
          <w:sz w:val="32"/>
          <w:szCs w:val="32"/>
        </w:rPr>
        <w:t>续签租约加权平均期限</w:t>
      </w:r>
      <w:r>
        <w:rPr>
          <w:rFonts w:hint="eastAsia" w:ascii="仿宋" w:hAnsi="仿宋" w:eastAsia="仿宋" w:cs="仿宋"/>
          <w:sz w:val="32"/>
          <w:szCs w:val="32"/>
        </w:rPr>
        <w:t>以及</w:t>
      </w:r>
      <w:r>
        <w:rPr>
          <w:rFonts w:ascii="仿宋" w:hAnsi="仿宋" w:eastAsia="仿宋" w:cs="仿宋"/>
          <w:sz w:val="32"/>
          <w:szCs w:val="32"/>
        </w:rPr>
        <w:t>上述指标与报告期各年度对比情况。租赁合同到期时间分布集中度较高或者租赁合同期限较短的，基金管理人</w:t>
      </w:r>
      <w:r>
        <w:rPr>
          <w:rFonts w:hint="eastAsia" w:ascii="仿宋" w:hAnsi="仿宋" w:eastAsia="仿宋" w:cs="仿宋"/>
          <w:sz w:val="32"/>
          <w:szCs w:val="32"/>
        </w:rPr>
        <w:t>应当</w:t>
      </w:r>
      <w:r>
        <w:rPr>
          <w:rFonts w:ascii="仿宋" w:hAnsi="仿宋" w:eastAsia="仿宋" w:cs="仿宋"/>
          <w:sz w:val="32"/>
          <w:szCs w:val="32"/>
        </w:rPr>
        <w:t>披露保障项目稳定运营的措施，并充分揭示风险。</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2.2.2.4不动产项目中</w:t>
      </w:r>
      <w:r>
        <w:rPr>
          <w:rFonts w:hint="eastAsia" w:ascii="仿宋" w:hAnsi="仿宋" w:eastAsia="仿宋" w:cs="仿宋"/>
          <w:bCs/>
          <w:sz w:val="32"/>
          <w:szCs w:val="32"/>
        </w:rPr>
        <w:t>现金流贡献占比超过10%的</w:t>
      </w:r>
      <w:r>
        <w:rPr>
          <w:rFonts w:ascii="仿宋" w:hAnsi="仿宋" w:eastAsia="仿宋" w:cs="仿宋"/>
          <w:sz w:val="32"/>
          <w:szCs w:val="32"/>
        </w:rPr>
        <w:t>任一资产存在整租安排的，基金管理人</w:t>
      </w:r>
      <w:r>
        <w:rPr>
          <w:rFonts w:hint="eastAsia" w:ascii="仿宋" w:hAnsi="仿宋" w:eastAsia="仿宋" w:cs="仿宋"/>
          <w:sz w:val="32"/>
          <w:szCs w:val="32"/>
        </w:rPr>
        <w:t>应当</w:t>
      </w:r>
      <w:r>
        <w:rPr>
          <w:rFonts w:ascii="仿宋" w:hAnsi="仿宋" w:eastAsia="仿宋" w:cs="仿宋"/>
          <w:sz w:val="32"/>
          <w:szCs w:val="32"/>
        </w:rPr>
        <w:t>参照第2.2.1.9条披露整租方有关情况以及整租安排商业合理性、租金定价公允性</w:t>
      </w:r>
      <w:r>
        <w:rPr>
          <w:rFonts w:hint="eastAsia" w:ascii="仿宋" w:hAnsi="仿宋" w:eastAsia="仿宋" w:cs="仿宋"/>
          <w:sz w:val="32"/>
          <w:szCs w:val="32"/>
        </w:rPr>
        <w:t>和</w:t>
      </w:r>
      <w:r>
        <w:rPr>
          <w:rFonts w:ascii="仿宋" w:hAnsi="仿宋" w:eastAsia="仿宋" w:cs="仿宋"/>
          <w:sz w:val="32"/>
          <w:szCs w:val="32"/>
        </w:rPr>
        <w:t>风险缓释措施，并在风险因素章节充分揭示风险。</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对于不动产项目的</w:t>
      </w:r>
      <w:r>
        <w:rPr>
          <w:rFonts w:hint="eastAsia" w:ascii="仿宋" w:hAnsi="仿宋" w:eastAsia="仿宋" w:cs="仿宋"/>
          <w:bCs/>
          <w:kern w:val="0"/>
          <w:sz w:val="32"/>
          <w:szCs w:val="32"/>
        </w:rPr>
        <w:t>各</w:t>
      </w:r>
      <w:r>
        <w:rPr>
          <w:rFonts w:ascii="仿宋" w:hAnsi="仿宋" w:eastAsia="仿宋" w:cs="仿宋"/>
          <w:bCs/>
          <w:kern w:val="0"/>
          <w:sz w:val="32"/>
          <w:szCs w:val="32"/>
        </w:rPr>
        <w:t>单一</w:t>
      </w:r>
      <w:r>
        <w:rPr>
          <w:rFonts w:ascii="仿宋" w:hAnsi="仿宋" w:eastAsia="仿宋" w:cs="仿宋"/>
          <w:sz w:val="32"/>
          <w:szCs w:val="32"/>
        </w:rPr>
        <w:t>资产整租后分租的，基金管理人</w:t>
      </w:r>
      <w:r>
        <w:rPr>
          <w:rFonts w:hint="eastAsia" w:ascii="仿宋" w:hAnsi="仿宋" w:eastAsia="仿宋" w:cs="仿宋"/>
          <w:sz w:val="32"/>
          <w:szCs w:val="32"/>
        </w:rPr>
        <w:t>应当</w:t>
      </w:r>
      <w:r>
        <w:rPr>
          <w:rFonts w:ascii="仿宋" w:hAnsi="仿宋" w:eastAsia="仿宋" w:cs="仿宋"/>
          <w:sz w:val="32"/>
          <w:szCs w:val="32"/>
        </w:rPr>
        <w:t>穿透披露不动产项目分租后经营情况，披露风险缓释措施（如有），并在风险因素章节充分揭示风险（如有）。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2.2.2.5基金管理人</w:t>
      </w:r>
      <w:r>
        <w:rPr>
          <w:rFonts w:hint="eastAsia" w:ascii="仿宋" w:hAnsi="仿宋" w:eastAsia="仿宋" w:cs="仿宋"/>
          <w:sz w:val="32"/>
          <w:szCs w:val="32"/>
        </w:rPr>
        <w:t>应当</w:t>
      </w:r>
      <w:r>
        <w:rPr>
          <w:rFonts w:ascii="仿宋" w:hAnsi="仿宋" w:eastAsia="仿宋" w:cs="仿宋"/>
          <w:sz w:val="32"/>
          <w:szCs w:val="32"/>
        </w:rPr>
        <w:t>在风险因素章节充分揭示不动产基金存续期间不动产项目是否存在重要租户换租、集中换租风险，并披露风险缓释措施。</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披露不动产项目已明确的租约调整计划，包括调整范围、调整时间以及对收入的影响等，并在风险因素章节充分揭示风险。</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2.2.2.6基金管理人</w:t>
      </w:r>
      <w:r>
        <w:rPr>
          <w:rFonts w:hint="eastAsia" w:ascii="仿宋" w:hAnsi="仿宋" w:eastAsia="仿宋" w:cs="仿宋"/>
          <w:sz w:val="32"/>
          <w:szCs w:val="32"/>
        </w:rPr>
        <w:t>应当</w:t>
      </w:r>
      <w:r>
        <w:rPr>
          <w:rFonts w:ascii="仿宋" w:hAnsi="仿宋" w:eastAsia="仿宋" w:cs="仿宋"/>
          <w:sz w:val="32"/>
          <w:szCs w:val="32"/>
        </w:rPr>
        <w:t>披露报告期内不动产项目出租率情况，包括：</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（一）年末/期末出租率；</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（二）年度加权平均出租率；</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（三）续租率（如有）；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（四）不动产项目以及同区域可比项目退租后去化时间（如有）。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如</w:t>
      </w:r>
      <w:r>
        <w:rPr>
          <w:rFonts w:hint="eastAsia" w:ascii="仿宋" w:hAnsi="仿宋" w:eastAsia="仿宋" w:cs="仿宋"/>
          <w:sz w:val="32"/>
          <w:szCs w:val="32"/>
        </w:rPr>
        <w:t>果</w:t>
      </w:r>
      <w:r>
        <w:rPr>
          <w:rFonts w:ascii="仿宋" w:hAnsi="仿宋" w:eastAsia="仿宋" w:cs="仿宋"/>
          <w:sz w:val="32"/>
          <w:szCs w:val="32"/>
        </w:rPr>
        <w:t>前述指标较难以获取，采用其他指标进行披露的，</w:t>
      </w:r>
      <w:r>
        <w:rPr>
          <w:rFonts w:hint="eastAsia" w:ascii="仿宋" w:hAnsi="仿宋" w:eastAsia="仿宋" w:cs="仿宋"/>
          <w:sz w:val="32"/>
          <w:szCs w:val="32"/>
        </w:rPr>
        <w:t>应当</w:t>
      </w:r>
      <w:r>
        <w:rPr>
          <w:rFonts w:ascii="仿宋" w:hAnsi="仿宋" w:eastAsia="仿宋" w:cs="仿宋"/>
          <w:sz w:val="32"/>
          <w:szCs w:val="32"/>
        </w:rPr>
        <w:t>披露相关指标计算方式。</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年末/期末出租率和年度加权平均出租率存在较大差异的，基金管理人</w:t>
      </w:r>
      <w:r>
        <w:rPr>
          <w:rFonts w:hint="eastAsia" w:ascii="仿宋" w:hAnsi="仿宋" w:eastAsia="仿宋" w:cs="仿宋"/>
          <w:sz w:val="32"/>
          <w:szCs w:val="32"/>
        </w:rPr>
        <w:t>应当</w:t>
      </w:r>
      <w:r>
        <w:rPr>
          <w:rFonts w:ascii="仿宋" w:hAnsi="仿宋" w:eastAsia="仿宋" w:cs="仿宋"/>
          <w:sz w:val="32"/>
          <w:szCs w:val="32"/>
        </w:rPr>
        <w:t>披露具体原因。</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2.2.2.7基金管理人</w:t>
      </w:r>
      <w:r>
        <w:rPr>
          <w:rFonts w:hint="eastAsia" w:ascii="仿宋" w:hAnsi="仿宋" w:eastAsia="仿宋" w:cs="仿宋"/>
          <w:sz w:val="32"/>
          <w:szCs w:val="32"/>
        </w:rPr>
        <w:t>应当</w:t>
      </w:r>
      <w:r>
        <w:rPr>
          <w:rFonts w:ascii="仿宋" w:hAnsi="仿宋" w:eastAsia="仿宋" w:cs="仿宋"/>
          <w:sz w:val="32"/>
          <w:szCs w:val="32"/>
        </w:rPr>
        <w:t>披露报告期内不动产项目租金情况，包括：</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（一）年末/期末合同租金单价；</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（二）年末/期末有效租金单价；</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（三）最近一期新签合同实际租金单价（如有）；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（四）与可比项目租金</w:t>
      </w:r>
      <w:r>
        <w:rPr>
          <w:rFonts w:hint="eastAsia" w:ascii="仿宋" w:hAnsi="仿宋" w:eastAsia="仿宋" w:cs="仿宋"/>
          <w:sz w:val="32"/>
          <w:szCs w:val="32"/>
        </w:rPr>
        <w:t>单价</w:t>
      </w:r>
      <w:r>
        <w:rPr>
          <w:rFonts w:ascii="仿宋" w:hAnsi="仿宋" w:eastAsia="仿宋" w:cs="仿宋"/>
          <w:sz w:val="32"/>
          <w:szCs w:val="32"/>
        </w:rPr>
        <w:t>对比情况；</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（五）租金增长率；</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（六）租金收缴率；</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（七）租金支付结算方式。</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披露其他指标的，</w:t>
      </w:r>
      <w:r>
        <w:rPr>
          <w:rFonts w:hint="eastAsia" w:ascii="仿宋" w:hAnsi="仿宋" w:eastAsia="仿宋" w:cs="仿宋"/>
          <w:sz w:val="32"/>
          <w:szCs w:val="32"/>
        </w:rPr>
        <w:t>应当</w:t>
      </w:r>
      <w:r>
        <w:rPr>
          <w:rFonts w:ascii="仿宋" w:hAnsi="仿宋" w:eastAsia="仿宋" w:cs="仿宋"/>
          <w:sz w:val="32"/>
          <w:szCs w:val="32"/>
        </w:rPr>
        <w:t>披露相关计算方式。</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报告期内租金</w:t>
      </w:r>
      <w:r>
        <w:rPr>
          <w:rFonts w:hint="eastAsia" w:ascii="仿宋" w:hAnsi="仿宋" w:eastAsia="仿宋" w:cs="仿宋"/>
          <w:sz w:val="32"/>
          <w:szCs w:val="32"/>
        </w:rPr>
        <w:t>单价</w:t>
      </w:r>
      <w:r>
        <w:rPr>
          <w:rFonts w:ascii="仿宋" w:hAnsi="仿宋" w:eastAsia="仿宋" w:cs="仿宋"/>
          <w:sz w:val="32"/>
          <w:szCs w:val="32"/>
        </w:rPr>
        <w:t>、租金增长率、租金收缴率明显变化的，基金管理人</w:t>
      </w:r>
      <w:r>
        <w:rPr>
          <w:rFonts w:hint="eastAsia" w:ascii="仿宋" w:hAnsi="仿宋" w:eastAsia="仿宋" w:cs="仿宋"/>
          <w:sz w:val="32"/>
          <w:szCs w:val="32"/>
        </w:rPr>
        <w:t>应当</w:t>
      </w:r>
      <w:r>
        <w:rPr>
          <w:rFonts w:ascii="仿宋" w:hAnsi="仿宋" w:eastAsia="仿宋" w:cs="仿宋"/>
          <w:sz w:val="32"/>
          <w:szCs w:val="32"/>
        </w:rPr>
        <w:t>披露原因，并对其变化的合理性以及可持续性发表明确意见。</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2.2.2.8基金管理人</w:t>
      </w:r>
      <w:r>
        <w:rPr>
          <w:rFonts w:hint="eastAsia" w:ascii="仿宋" w:hAnsi="仿宋" w:eastAsia="仿宋" w:cs="仿宋"/>
          <w:sz w:val="32"/>
          <w:szCs w:val="32"/>
        </w:rPr>
        <w:t>应当</w:t>
      </w:r>
      <w:r>
        <w:rPr>
          <w:rFonts w:ascii="仿宋" w:hAnsi="仿宋" w:eastAsia="仿宋" w:cs="仿宋"/>
          <w:sz w:val="32"/>
          <w:szCs w:val="32"/>
        </w:rPr>
        <w:t>披露尽职调查基准日租赁合同是否存在</w:t>
      </w:r>
      <w:r>
        <w:rPr>
          <w:rFonts w:hint="eastAsia" w:ascii="仿宋" w:hAnsi="仿宋" w:eastAsia="仿宋" w:cs="仿宋"/>
          <w:sz w:val="32"/>
          <w:szCs w:val="32"/>
        </w:rPr>
        <w:t>下列</w:t>
      </w:r>
      <w:r>
        <w:rPr>
          <w:rFonts w:ascii="仿宋" w:hAnsi="仿宋" w:eastAsia="仿宋" w:cs="仿宋"/>
          <w:sz w:val="32"/>
          <w:szCs w:val="32"/>
        </w:rPr>
        <w:t>特殊条款：</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（一）租赁期限限制；</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（二）转租限制；</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（三）优先购买安排；</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（四）提前退租；</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（五）租金优惠减免。</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依据当地行业政策规定设置限制性条款的，基金管理人</w:t>
      </w:r>
      <w:r>
        <w:rPr>
          <w:rFonts w:hint="eastAsia" w:ascii="仿宋" w:hAnsi="仿宋" w:eastAsia="仿宋" w:cs="仿宋"/>
          <w:sz w:val="32"/>
          <w:szCs w:val="32"/>
        </w:rPr>
        <w:t>应当</w:t>
      </w:r>
      <w:r>
        <w:rPr>
          <w:rFonts w:ascii="仿宋" w:hAnsi="仿宋" w:eastAsia="仿宋" w:cs="仿宋"/>
          <w:sz w:val="32"/>
          <w:szCs w:val="32"/>
        </w:rPr>
        <w:t>披露相应政策规定具体内容。存在特殊条款的，基金管理人</w:t>
      </w:r>
      <w:r>
        <w:rPr>
          <w:rFonts w:hint="eastAsia" w:ascii="仿宋" w:hAnsi="仿宋" w:eastAsia="仿宋" w:cs="仿宋"/>
          <w:sz w:val="32"/>
          <w:szCs w:val="32"/>
        </w:rPr>
        <w:t>应当</w:t>
      </w:r>
      <w:r>
        <w:rPr>
          <w:rFonts w:ascii="仿宋" w:hAnsi="仿宋" w:eastAsia="仿宋" w:cs="仿宋"/>
          <w:sz w:val="32"/>
          <w:szCs w:val="32"/>
        </w:rPr>
        <w:t>披露相关条款对不动产项目运营</w:t>
      </w:r>
      <w:r>
        <w:rPr>
          <w:rFonts w:hint="eastAsia" w:ascii="仿宋" w:hAnsi="仿宋" w:eastAsia="仿宋" w:cs="仿宋"/>
          <w:sz w:val="32"/>
          <w:szCs w:val="32"/>
        </w:rPr>
        <w:t>和</w:t>
      </w:r>
      <w:r>
        <w:rPr>
          <w:rFonts w:ascii="仿宋" w:hAnsi="仿宋" w:eastAsia="仿宋" w:cs="仿宋"/>
          <w:sz w:val="32"/>
          <w:szCs w:val="32"/>
        </w:rPr>
        <w:t>处置产生的影响</w:t>
      </w:r>
      <w:r>
        <w:rPr>
          <w:rFonts w:hint="eastAsia" w:ascii="仿宋" w:hAnsi="仿宋" w:eastAsia="仿宋" w:cs="仿宋"/>
          <w:sz w:val="32"/>
          <w:szCs w:val="32"/>
        </w:rPr>
        <w:t>以及</w:t>
      </w:r>
      <w:r>
        <w:rPr>
          <w:rFonts w:ascii="仿宋" w:hAnsi="仿宋" w:eastAsia="仿宋" w:cs="仿宋"/>
          <w:sz w:val="32"/>
          <w:szCs w:val="32"/>
        </w:rPr>
        <w:t>风险缓释措施，并在风险因素章节充分揭示风险。</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2.2.2.9基金管理人</w:t>
      </w:r>
      <w:r>
        <w:rPr>
          <w:rFonts w:hint="eastAsia" w:ascii="仿宋" w:hAnsi="仿宋" w:eastAsia="仿宋" w:cs="仿宋"/>
          <w:sz w:val="32"/>
          <w:szCs w:val="32"/>
        </w:rPr>
        <w:t>应当</w:t>
      </w:r>
      <w:r>
        <w:rPr>
          <w:rFonts w:ascii="仿宋" w:hAnsi="仿宋" w:eastAsia="仿宋" w:cs="仿宋"/>
          <w:sz w:val="32"/>
          <w:szCs w:val="32"/>
        </w:rPr>
        <w:t>披露不动产项目涉及的租赁合同是否符合</w:t>
      </w:r>
      <w:r>
        <w:rPr>
          <w:rFonts w:hint="eastAsia" w:ascii="仿宋" w:hAnsi="仿宋" w:eastAsia="仿宋" w:cs="仿宋"/>
          <w:sz w:val="32"/>
          <w:szCs w:val="32"/>
        </w:rPr>
        <w:t>有关</w:t>
      </w:r>
      <w:r>
        <w:rPr>
          <w:rFonts w:ascii="仿宋" w:hAnsi="仿宋" w:eastAsia="仿宋" w:cs="仿宋"/>
          <w:sz w:val="32"/>
          <w:szCs w:val="32"/>
        </w:rPr>
        <w:t>登记备案的管理规定。未按</w:t>
      </w:r>
      <w:r>
        <w:rPr>
          <w:rFonts w:hint="eastAsia" w:ascii="仿宋" w:hAnsi="仿宋" w:eastAsia="仿宋" w:cs="仿宋"/>
          <w:sz w:val="32"/>
          <w:szCs w:val="32"/>
        </w:rPr>
        <w:t>照</w:t>
      </w:r>
      <w:r>
        <w:rPr>
          <w:rFonts w:ascii="仿宋" w:hAnsi="仿宋" w:eastAsia="仿宋" w:cs="仿宋"/>
          <w:sz w:val="32"/>
          <w:szCs w:val="32"/>
        </w:rPr>
        <w:t>规定办理登记备案的，基金管理人</w:t>
      </w:r>
      <w:r>
        <w:rPr>
          <w:rFonts w:hint="eastAsia" w:ascii="仿宋" w:hAnsi="仿宋" w:eastAsia="仿宋" w:cs="仿宋"/>
          <w:sz w:val="32"/>
          <w:szCs w:val="32"/>
        </w:rPr>
        <w:t>应当</w:t>
      </w:r>
      <w:r>
        <w:rPr>
          <w:rFonts w:ascii="仿宋" w:hAnsi="仿宋" w:eastAsia="仿宋" w:cs="仿宋"/>
          <w:sz w:val="32"/>
          <w:szCs w:val="32"/>
        </w:rPr>
        <w:t>说明原因，披露风险缓释措施，并在风险因素章节充分揭示风险。</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2.2.2.10基金管理人</w:t>
      </w:r>
      <w:r>
        <w:rPr>
          <w:rFonts w:hint="eastAsia" w:ascii="仿宋" w:hAnsi="仿宋" w:eastAsia="仿宋" w:cs="仿宋"/>
          <w:sz w:val="32"/>
          <w:szCs w:val="32"/>
        </w:rPr>
        <w:t>应当</w:t>
      </w:r>
      <w:r>
        <w:rPr>
          <w:rFonts w:ascii="仿宋" w:hAnsi="仿宋" w:eastAsia="仿宋" w:cs="仿宋"/>
          <w:sz w:val="32"/>
          <w:szCs w:val="32"/>
        </w:rPr>
        <w:t>披露不动产</w:t>
      </w:r>
      <w:r>
        <w:rPr>
          <w:rFonts w:hint="eastAsia" w:ascii="仿宋" w:hAnsi="仿宋" w:eastAsia="仿宋" w:cs="仿宋"/>
          <w:sz w:val="32"/>
          <w:szCs w:val="32"/>
        </w:rPr>
        <w:t>项目</w:t>
      </w:r>
      <w:r>
        <w:rPr>
          <w:rFonts w:ascii="仿宋" w:hAnsi="仿宋" w:eastAsia="仿宋" w:cs="仿宋"/>
          <w:sz w:val="32"/>
          <w:szCs w:val="32"/>
        </w:rPr>
        <w:t>收费权或者经营权取得依据、收费标准、经营期限的法律法规规定或者合同约定。</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2.2.2.11基金管理人</w:t>
      </w:r>
      <w:r>
        <w:rPr>
          <w:rFonts w:hint="eastAsia" w:ascii="仿宋" w:hAnsi="仿宋" w:eastAsia="仿宋" w:cs="仿宋"/>
          <w:sz w:val="32"/>
          <w:szCs w:val="32"/>
        </w:rPr>
        <w:t>应当</w:t>
      </w:r>
      <w:r>
        <w:rPr>
          <w:rFonts w:ascii="仿宋" w:hAnsi="仿宋" w:eastAsia="仿宋" w:cs="仿宋"/>
          <w:sz w:val="32"/>
          <w:szCs w:val="32"/>
        </w:rPr>
        <w:t>披露报告期内不动产项目收费减免或者优惠情况，包括减免或者优惠政策情况、政策延续性、减免或者优惠金额占收入的比重，并说明减免或者优惠安排对历史现金流的影响。</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预计不动产项目在不动产基金存续期</w:t>
      </w:r>
      <w:r>
        <w:rPr>
          <w:rFonts w:hint="eastAsia" w:ascii="仿宋" w:hAnsi="仿宋" w:eastAsia="仿宋" w:cs="仿宋"/>
          <w:sz w:val="32"/>
          <w:szCs w:val="32"/>
        </w:rPr>
        <w:t>间</w:t>
      </w:r>
      <w:r>
        <w:rPr>
          <w:rFonts w:ascii="仿宋" w:hAnsi="仿宋" w:eastAsia="仿宋" w:cs="仿宋"/>
          <w:sz w:val="32"/>
          <w:szCs w:val="32"/>
        </w:rPr>
        <w:t>存在收费减免或者优惠情形的，基金管理人</w:t>
      </w:r>
      <w:r>
        <w:rPr>
          <w:rFonts w:hint="eastAsia" w:ascii="仿宋" w:hAnsi="仿宋" w:eastAsia="仿宋" w:cs="仿宋"/>
          <w:sz w:val="32"/>
          <w:szCs w:val="32"/>
        </w:rPr>
        <w:t>应当</w:t>
      </w:r>
      <w:r>
        <w:rPr>
          <w:rFonts w:ascii="仿宋" w:hAnsi="仿宋" w:eastAsia="仿宋" w:cs="仿宋"/>
          <w:sz w:val="32"/>
          <w:szCs w:val="32"/>
        </w:rPr>
        <w:t>披露风险缓释措施，并在风险因素章节充分揭示风险。</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2.2.2.12不动产项目收入来源包含政府补贴的，基金管理人</w:t>
      </w:r>
      <w:r>
        <w:rPr>
          <w:rFonts w:hint="eastAsia" w:ascii="仿宋" w:hAnsi="仿宋" w:eastAsia="仿宋" w:cs="仿宋"/>
          <w:sz w:val="32"/>
          <w:szCs w:val="32"/>
        </w:rPr>
        <w:t>应当</w:t>
      </w:r>
      <w:r>
        <w:rPr>
          <w:rFonts w:ascii="仿宋" w:hAnsi="仿宋" w:eastAsia="仿宋" w:cs="仿宋"/>
          <w:sz w:val="32"/>
          <w:szCs w:val="32"/>
        </w:rPr>
        <w:t>披露</w:t>
      </w:r>
      <w:r>
        <w:rPr>
          <w:rFonts w:hint="eastAsia" w:ascii="仿宋" w:hAnsi="仿宋" w:eastAsia="仿宋" w:cs="仿宋"/>
          <w:sz w:val="32"/>
          <w:szCs w:val="32"/>
        </w:rPr>
        <w:t>下列</w:t>
      </w:r>
      <w:r>
        <w:rPr>
          <w:rFonts w:ascii="仿宋" w:hAnsi="仿宋" w:eastAsia="仿宋" w:cs="仿宋"/>
          <w:sz w:val="32"/>
          <w:szCs w:val="32"/>
        </w:rPr>
        <w:t>情况</w:t>
      </w:r>
      <w:r>
        <w:rPr>
          <w:rFonts w:hint="eastAsia" w:ascii="仿宋" w:hAnsi="仿宋" w:eastAsia="仿宋" w:cs="仿宋"/>
          <w:sz w:val="32"/>
          <w:szCs w:val="32"/>
        </w:rPr>
        <w:t>和</w:t>
      </w:r>
      <w:r>
        <w:rPr>
          <w:rFonts w:ascii="仿宋" w:hAnsi="仿宋" w:eastAsia="仿宋" w:cs="仿宋"/>
          <w:sz w:val="32"/>
          <w:szCs w:val="32"/>
        </w:rPr>
        <w:t>风险缓释措施，并在风险因素章节充分揭示风险：</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（一）补贴政策依据；</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（二）补贴形式；</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（三）补贴标准；</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（四）补贴年限；</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（五）补贴金额</w:t>
      </w:r>
      <w:r>
        <w:rPr>
          <w:rFonts w:hint="eastAsia" w:ascii="仿宋" w:hAnsi="仿宋" w:eastAsia="仿宋" w:cs="仿宋"/>
          <w:sz w:val="32"/>
          <w:szCs w:val="32"/>
        </w:rPr>
        <w:t>及其</w:t>
      </w:r>
      <w:r>
        <w:rPr>
          <w:rFonts w:ascii="仿宋" w:hAnsi="仿宋" w:eastAsia="仿宋" w:cs="仿宋"/>
          <w:sz w:val="32"/>
          <w:szCs w:val="32"/>
        </w:rPr>
        <w:t>占营业收入比例；</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（六）补贴资金历史到账情况以及可持续性、稳定性。</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不动产项目租户租金涉及政府补贴的，基金管理人</w:t>
      </w:r>
      <w:r>
        <w:rPr>
          <w:rFonts w:hint="eastAsia" w:ascii="仿宋" w:hAnsi="仿宋" w:eastAsia="仿宋" w:cs="仿宋"/>
          <w:sz w:val="32"/>
          <w:szCs w:val="32"/>
        </w:rPr>
        <w:t>应当</w:t>
      </w:r>
      <w:r>
        <w:rPr>
          <w:rFonts w:ascii="仿宋" w:hAnsi="仿宋" w:eastAsia="仿宋" w:cs="仿宋"/>
          <w:sz w:val="32"/>
          <w:szCs w:val="32"/>
        </w:rPr>
        <w:t>披露享受政府补贴租户的</w:t>
      </w:r>
      <w:r>
        <w:rPr>
          <w:rFonts w:hint="eastAsia" w:ascii="仿宋" w:hAnsi="仿宋" w:eastAsia="仿宋" w:cs="仿宋"/>
          <w:sz w:val="32"/>
          <w:szCs w:val="32"/>
        </w:rPr>
        <w:t>下列</w:t>
      </w:r>
      <w:r>
        <w:rPr>
          <w:rFonts w:ascii="仿宋" w:hAnsi="仿宋" w:eastAsia="仿宋" w:cs="仿宋"/>
          <w:sz w:val="32"/>
          <w:szCs w:val="32"/>
        </w:rPr>
        <w:t>情况，在风险因素章节充分揭示风险：</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（一）租金价格；</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（二）租约期限；</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（三）租赁面积及其占比；</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（四）租金收入及其占比；</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（五）租约的稳定性；</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（六）续租率；</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（七）补贴与租金支付的对应关系（如有）；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（八）租户的持续经营情况。</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2.2.2.13基金管理人</w:t>
      </w:r>
      <w:r>
        <w:rPr>
          <w:rFonts w:hint="eastAsia" w:ascii="仿宋" w:hAnsi="仿宋" w:eastAsia="仿宋" w:cs="仿宋"/>
          <w:sz w:val="32"/>
          <w:szCs w:val="32"/>
        </w:rPr>
        <w:t>应当</w:t>
      </w:r>
      <w:r>
        <w:rPr>
          <w:rFonts w:ascii="仿宋" w:hAnsi="仿宋" w:eastAsia="仿宋" w:cs="仿宋"/>
          <w:sz w:val="32"/>
          <w:szCs w:val="32"/>
        </w:rPr>
        <w:t>披露不动产项目当前运营所适用的税收政策，以及相关税收优惠政策情况（如有）。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报告期税收政策存在重大变化</w:t>
      </w:r>
      <w:r>
        <w:rPr>
          <w:rFonts w:hint="eastAsia" w:ascii="仿宋" w:hAnsi="仿宋" w:eastAsia="仿宋" w:cs="仿宋"/>
          <w:sz w:val="32"/>
          <w:szCs w:val="32"/>
        </w:rPr>
        <w:t>或者</w:t>
      </w:r>
      <w:r>
        <w:rPr>
          <w:rFonts w:ascii="仿宋" w:hAnsi="仿宋" w:eastAsia="仿宋" w:cs="仿宋"/>
          <w:sz w:val="32"/>
          <w:szCs w:val="32"/>
        </w:rPr>
        <w:t>税收优惠政策对项目运营有重大影响的，基金管理人</w:t>
      </w:r>
      <w:r>
        <w:rPr>
          <w:rFonts w:hint="eastAsia" w:ascii="仿宋" w:hAnsi="仿宋" w:eastAsia="仿宋" w:cs="仿宋"/>
          <w:sz w:val="32"/>
          <w:szCs w:val="32"/>
        </w:rPr>
        <w:t>应当</w:t>
      </w:r>
      <w:r>
        <w:rPr>
          <w:rFonts w:ascii="仿宋" w:hAnsi="仿宋" w:eastAsia="仿宋" w:cs="仿宋"/>
          <w:sz w:val="32"/>
          <w:szCs w:val="32"/>
        </w:rPr>
        <w:t>披露税收政策变化对项目运营的影响</w:t>
      </w:r>
      <w:r>
        <w:rPr>
          <w:rFonts w:hint="eastAsia" w:ascii="仿宋" w:hAnsi="仿宋" w:eastAsia="仿宋" w:cs="仿宋"/>
          <w:sz w:val="32"/>
          <w:szCs w:val="32"/>
        </w:rPr>
        <w:t>以及</w:t>
      </w:r>
      <w:r>
        <w:rPr>
          <w:rFonts w:ascii="仿宋" w:hAnsi="仿宋" w:eastAsia="仿宋" w:cs="仿宋"/>
          <w:sz w:val="32"/>
          <w:szCs w:val="32"/>
        </w:rPr>
        <w:t>报告期各期税收优惠占税前利润的比例，并分析项目运营是否</w:t>
      </w:r>
      <w:r>
        <w:rPr>
          <w:rFonts w:hint="eastAsia" w:ascii="仿宋" w:hAnsi="仿宋" w:eastAsia="仿宋" w:cs="仿宋"/>
          <w:sz w:val="32"/>
          <w:szCs w:val="32"/>
        </w:rPr>
        <w:t>依赖</w:t>
      </w:r>
      <w:r>
        <w:rPr>
          <w:rFonts w:ascii="仿宋" w:hAnsi="仿宋" w:eastAsia="仿宋" w:cs="仿宋"/>
          <w:sz w:val="32"/>
          <w:szCs w:val="32"/>
        </w:rPr>
        <w:t>税收优惠、未来税收优惠是否可持续。</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未来税收政策变动可能导致不动产项目现金流出现较大波动的，基金管理人</w:t>
      </w:r>
      <w:r>
        <w:rPr>
          <w:rFonts w:hint="eastAsia" w:ascii="仿宋" w:hAnsi="仿宋" w:eastAsia="仿宋" w:cs="仿宋"/>
          <w:sz w:val="32"/>
          <w:szCs w:val="32"/>
        </w:rPr>
        <w:t>应当</w:t>
      </w:r>
      <w:r>
        <w:rPr>
          <w:rFonts w:ascii="仿宋" w:hAnsi="仿宋" w:eastAsia="仿宋" w:cs="仿宋"/>
          <w:sz w:val="32"/>
          <w:szCs w:val="32"/>
        </w:rPr>
        <w:t>在风险因素章节充分揭示风险。</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2.2.2.14基金管理人</w:t>
      </w:r>
      <w:r>
        <w:rPr>
          <w:rFonts w:hint="eastAsia" w:ascii="仿宋" w:hAnsi="仿宋" w:eastAsia="仿宋" w:cs="仿宋"/>
          <w:sz w:val="32"/>
          <w:szCs w:val="32"/>
        </w:rPr>
        <w:t>应当</w:t>
      </w:r>
      <w:r>
        <w:rPr>
          <w:rFonts w:ascii="仿宋" w:hAnsi="仿宋" w:eastAsia="仿宋" w:cs="仿宋"/>
          <w:sz w:val="32"/>
          <w:szCs w:val="32"/>
        </w:rPr>
        <w:t>结合</w:t>
      </w:r>
      <w:r>
        <w:rPr>
          <w:rFonts w:hint="eastAsia" w:ascii="仿宋" w:hAnsi="仿宋" w:eastAsia="仿宋" w:cs="仿宋"/>
          <w:sz w:val="32"/>
          <w:szCs w:val="32"/>
        </w:rPr>
        <w:t>主要</w:t>
      </w:r>
      <w:r>
        <w:rPr>
          <w:rFonts w:ascii="仿宋" w:hAnsi="仿宋" w:eastAsia="仿宋" w:cs="仿宋"/>
          <w:sz w:val="32"/>
          <w:szCs w:val="32"/>
        </w:rPr>
        <w:t>原始权益人及其控股股东、实际控制人持有的其他同类资产的区域分布，以及资产规模、财务</w:t>
      </w:r>
      <w:r>
        <w:rPr>
          <w:rFonts w:hint="eastAsia" w:ascii="仿宋" w:hAnsi="仿宋" w:eastAsia="仿宋" w:cs="仿宋"/>
          <w:sz w:val="32"/>
          <w:szCs w:val="32"/>
        </w:rPr>
        <w:t>和</w:t>
      </w:r>
      <w:r>
        <w:rPr>
          <w:rFonts w:ascii="仿宋" w:hAnsi="仿宋" w:eastAsia="仿宋" w:cs="仿宋"/>
          <w:sz w:val="32"/>
          <w:szCs w:val="32"/>
        </w:rPr>
        <w:t>运营指标等方面的排名情况，说明以本项目作为不动产基金资产的主要考虑。</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2.2.2.15基金管理人</w:t>
      </w:r>
      <w:r>
        <w:rPr>
          <w:rFonts w:hint="eastAsia" w:ascii="仿宋" w:hAnsi="仿宋" w:eastAsia="仿宋" w:cs="仿宋"/>
          <w:sz w:val="32"/>
          <w:szCs w:val="32"/>
        </w:rPr>
        <w:t>应当</w:t>
      </w:r>
      <w:r>
        <w:rPr>
          <w:rFonts w:ascii="仿宋" w:hAnsi="仿宋" w:eastAsia="仿宋" w:cs="仿宋"/>
          <w:sz w:val="32"/>
          <w:szCs w:val="32"/>
        </w:rPr>
        <w:t>披露不动产项目的同业竞争情况</w:t>
      </w:r>
      <w:r>
        <w:rPr>
          <w:rFonts w:hint="eastAsia" w:ascii="仿宋" w:hAnsi="仿宋" w:eastAsia="仿宋" w:cs="仿宋"/>
          <w:sz w:val="32"/>
          <w:szCs w:val="32"/>
        </w:rPr>
        <w:t>、</w:t>
      </w:r>
      <w:r>
        <w:rPr>
          <w:rFonts w:ascii="仿宋" w:hAnsi="仿宋" w:eastAsia="仿宋" w:cs="仿宋"/>
          <w:sz w:val="32"/>
          <w:szCs w:val="32"/>
        </w:rPr>
        <w:t>同区域主要原始权益人以及其他主体运营或者在建的同类</w:t>
      </w:r>
      <w:r>
        <w:rPr>
          <w:rFonts w:hint="eastAsia" w:ascii="仿宋" w:hAnsi="仿宋" w:eastAsia="仿宋" w:cs="仿宋"/>
          <w:sz w:val="32"/>
          <w:szCs w:val="32"/>
        </w:rPr>
        <w:t>资产</w:t>
      </w:r>
      <w:r>
        <w:rPr>
          <w:rFonts w:ascii="仿宋" w:hAnsi="仿宋" w:eastAsia="仿宋" w:cs="仿宋"/>
          <w:sz w:val="32"/>
          <w:szCs w:val="32"/>
        </w:rPr>
        <w:t>情况，包括主要运营主体、经营情况</w:t>
      </w:r>
      <w:r>
        <w:rPr>
          <w:rFonts w:hint="eastAsia" w:ascii="仿宋" w:hAnsi="仿宋" w:eastAsia="仿宋" w:cs="仿宋"/>
          <w:sz w:val="32"/>
          <w:szCs w:val="32"/>
          <w:highlight w:val="none"/>
        </w:rPr>
        <w:t>等，并说明与</w:t>
      </w:r>
      <w:r>
        <w:rPr>
          <w:rFonts w:hint="eastAsia" w:ascii="仿宋" w:hAnsi="仿宋" w:eastAsia="仿宋" w:cs="仿宋"/>
          <w:sz w:val="32"/>
          <w:szCs w:val="32"/>
          <w:highlight w:val="none"/>
          <w:lang w:eastAsia="zh-CN"/>
        </w:rPr>
        <w:t>不动产</w:t>
      </w:r>
      <w:r>
        <w:rPr>
          <w:rFonts w:hint="eastAsia" w:ascii="仿宋" w:hAnsi="仿宋" w:eastAsia="仿宋" w:cs="仿宋"/>
          <w:sz w:val="32"/>
          <w:szCs w:val="32"/>
          <w:highlight w:val="none"/>
        </w:rPr>
        <w:t>项目的</w:t>
      </w:r>
      <w:r>
        <w:rPr>
          <w:rFonts w:hint="eastAsia" w:ascii="仿宋" w:hAnsi="仿宋" w:eastAsia="仿宋" w:cs="仿宋"/>
          <w:sz w:val="32"/>
          <w:szCs w:val="32"/>
          <w:highlight w:val="none"/>
          <w:lang w:eastAsia="zh-CN"/>
        </w:rPr>
        <w:t>竞争关系</w:t>
      </w:r>
      <w:r>
        <w:rPr>
          <w:rFonts w:hint="eastAsia" w:ascii="仿宋" w:hAnsi="仿宋" w:eastAsia="仿宋" w:cs="仿宋"/>
          <w:sz w:val="32"/>
          <w:szCs w:val="32"/>
          <w:highlight w:val="none"/>
        </w:rPr>
        <w:t>，以及拟采取的减少利益冲突的措施</w:t>
      </w:r>
      <w:r>
        <w:rPr>
          <w:rFonts w:hint="eastAsia" w:ascii="仿宋" w:hAnsi="仿宋" w:eastAsia="仿宋" w:cs="仿宋"/>
          <w:sz w:val="32"/>
          <w:szCs w:val="32"/>
          <w:highlight w:val="none"/>
          <w:lang w:eastAsia="zh-CN"/>
        </w:rPr>
        <w:t>安排</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并</w:t>
      </w:r>
      <w:r>
        <w:rPr>
          <w:rFonts w:hint="eastAsia" w:ascii="仿宋" w:hAnsi="仿宋" w:eastAsia="仿宋" w:cs="仿宋"/>
          <w:sz w:val="32"/>
          <w:szCs w:val="32"/>
          <w:highlight w:val="none"/>
        </w:rPr>
        <w:t>充分揭示风险</w:t>
      </w:r>
      <w:r>
        <w:rPr>
          <w:rFonts w:ascii="仿宋" w:hAnsi="仿宋" w:eastAsia="仿宋" w:cs="仿宋"/>
          <w:sz w:val="32"/>
          <w:szCs w:val="32"/>
        </w:rPr>
        <w:t>。</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2.2.2.16基金管理人</w:t>
      </w:r>
      <w:r>
        <w:rPr>
          <w:rFonts w:hint="eastAsia" w:ascii="仿宋" w:hAnsi="仿宋" w:eastAsia="仿宋" w:cs="仿宋"/>
          <w:sz w:val="32"/>
          <w:szCs w:val="32"/>
        </w:rPr>
        <w:t>应当</w:t>
      </w:r>
      <w:r>
        <w:rPr>
          <w:rFonts w:ascii="仿宋" w:hAnsi="仿宋" w:eastAsia="仿宋" w:cs="仿宋"/>
          <w:sz w:val="32"/>
          <w:szCs w:val="32"/>
        </w:rPr>
        <w:t>披露</w:t>
      </w:r>
      <w:r>
        <w:rPr>
          <w:rFonts w:hint="eastAsia" w:ascii="仿宋" w:hAnsi="仿宋" w:eastAsia="仿宋" w:cs="仿宋"/>
          <w:bCs w:val="0"/>
          <w:kern w:val="0"/>
          <w:sz w:val="32"/>
          <w:szCs w:val="32"/>
          <w:highlight w:val="none"/>
        </w:rPr>
        <w:t>报告期内项目公司采用的会计政策和会计估计方法，包括投资性房地产的计量模式</w:t>
      </w:r>
      <w:r>
        <w:rPr>
          <w:rFonts w:hint="eastAsia" w:ascii="仿宋" w:hAnsi="仿宋" w:eastAsia="仿宋" w:cs="仿宋"/>
          <w:bCs w:val="0"/>
          <w:kern w:val="0"/>
          <w:sz w:val="32"/>
          <w:szCs w:val="32"/>
          <w:highlight w:val="none"/>
          <w:lang w:eastAsia="zh-CN"/>
        </w:rPr>
        <w:t>（如有）</w:t>
      </w:r>
      <w:r>
        <w:rPr>
          <w:rFonts w:hint="eastAsia" w:ascii="仿宋" w:hAnsi="仿宋" w:eastAsia="仿宋" w:cs="仿宋"/>
          <w:bCs w:val="0"/>
          <w:kern w:val="0"/>
          <w:sz w:val="32"/>
          <w:szCs w:val="32"/>
          <w:highlight w:val="none"/>
        </w:rPr>
        <w:t>、收费公路等资产的折旧摊销方法</w:t>
      </w:r>
      <w:r>
        <w:rPr>
          <w:rFonts w:hint="eastAsia" w:ascii="仿宋" w:hAnsi="仿宋" w:eastAsia="仿宋" w:cs="仿宋"/>
          <w:bCs w:val="0"/>
          <w:kern w:val="0"/>
          <w:sz w:val="32"/>
          <w:szCs w:val="32"/>
          <w:highlight w:val="none"/>
          <w:lang w:eastAsia="zh-CN"/>
        </w:rPr>
        <w:t>（如有）</w:t>
      </w:r>
      <w:r>
        <w:rPr>
          <w:rFonts w:hint="eastAsia" w:ascii="仿宋" w:hAnsi="仿宋" w:eastAsia="仿宋" w:cs="仿宋"/>
          <w:bCs w:val="0"/>
          <w:kern w:val="0"/>
          <w:sz w:val="32"/>
          <w:szCs w:val="32"/>
          <w:highlight w:val="none"/>
        </w:rPr>
        <w:t>等</w:t>
      </w:r>
      <w:r>
        <w:rPr>
          <w:rFonts w:ascii="仿宋" w:hAnsi="仿宋" w:eastAsia="仿宋" w:cs="仿宋"/>
          <w:sz w:val="32"/>
          <w:szCs w:val="32"/>
        </w:rPr>
        <w:t>。报告期内发生会计政策或者会计估计变更的，</w:t>
      </w:r>
      <w:r>
        <w:rPr>
          <w:rFonts w:hint="eastAsia" w:ascii="仿宋" w:hAnsi="仿宋" w:eastAsia="仿宋" w:cs="仿宋"/>
          <w:sz w:val="32"/>
          <w:szCs w:val="32"/>
        </w:rPr>
        <w:t>应当</w:t>
      </w:r>
      <w:r>
        <w:rPr>
          <w:rFonts w:ascii="仿宋" w:hAnsi="仿宋" w:eastAsia="仿宋" w:cs="仿宋"/>
          <w:sz w:val="32"/>
          <w:szCs w:val="32"/>
        </w:rPr>
        <w:t>说明原因和合理性，以及不同会计政策或者会计估计方法对不动产项目财务数据的影响。</w:t>
      </w:r>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57" w:name="_Toc7849"/>
      <w:bookmarkStart w:id="58" w:name="_Toc12992"/>
      <w:bookmarkStart w:id="59" w:name="_Toc7973"/>
      <w:bookmarkStart w:id="60" w:name="_Toc18809"/>
      <w:bookmarkStart w:id="61" w:name="_Toc198802682"/>
      <w:bookmarkStart w:id="62" w:name="_Toc18426"/>
      <w:bookmarkStart w:id="63" w:name="_Toc30417"/>
      <w:bookmarkStart w:id="64" w:name="_Toc203479456"/>
      <w:r>
        <w:rPr>
          <w:rFonts w:ascii="仿宋" w:hAnsi="仿宋" w:eastAsia="仿宋" w:cs="仿宋"/>
          <w:b/>
          <w:bCs/>
          <w:sz w:val="32"/>
          <w:szCs w:val="32"/>
        </w:rPr>
        <w:t>第三节 原始权益人</w:t>
      </w:r>
      <w:bookmarkEnd w:id="57"/>
      <w:bookmarkEnd w:id="58"/>
      <w:bookmarkEnd w:id="59"/>
      <w:bookmarkEnd w:id="60"/>
      <w:bookmarkEnd w:id="61"/>
      <w:bookmarkEnd w:id="62"/>
      <w:bookmarkEnd w:id="63"/>
      <w:bookmarkEnd w:id="64"/>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2.2.3.1基金管理人</w:t>
      </w:r>
      <w:r>
        <w:rPr>
          <w:rFonts w:hint="eastAsia" w:ascii="仿宋" w:hAnsi="仿宋" w:eastAsia="仿宋" w:cs="仿宋"/>
          <w:sz w:val="32"/>
          <w:szCs w:val="32"/>
        </w:rPr>
        <w:t>应当</w:t>
      </w:r>
      <w:r>
        <w:rPr>
          <w:rFonts w:ascii="仿宋" w:hAnsi="仿宋" w:eastAsia="仿宋" w:cs="仿宋"/>
          <w:sz w:val="32"/>
          <w:szCs w:val="32"/>
        </w:rPr>
        <w:t>列表披露</w:t>
      </w:r>
      <w:r>
        <w:rPr>
          <w:rFonts w:hint="eastAsia" w:ascii="仿宋" w:hAnsi="仿宋" w:eastAsia="仿宋" w:cs="仿宋"/>
          <w:sz w:val="32"/>
          <w:szCs w:val="32"/>
        </w:rPr>
        <w:t>主要</w:t>
      </w:r>
      <w:r>
        <w:rPr>
          <w:rFonts w:ascii="仿宋" w:hAnsi="仿宋" w:eastAsia="仿宋" w:cs="仿宋"/>
          <w:sz w:val="32"/>
          <w:szCs w:val="32"/>
        </w:rPr>
        <w:t>原始权益人的基本情况，参考格式</w:t>
      </w:r>
      <w:r>
        <w:rPr>
          <w:rFonts w:hint="eastAsia" w:ascii="仿宋" w:hAnsi="仿宋" w:eastAsia="仿宋" w:cs="仿宋"/>
          <w:sz w:val="32"/>
          <w:szCs w:val="32"/>
          <w:lang w:eastAsia="zh-CN"/>
        </w:rPr>
        <w:t>见</w:t>
      </w:r>
      <w:r>
        <w:rPr>
          <w:rFonts w:ascii="仿宋" w:hAnsi="仿宋" w:eastAsia="仿宋" w:cs="仿宋"/>
          <w:sz w:val="32"/>
          <w:szCs w:val="32"/>
        </w:rPr>
        <w:t>附件10</w:t>
      </w:r>
      <w:r>
        <w:rPr>
          <w:rFonts w:hint="eastAsia" w:ascii="仿宋" w:hAnsi="仿宋" w:eastAsia="仿宋" w:cs="仿宋"/>
          <w:sz w:val="32"/>
          <w:szCs w:val="32"/>
        </w:rPr>
        <w:t>，</w:t>
      </w:r>
      <w:r>
        <w:rPr>
          <w:rFonts w:ascii="仿宋" w:hAnsi="仿宋" w:eastAsia="仿宋" w:cs="仿宋"/>
          <w:sz w:val="32"/>
          <w:szCs w:val="32"/>
        </w:rPr>
        <w:t>并披露</w:t>
      </w:r>
      <w:r>
        <w:rPr>
          <w:rFonts w:hint="eastAsia" w:ascii="仿宋" w:hAnsi="仿宋" w:eastAsia="仿宋" w:cs="仿宋"/>
          <w:sz w:val="32"/>
          <w:szCs w:val="32"/>
        </w:rPr>
        <w:t>下列</w:t>
      </w:r>
      <w:r>
        <w:rPr>
          <w:rFonts w:ascii="仿宋" w:hAnsi="仿宋" w:eastAsia="仿宋" w:cs="仿宋"/>
          <w:sz w:val="32"/>
          <w:szCs w:val="32"/>
        </w:rPr>
        <w:t>内容，包括：</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名称、注册地址、注册资本、成立日期、法定代表人、经营范围、主要业务负责人；</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ascii="仿宋" w:hAnsi="仿宋" w:eastAsia="仿宋" w:cs="仿宋"/>
          <w:sz w:val="32"/>
          <w:szCs w:val="32"/>
        </w:rPr>
        <w:t>设立、存续</w:t>
      </w:r>
      <w:r>
        <w:rPr>
          <w:rFonts w:hint="eastAsia" w:ascii="仿宋" w:hAnsi="仿宋" w:eastAsia="仿宋" w:cs="仿宋"/>
          <w:sz w:val="32"/>
          <w:szCs w:val="32"/>
        </w:rPr>
        <w:t>和</w:t>
      </w:r>
      <w:r>
        <w:rPr>
          <w:rFonts w:ascii="仿宋" w:hAnsi="仿宋" w:eastAsia="仿宋" w:cs="仿宋"/>
          <w:sz w:val="32"/>
          <w:szCs w:val="32"/>
        </w:rPr>
        <w:t>历史沿革</w:t>
      </w:r>
      <w:r>
        <w:rPr>
          <w:rFonts w:hint="eastAsia" w:ascii="仿宋" w:hAnsi="仿宋" w:eastAsia="仿宋" w:cs="仿宋"/>
          <w:sz w:val="32"/>
          <w:szCs w:val="32"/>
        </w:rPr>
        <w:t>情况</w:t>
      </w:r>
      <w:r>
        <w:rPr>
          <w:rFonts w:ascii="仿宋" w:hAnsi="仿宋" w:eastAsia="仿宋" w:cs="仿宋"/>
          <w:sz w:val="32"/>
          <w:szCs w:val="32"/>
        </w:rPr>
        <w:t>；</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（三）</w:t>
      </w:r>
      <w:r>
        <w:rPr>
          <w:rFonts w:ascii="仿宋" w:hAnsi="仿宋" w:eastAsia="仿宋" w:cs="仿宋"/>
          <w:sz w:val="32"/>
          <w:szCs w:val="32"/>
        </w:rPr>
        <w:t>股权结构、控股股东和实际控制人、</w:t>
      </w:r>
      <w:bookmarkStart w:id="65" w:name="OLE_LINK1"/>
      <w:r>
        <w:rPr>
          <w:rFonts w:ascii="仿宋" w:hAnsi="仿宋" w:eastAsia="仿宋" w:cs="仿宋"/>
          <w:sz w:val="32"/>
          <w:szCs w:val="32"/>
        </w:rPr>
        <w:t>股权受限情况</w:t>
      </w:r>
      <w:bookmarkEnd w:id="65"/>
      <w:r>
        <w:rPr>
          <w:rFonts w:ascii="仿宋" w:hAnsi="仿宋" w:eastAsia="仿宋" w:cs="仿宋"/>
          <w:sz w:val="32"/>
          <w:szCs w:val="32"/>
        </w:rPr>
        <w:t>（如有）；</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（四）</w:t>
      </w:r>
      <w:r>
        <w:rPr>
          <w:rFonts w:ascii="仿宋" w:hAnsi="仿宋" w:eastAsia="仿宋" w:cs="仿宋"/>
          <w:sz w:val="32"/>
          <w:szCs w:val="32"/>
        </w:rPr>
        <w:t>组织架构</w:t>
      </w:r>
      <w:r>
        <w:rPr>
          <w:rFonts w:hint="eastAsia" w:ascii="仿宋" w:hAnsi="仿宋" w:eastAsia="仿宋" w:cs="仿宋"/>
          <w:sz w:val="32"/>
          <w:szCs w:val="32"/>
        </w:rPr>
        <w:t>和</w:t>
      </w:r>
      <w:r>
        <w:rPr>
          <w:rFonts w:ascii="仿宋" w:hAnsi="仿宋" w:eastAsia="仿宋" w:cs="仿宋"/>
          <w:sz w:val="32"/>
          <w:szCs w:val="32"/>
        </w:rPr>
        <w:t>内部治理机制情况；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（五）</w:t>
      </w:r>
      <w:r>
        <w:rPr>
          <w:rFonts w:ascii="仿宋" w:hAnsi="仿宋" w:eastAsia="仿宋" w:cs="仿宋"/>
          <w:sz w:val="32"/>
          <w:szCs w:val="32"/>
        </w:rPr>
        <w:t>业务模式、行业地位</w:t>
      </w:r>
      <w:r>
        <w:rPr>
          <w:rFonts w:hint="eastAsia" w:ascii="仿宋" w:hAnsi="仿宋" w:eastAsia="仿宋" w:cs="仿宋"/>
          <w:sz w:val="32"/>
          <w:szCs w:val="32"/>
        </w:rPr>
        <w:t>和</w:t>
      </w:r>
      <w:r>
        <w:rPr>
          <w:rFonts w:ascii="仿宋" w:hAnsi="仿宋" w:eastAsia="仿宋" w:cs="仿宋"/>
          <w:sz w:val="32"/>
          <w:szCs w:val="32"/>
        </w:rPr>
        <w:t>持续经营能力分析；</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（六）</w:t>
      </w:r>
      <w:r>
        <w:rPr>
          <w:rFonts w:ascii="仿宋" w:hAnsi="仿宋" w:eastAsia="仿宋" w:cs="仿宋"/>
          <w:sz w:val="32"/>
          <w:szCs w:val="32"/>
        </w:rPr>
        <w:t>近</w:t>
      </w:r>
      <w:r>
        <w:rPr>
          <w:rFonts w:hint="eastAsia" w:ascii="仿宋" w:hAnsi="仿宋" w:eastAsia="仿宋" w:cs="仿宋"/>
          <w:sz w:val="32"/>
          <w:szCs w:val="32"/>
        </w:rPr>
        <w:t>3</w:t>
      </w:r>
      <w:r>
        <w:rPr>
          <w:rFonts w:ascii="仿宋" w:hAnsi="仿宋" w:eastAsia="仿宋" w:cs="仿宋"/>
          <w:sz w:val="32"/>
          <w:szCs w:val="32"/>
        </w:rPr>
        <w:t>年及一期的主营业务、主要产品</w:t>
      </w:r>
      <w:r>
        <w:rPr>
          <w:rFonts w:hint="eastAsia" w:ascii="仿宋" w:hAnsi="仿宋" w:eastAsia="仿宋" w:cs="仿宋"/>
          <w:sz w:val="32"/>
          <w:szCs w:val="32"/>
        </w:rPr>
        <w:t>或者</w:t>
      </w:r>
      <w:r>
        <w:rPr>
          <w:rFonts w:ascii="仿宋" w:hAnsi="仿宋" w:eastAsia="仿宋" w:cs="仿宋"/>
          <w:sz w:val="32"/>
          <w:szCs w:val="32"/>
        </w:rPr>
        <w:t>服务的基本情况，主营业务收入的主要构成</w:t>
      </w:r>
      <w:r>
        <w:rPr>
          <w:rFonts w:hint="eastAsia" w:ascii="仿宋" w:hAnsi="仿宋" w:eastAsia="仿宋" w:cs="仿宋"/>
          <w:sz w:val="32"/>
          <w:szCs w:val="32"/>
        </w:rPr>
        <w:t>和</w:t>
      </w:r>
      <w:r>
        <w:rPr>
          <w:rFonts w:ascii="仿宋" w:hAnsi="仿宋" w:eastAsia="仿宋" w:cs="仿宋"/>
          <w:sz w:val="32"/>
          <w:szCs w:val="32"/>
        </w:rPr>
        <w:t>特征；</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（七）</w:t>
      </w:r>
      <w:r>
        <w:rPr>
          <w:rFonts w:ascii="仿宋" w:hAnsi="仿宋" w:eastAsia="仿宋" w:cs="仿宋"/>
          <w:sz w:val="32"/>
          <w:szCs w:val="32"/>
        </w:rPr>
        <w:t>近</w:t>
      </w:r>
      <w:r>
        <w:rPr>
          <w:rFonts w:hint="eastAsia" w:ascii="仿宋" w:hAnsi="仿宋" w:eastAsia="仿宋" w:cs="仿宋"/>
          <w:sz w:val="32"/>
          <w:szCs w:val="32"/>
        </w:rPr>
        <w:t>3</w:t>
      </w:r>
      <w:r>
        <w:rPr>
          <w:rFonts w:ascii="仿宋" w:hAnsi="仿宋" w:eastAsia="仿宋" w:cs="仿宋"/>
          <w:sz w:val="32"/>
          <w:szCs w:val="32"/>
        </w:rPr>
        <w:t>年及一期的财务数据</w:t>
      </w:r>
      <w:r>
        <w:rPr>
          <w:rFonts w:hint="eastAsia" w:ascii="仿宋" w:hAnsi="仿宋" w:eastAsia="仿宋" w:cs="仿宋"/>
          <w:sz w:val="32"/>
          <w:szCs w:val="32"/>
        </w:rPr>
        <w:t>和</w:t>
      </w:r>
      <w:r>
        <w:rPr>
          <w:rFonts w:ascii="仿宋" w:hAnsi="仿宋" w:eastAsia="仿宋" w:cs="仿宋"/>
          <w:sz w:val="32"/>
          <w:szCs w:val="32"/>
        </w:rPr>
        <w:t>偿债能力分析；</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（八）</w:t>
      </w:r>
      <w:r>
        <w:rPr>
          <w:rFonts w:ascii="仿宋" w:hAnsi="仿宋" w:eastAsia="仿宋" w:cs="仿宋"/>
          <w:sz w:val="32"/>
          <w:szCs w:val="32"/>
        </w:rPr>
        <w:t>资信水平、商业信用、主体评级情况（如有）；</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（九）</w:t>
      </w:r>
      <w:r>
        <w:rPr>
          <w:rFonts w:ascii="仿宋" w:hAnsi="仿宋" w:eastAsia="仿宋" w:cs="仿宋"/>
          <w:sz w:val="32"/>
          <w:szCs w:val="32"/>
        </w:rPr>
        <w:t>债务</w:t>
      </w:r>
      <w:r>
        <w:rPr>
          <w:rFonts w:hint="eastAsia" w:ascii="仿宋" w:hAnsi="仿宋" w:eastAsia="仿宋" w:cs="仿宋"/>
          <w:sz w:val="32"/>
          <w:szCs w:val="32"/>
        </w:rPr>
        <w:t>和</w:t>
      </w:r>
      <w:r>
        <w:rPr>
          <w:rFonts w:ascii="仿宋" w:hAnsi="仿宋" w:eastAsia="仿宋" w:cs="仿宋"/>
          <w:sz w:val="32"/>
          <w:szCs w:val="32"/>
        </w:rPr>
        <w:t>资本市场公开融资情况；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（十）</w:t>
      </w:r>
      <w:r>
        <w:rPr>
          <w:rFonts w:ascii="仿宋" w:hAnsi="仿宋" w:eastAsia="仿宋" w:cs="仿宋"/>
          <w:sz w:val="32"/>
          <w:szCs w:val="32"/>
        </w:rPr>
        <w:t>最近</w:t>
      </w:r>
      <w:r>
        <w:rPr>
          <w:rFonts w:hint="eastAsia" w:ascii="仿宋" w:hAnsi="仿宋" w:eastAsia="仿宋" w:cs="仿宋"/>
          <w:sz w:val="32"/>
          <w:szCs w:val="32"/>
        </w:rPr>
        <w:t>3</w:t>
      </w:r>
      <w:r>
        <w:rPr>
          <w:rFonts w:ascii="仿宋" w:hAnsi="仿宋" w:eastAsia="仿宋" w:cs="仿宋"/>
          <w:sz w:val="32"/>
          <w:szCs w:val="32"/>
        </w:rPr>
        <w:t>年（成立未满</w:t>
      </w:r>
      <w:r>
        <w:rPr>
          <w:rFonts w:hint="eastAsia" w:ascii="仿宋" w:hAnsi="仿宋" w:eastAsia="仿宋" w:cs="仿宋"/>
          <w:sz w:val="32"/>
          <w:szCs w:val="32"/>
        </w:rPr>
        <w:t>3</w:t>
      </w:r>
      <w:r>
        <w:rPr>
          <w:rFonts w:ascii="仿宋" w:hAnsi="仿宋" w:eastAsia="仿宋" w:cs="仿宋"/>
          <w:sz w:val="32"/>
          <w:szCs w:val="32"/>
        </w:rPr>
        <w:t>年的自公司</w:t>
      </w:r>
      <w:r>
        <w:rPr>
          <w:rFonts w:hint="eastAsia" w:ascii="仿宋" w:hAnsi="仿宋" w:eastAsia="仿宋" w:cs="仿宋"/>
          <w:sz w:val="32"/>
          <w:szCs w:val="32"/>
        </w:rPr>
        <w:t>成立之日</w:t>
      </w:r>
      <w:r>
        <w:rPr>
          <w:rFonts w:ascii="仿宋" w:hAnsi="仿宋" w:eastAsia="仿宋" w:cs="仿宋"/>
          <w:sz w:val="32"/>
          <w:szCs w:val="32"/>
        </w:rPr>
        <w:t>起）是否存在重大违法违规记录</w:t>
      </w:r>
      <w:r>
        <w:rPr>
          <w:rFonts w:hint="eastAsia" w:ascii="仿宋" w:hAnsi="仿宋" w:eastAsia="仿宋" w:cs="仿宋"/>
          <w:sz w:val="32"/>
          <w:szCs w:val="32"/>
        </w:rPr>
        <w:t>，</w:t>
      </w:r>
      <w:r>
        <w:rPr>
          <w:rFonts w:ascii="仿宋" w:hAnsi="仿宋" w:eastAsia="仿宋" w:cs="仿宋"/>
          <w:sz w:val="32"/>
          <w:szCs w:val="32"/>
        </w:rPr>
        <w:t>是否存在因严重违法失信行为被有权部门认定为失信被执行人、失信生产经营单位或者其他失信单位并被暂停或者限制进行融资的情形。</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对于租赁住房项目，</w:t>
      </w:r>
      <w:r>
        <w:rPr>
          <w:rFonts w:hint="eastAsia" w:ascii="仿宋" w:hAnsi="仿宋" w:eastAsia="仿宋" w:cs="仿宋"/>
          <w:sz w:val="32"/>
          <w:szCs w:val="32"/>
        </w:rPr>
        <w:t>主要</w:t>
      </w:r>
      <w:r>
        <w:rPr>
          <w:rFonts w:ascii="仿宋" w:hAnsi="仿宋" w:eastAsia="仿宋" w:cs="仿宋"/>
          <w:sz w:val="32"/>
          <w:szCs w:val="32"/>
        </w:rPr>
        <w:t>原始权益人控股股东或者其关联方业务范围涉及商品住宅和商业地产开发的，基金管理人</w:t>
      </w:r>
      <w:r>
        <w:rPr>
          <w:rFonts w:hint="eastAsia" w:ascii="仿宋" w:hAnsi="仿宋" w:eastAsia="仿宋" w:cs="仿宋"/>
          <w:sz w:val="32"/>
          <w:szCs w:val="32"/>
        </w:rPr>
        <w:t>应当</w:t>
      </w:r>
      <w:r>
        <w:rPr>
          <w:rFonts w:ascii="仿宋" w:hAnsi="仿宋" w:eastAsia="仿宋" w:cs="仿宋"/>
          <w:sz w:val="32"/>
          <w:szCs w:val="32"/>
        </w:rPr>
        <w:t>披露</w:t>
      </w:r>
      <w:r>
        <w:rPr>
          <w:rFonts w:hint="eastAsia" w:ascii="仿宋" w:hAnsi="仿宋" w:eastAsia="仿宋" w:cs="仿宋"/>
          <w:sz w:val="32"/>
          <w:szCs w:val="32"/>
        </w:rPr>
        <w:t>主要</w:t>
      </w:r>
      <w:r>
        <w:rPr>
          <w:rFonts w:ascii="仿宋" w:hAnsi="仿宋" w:eastAsia="仿宋" w:cs="仿宋"/>
          <w:sz w:val="32"/>
          <w:szCs w:val="32"/>
        </w:rPr>
        <w:t>原始权益人在资产、业务、财务、人员和机构等方面与商品住宅和商业地产开发业务保持有效隔离、相对独立的情况</w:t>
      </w:r>
      <w:r>
        <w:rPr>
          <w:rFonts w:hint="eastAsia" w:ascii="仿宋" w:hAnsi="仿宋" w:eastAsia="仿宋" w:cs="仿宋"/>
          <w:sz w:val="32"/>
          <w:szCs w:val="32"/>
        </w:rPr>
        <w:t>，以及</w:t>
      </w:r>
      <w:r>
        <w:rPr>
          <w:rFonts w:ascii="仿宋" w:hAnsi="仿宋" w:eastAsia="仿宋" w:cs="仿宋"/>
          <w:sz w:val="32"/>
          <w:szCs w:val="32"/>
        </w:rPr>
        <w:t>切实防范回收资金流入商品住宅</w:t>
      </w:r>
      <w:r>
        <w:rPr>
          <w:rFonts w:hint="eastAsia" w:ascii="仿宋" w:hAnsi="仿宋" w:eastAsia="仿宋" w:cs="仿宋"/>
          <w:sz w:val="32"/>
          <w:szCs w:val="32"/>
        </w:rPr>
        <w:t>或者</w:t>
      </w:r>
      <w:r>
        <w:rPr>
          <w:rFonts w:ascii="仿宋" w:hAnsi="仿宋" w:eastAsia="仿宋" w:cs="仿宋"/>
          <w:sz w:val="32"/>
          <w:szCs w:val="32"/>
        </w:rPr>
        <w:t>商业地产开发领域的具体措施。</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2.2.3.2基金管理人</w:t>
      </w:r>
      <w:r>
        <w:rPr>
          <w:rFonts w:hint="eastAsia" w:ascii="仿宋" w:hAnsi="仿宋" w:eastAsia="仿宋" w:cs="仿宋"/>
          <w:sz w:val="32"/>
          <w:szCs w:val="32"/>
        </w:rPr>
        <w:t>应当</w:t>
      </w:r>
      <w:r>
        <w:rPr>
          <w:rFonts w:ascii="仿宋" w:hAnsi="仿宋" w:eastAsia="仿宋" w:cs="仿宋"/>
          <w:sz w:val="32"/>
          <w:szCs w:val="32"/>
        </w:rPr>
        <w:t>披露</w:t>
      </w:r>
      <w:r>
        <w:rPr>
          <w:rFonts w:hint="eastAsia" w:ascii="仿宋" w:hAnsi="仿宋" w:eastAsia="仿宋" w:cs="仿宋"/>
          <w:sz w:val="32"/>
          <w:szCs w:val="32"/>
        </w:rPr>
        <w:t>主要</w:t>
      </w:r>
      <w:r>
        <w:rPr>
          <w:rFonts w:ascii="仿宋" w:hAnsi="仿宋" w:eastAsia="仿宋" w:cs="仿宋"/>
          <w:sz w:val="32"/>
          <w:szCs w:val="32"/>
        </w:rPr>
        <w:t>原始权益人对回收资金用途作出的承诺、回收资金管理制度（如有），以及回收资金的用途、合规性。</w:t>
      </w:r>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66" w:name="_Toc8590"/>
      <w:bookmarkStart w:id="67" w:name="_Toc11381"/>
      <w:bookmarkStart w:id="68" w:name="_Toc6553"/>
      <w:bookmarkStart w:id="69" w:name="_Toc10589"/>
      <w:bookmarkStart w:id="70" w:name="_Toc198802683"/>
      <w:bookmarkStart w:id="71" w:name="_Toc9664"/>
      <w:bookmarkStart w:id="72" w:name="_Toc21034"/>
      <w:bookmarkStart w:id="73" w:name="_Toc203479457"/>
      <w:r>
        <w:rPr>
          <w:rFonts w:ascii="仿宋" w:hAnsi="仿宋" w:eastAsia="仿宋" w:cs="仿宋"/>
          <w:b/>
          <w:bCs/>
          <w:sz w:val="32"/>
          <w:szCs w:val="32"/>
        </w:rPr>
        <w:t xml:space="preserve">第四节 </w:t>
      </w:r>
      <w:bookmarkEnd w:id="66"/>
      <w:bookmarkEnd w:id="67"/>
      <w:bookmarkEnd w:id="68"/>
      <w:r>
        <w:rPr>
          <w:rFonts w:hint="eastAsia" w:ascii="仿宋" w:hAnsi="仿宋" w:eastAsia="仿宋" w:cs="仿宋"/>
          <w:b/>
          <w:bCs/>
          <w:sz w:val="32"/>
          <w:szCs w:val="32"/>
        </w:rPr>
        <w:t>运营</w:t>
      </w:r>
      <w:r>
        <w:rPr>
          <w:rFonts w:ascii="仿宋" w:hAnsi="仿宋" w:eastAsia="仿宋" w:cs="仿宋"/>
          <w:b/>
          <w:bCs/>
          <w:sz w:val="32"/>
          <w:szCs w:val="32"/>
        </w:rPr>
        <w:t>管理机构</w:t>
      </w:r>
      <w:bookmarkEnd w:id="69"/>
      <w:bookmarkEnd w:id="70"/>
      <w:bookmarkEnd w:id="71"/>
      <w:bookmarkEnd w:id="72"/>
      <w:bookmarkEnd w:id="73"/>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2.2.4.1基金管理人</w:t>
      </w:r>
      <w:r>
        <w:rPr>
          <w:rFonts w:hint="eastAsia" w:ascii="仿宋" w:hAnsi="仿宋" w:eastAsia="仿宋" w:cs="仿宋"/>
          <w:sz w:val="32"/>
          <w:szCs w:val="32"/>
        </w:rPr>
        <w:t>应当</w:t>
      </w:r>
      <w:r>
        <w:rPr>
          <w:rFonts w:ascii="仿宋" w:hAnsi="仿宋" w:eastAsia="仿宋" w:cs="仿宋"/>
          <w:sz w:val="32"/>
          <w:szCs w:val="32"/>
        </w:rPr>
        <w:t>披露</w:t>
      </w:r>
      <w:r>
        <w:rPr>
          <w:rFonts w:hint="eastAsia" w:ascii="仿宋" w:hAnsi="仿宋" w:eastAsia="仿宋" w:cs="仿宋"/>
          <w:bCs/>
          <w:sz w:val="32"/>
          <w:szCs w:val="32"/>
        </w:rPr>
        <w:t>运营</w:t>
      </w:r>
      <w:r>
        <w:rPr>
          <w:rFonts w:ascii="仿宋" w:hAnsi="仿宋" w:eastAsia="仿宋" w:cs="仿宋"/>
          <w:sz w:val="32"/>
          <w:szCs w:val="32"/>
        </w:rPr>
        <w:t>管理机构的基本情况，包括：</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名称、注册地址、注册资本、成立日期、法定代表人、经营范围、主要负责人员；</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ascii="仿宋" w:hAnsi="仿宋" w:eastAsia="仿宋" w:cs="仿宋"/>
          <w:sz w:val="32"/>
          <w:szCs w:val="32"/>
        </w:rPr>
        <w:t>设立、存续和历史沿革情况；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（三）</w:t>
      </w:r>
      <w:r>
        <w:rPr>
          <w:rFonts w:ascii="仿宋" w:hAnsi="仿宋" w:eastAsia="仿宋" w:cs="仿宋"/>
          <w:sz w:val="32"/>
          <w:szCs w:val="32"/>
        </w:rPr>
        <w:t>股权结构、控股股东和实际控制人情况；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（四）</w:t>
      </w:r>
      <w:r>
        <w:rPr>
          <w:rFonts w:ascii="仿宋" w:hAnsi="仿宋" w:eastAsia="仿宋" w:cs="仿宋"/>
          <w:sz w:val="32"/>
          <w:szCs w:val="32"/>
        </w:rPr>
        <w:t>组织架构</w:t>
      </w:r>
      <w:r>
        <w:rPr>
          <w:rFonts w:hint="eastAsia" w:ascii="仿宋" w:hAnsi="仿宋" w:eastAsia="仿宋" w:cs="仿宋"/>
          <w:sz w:val="32"/>
          <w:szCs w:val="32"/>
        </w:rPr>
        <w:t>和</w:t>
      </w:r>
      <w:r>
        <w:rPr>
          <w:rFonts w:ascii="仿宋" w:hAnsi="仿宋" w:eastAsia="仿宋" w:cs="仿宋"/>
          <w:sz w:val="32"/>
          <w:szCs w:val="32"/>
        </w:rPr>
        <w:t>内部治理机制情况，不动产运营相关业务流程、管理制度、风险控制制度；</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（五）</w:t>
      </w:r>
      <w:r>
        <w:rPr>
          <w:rFonts w:ascii="仿宋" w:hAnsi="仿宋" w:eastAsia="仿宋" w:cs="仿宋"/>
          <w:sz w:val="32"/>
          <w:szCs w:val="32"/>
        </w:rPr>
        <w:t>业务模式</w:t>
      </w:r>
      <w:r>
        <w:rPr>
          <w:rFonts w:hint="eastAsia" w:ascii="仿宋" w:hAnsi="仿宋" w:eastAsia="仿宋" w:cs="仿宋"/>
          <w:sz w:val="32"/>
          <w:szCs w:val="32"/>
        </w:rPr>
        <w:t>和</w:t>
      </w:r>
      <w:r>
        <w:rPr>
          <w:rFonts w:ascii="仿宋" w:hAnsi="仿宋" w:eastAsia="仿宋" w:cs="仿宋"/>
          <w:sz w:val="32"/>
          <w:szCs w:val="32"/>
        </w:rPr>
        <w:t>持续经营能力；</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（六）</w:t>
      </w:r>
      <w:r>
        <w:rPr>
          <w:rFonts w:ascii="仿宋" w:hAnsi="仿宋" w:eastAsia="仿宋" w:cs="仿宋"/>
          <w:sz w:val="32"/>
          <w:szCs w:val="32"/>
        </w:rPr>
        <w:t>近</w:t>
      </w:r>
      <w:r>
        <w:rPr>
          <w:rFonts w:hint="eastAsia" w:ascii="仿宋" w:hAnsi="仿宋" w:eastAsia="仿宋" w:cs="仿宋"/>
          <w:sz w:val="32"/>
          <w:szCs w:val="32"/>
        </w:rPr>
        <w:t>3</w:t>
      </w:r>
      <w:r>
        <w:rPr>
          <w:rFonts w:ascii="仿宋" w:hAnsi="仿宋" w:eastAsia="仿宋" w:cs="仿宋"/>
          <w:sz w:val="32"/>
          <w:szCs w:val="32"/>
        </w:rPr>
        <w:t>年及一期的财务数据及主要财务指标分析</w:t>
      </w:r>
      <w:r>
        <w:rPr>
          <w:rFonts w:hint="eastAsia" w:ascii="仿宋" w:hAnsi="仿宋" w:eastAsia="仿宋" w:cs="仿宋"/>
          <w:sz w:val="32"/>
          <w:szCs w:val="32"/>
        </w:rPr>
        <w:t>（如有）</w:t>
      </w:r>
      <w:r>
        <w:rPr>
          <w:rFonts w:ascii="仿宋" w:hAnsi="仿宋" w:eastAsia="仿宋" w:cs="仿宋"/>
          <w:sz w:val="32"/>
          <w:szCs w:val="32"/>
        </w:rPr>
        <w:t>；</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（七）</w:t>
      </w:r>
      <w:r>
        <w:rPr>
          <w:rFonts w:ascii="仿宋" w:hAnsi="仿宋" w:eastAsia="仿宋" w:cs="仿宋"/>
          <w:sz w:val="32"/>
          <w:szCs w:val="32"/>
        </w:rPr>
        <w:t>公司资信水平</w:t>
      </w:r>
      <w:r>
        <w:rPr>
          <w:rFonts w:hint="eastAsia" w:ascii="仿宋" w:hAnsi="仿宋" w:eastAsia="仿宋" w:cs="仿宋"/>
          <w:sz w:val="32"/>
          <w:szCs w:val="32"/>
        </w:rPr>
        <w:t>，</w:t>
      </w:r>
      <w:r>
        <w:rPr>
          <w:rFonts w:ascii="仿宋" w:hAnsi="仿宋" w:eastAsia="仿宋" w:cs="仿宋"/>
          <w:sz w:val="32"/>
          <w:szCs w:val="32"/>
        </w:rPr>
        <w:t>包括最近</w:t>
      </w:r>
      <w:r>
        <w:rPr>
          <w:rFonts w:hint="eastAsia" w:ascii="仿宋" w:hAnsi="仿宋" w:eastAsia="仿宋" w:cs="仿宋"/>
          <w:sz w:val="32"/>
          <w:szCs w:val="32"/>
        </w:rPr>
        <w:t>3</w:t>
      </w:r>
      <w:r>
        <w:rPr>
          <w:rFonts w:ascii="仿宋" w:hAnsi="仿宋" w:eastAsia="仿宋" w:cs="仿宋"/>
          <w:sz w:val="32"/>
          <w:szCs w:val="32"/>
        </w:rPr>
        <w:t>年（成立未满</w:t>
      </w:r>
      <w:r>
        <w:rPr>
          <w:rFonts w:hint="eastAsia" w:ascii="仿宋" w:hAnsi="仿宋" w:eastAsia="仿宋" w:cs="仿宋"/>
          <w:sz w:val="32"/>
          <w:szCs w:val="32"/>
        </w:rPr>
        <w:t>3</w:t>
      </w:r>
      <w:r>
        <w:rPr>
          <w:rFonts w:ascii="仿宋" w:hAnsi="仿宋" w:eastAsia="仿宋" w:cs="仿宋"/>
          <w:sz w:val="32"/>
          <w:szCs w:val="32"/>
        </w:rPr>
        <w:t>年的自公司设立起）是否存在重大违法违规记录</w:t>
      </w:r>
      <w:r>
        <w:rPr>
          <w:rFonts w:hint="eastAsia" w:ascii="仿宋" w:hAnsi="仿宋" w:eastAsia="仿宋" w:cs="仿宋"/>
          <w:sz w:val="32"/>
          <w:szCs w:val="32"/>
        </w:rPr>
        <w:t>，</w:t>
      </w:r>
      <w:r>
        <w:rPr>
          <w:rFonts w:ascii="仿宋" w:hAnsi="仿宋" w:eastAsia="仿宋" w:cs="仿宋"/>
          <w:sz w:val="32"/>
          <w:szCs w:val="32"/>
        </w:rPr>
        <w:t>最近</w:t>
      </w:r>
      <w:r>
        <w:rPr>
          <w:rFonts w:hint="eastAsia" w:ascii="仿宋" w:hAnsi="仿宋" w:eastAsia="仿宋" w:cs="仿宋"/>
          <w:sz w:val="32"/>
          <w:szCs w:val="32"/>
        </w:rPr>
        <w:t>1</w:t>
      </w:r>
      <w:r>
        <w:rPr>
          <w:rFonts w:ascii="仿宋" w:hAnsi="仿宋" w:eastAsia="仿宋" w:cs="仿宋"/>
          <w:sz w:val="32"/>
          <w:szCs w:val="32"/>
        </w:rPr>
        <w:t>年是否存在因严重违法失信行为被有权部门认定为失信被执行人、失信生产经营单位或者其他失信单位等情形。</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2.2.4.2基金管理人</w:t>
      </w:r>
      <w:r>
        <w:rPr>
          <w:rFonts w:hint="eastAsia" w:ascii="仿宋" w:hAnsi="仿宋" w:eastAsia="仿宋" w:cs="仿宋"/>
          <w:sz w:val="32"/>
          <w:szCs w:val="32"/>
        </w:rPr>
        <w:t>应当</w:t>
      </w:r>
      <w:r>
        <w:rPr>
          <w:rFonts w:ascii="仿宋" w:hAnsi="仿宋" w:eastAsia="仿宋" w:cs="仿宋"/>
          <w:sz w:val="32"/>
          <w:szCs w:val="32"/>
        </w:rPr>
        <w:t>披露</w:t>
      </w:r>
      <w:r>
        <w:rPr>
          <w:rFonts w:hint="eastAsia" w:ascii="仿宋" w:hAnsi="仿宋" w:eastAsia="仿宋" w:cs="仿宋"/>
          <w:bCs/>
          <w:sz w:val="32"/>
          <w:szCs w:val="32"/>
        </w:rPr>
        <w:t>运营</w:t>
      </w:r>
      <w:r>
        <w:rPr>
          <w:rFonts w:ascii="仿宋" w:hAnsi="仿宋" w:eastAsia="仿宋" w:cs="仿宋"/>
          <w:sz w:val="32"/>
          <w:szCs w:val="32"/>
        </w:rPr>
        <w:t>管理机构与不动产项目相关的业务情况，包括：</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（一）经中国证监会备案情况；</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（二）不动产运营管理资质（如有）</w:t>
      </w:r>
      <w:r>
        <w:rPr>
          <w:rFonts w:hint="eastAsia" w:ascii="仿宋" w:hAnsi="仿宋" w:eastAsia="仿宋" w:cs="仿宋"/>
          <w:sz w:val="32"/>
          <w:szCs w:val="32"/>
        </w:rPr>
        <w:t>、</w:t>
      </w:r>
      <w:r>
        <w:rPr>
          <w:rFonts w:ascii="仿宋" w:hAnsi="仿宋" w:eastAsia="仿宋" w:cs="仿宋"/>
          <w:sz w:val="32"/>
          <w:szCs w:val="32"/>
        </w:rPr>
        <w:t>同行业不动产项目运营管理经验</w:t>
      </w:r>
      <w:r>
        <w:rPr>
          <w:rFonts w:hint="eastAsia" w:ascii="仿宋" w:hAnsi="仿宋" w:eastAsia="仿宋" w:cs="仿宋"/>
          <w:sz w:val="32"/>
          <w:szCs w:val="32"/>
        </w:rPr>
        <w:t>，以及</w:t>
      </w:r>
      <w:r>
        <w:rPr>
          <w:rFonts w:ascii="仿宋" w:hAnsi="仿宋" w:eastAsia="仿宋" w:cs="仿宋"/>
          <w:sz w:val="32"/>
          <w:szCs w:val="32"/>
        </w:rPr>
        <w:t>管理的同类</w:t>
      </w:r>
      <w:r>
        <w:rPr>
          <w:rFonts w:hint="eastAsia" w:ascii="仿宋" w:hAnsi="仿宋" w:eastAsia="仿宋" w:cs="仿宋"/>
          <w:sz w:val="32"/>
          <w:szCs w:val="32"/>
        </w:rPr>
        <w:t>资产</w:t>
      </w:r>
      <w:r>
        <w:rPr>
          <w:rFonts w:ascii="仿宋" w:hAnsi="仿宋" w:eastAsia="仿宋" w:cs="仿宋"/>
          <w:sz w:val="32"/>
          <w:szCs w:val="32"/>
        </w:rPr>
        <w:t>历史运营表现等；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（三）为管理不动产项目配备的主要负责人员情况、主要负责人员在不动产项目运营</w:t>
      </w:r>
      <w:r>
        <w:rPr>
          <w:rFonts w:hint="eastAsia" w:ascii="仿宋" w:hAnsi="仿宋" w:eastAsia="仿宋" w:cs="仿宋"/>
          <w:sz w:val="32"/>
          <w:szCs w:val="32"/>
        </w:rPr>
        <w:t>或者</w:t>
      </w:r>
      <w:r>
        <w:rPr>
          <w:rFonts w:ascii="仿宋" w:hAnsi="仿宋" w:eastAsia="仿宋" w:cs="仿宋"/>
          <w:sz w:val="32"/>
          <w:szCs w:val="32"/>
        </w:rPr>
        <w:t>投资管理领域的经验情况、其他专业人员配备情况；</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（四）不动产项目运营管理业务制度和流程、运营管理安排；</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（五）项目资金收支</w:t>
      </w:r>
      <w:r>
        <w:rPr>
          <w:rFonts w:hint="eastAsia" w:ascii="仿宋" w:hAnsi="仿宋" w:eastAsia="仿宋" w:cs="仿宋"/>
          <w:sz w:val="32"/>
          <w:szCs w:val="32"/>
        </w:rPr>
        <w:t>和</w:t>
      </w:r>
      <w:r>
        <w:rPr>
          <w:rFonts w:ascii="仿宋" w:hAnsi="仿宋" w:eastAsia="仿宋" w:cs="仿宋"/>
          <w:sz w:val="32"/>
          <w:szCs w:val="32"/>
        </w:rPr>
        <w:t>风险管控安排；</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w:t>
      </w:r>
      <w:r>
        <w:rPr>
          <w:rFonts w:hint="eastAsia" w:ascii="仿宋" w:hAnsi="仿宋" w:eastAsia="仿宋" w:cs="仿宋"/>
          <w:bCs/>
          <w:sz w:val="32"/>
          <w:szCs w:val="32"/>
        </w:rPr>
        <w:t>运营</w:t>
      </w:r>
      <w:r>
        <w:rPr>
          <w:rFonts w:ascii="仿宋" w:hAnsi="仿宋" w:eastAsia="仿宋" w:cs="仿宋"/>
          <w:sz w:val="32"/>
          <w:szCs w:val="32"/>
        </w:rPr>
        <w:t>管理机构同时向其他机构提供</w:t>
      </w:r>
      <w:r>
        <w:rPr>
          <w:rFonts w:hint="eastAsia" w:ascii="仿宋" w:hAnsi="仿宋" w:eastAsia="仿宋" w:cs="仿宋"/>
          <w:sz w:val="32"/>
          <w:szCs w:val="32"/>
        </w:rPr>
        <w:t>同类</w:t>
      </w:r>
      <w:r>
        <w:rPr>
          <w:rFonts w:ascii="仿宋" w:hAnsi="仿宋" w:eastAsia="仿宋" w:cs="仿宋"/>
          <w:sz w:val="32"/>
          <w:szCs w:val="32"/>
        </w:rPr>
        <w:t>项目运营管理服务的，披露相关</w:t>
      </w:r>
      <w:r>
        <w:rPr>
          <w:rFonts w:hint="eastAsia" w:ascii="仿宋" w:hAnsi="仿宋" w:eastAsia="仿宋" w:cs="仿宋"/>
          <w:sz w:val="32"/>
          <w:szCs w:val="32"/>
        </w:rPr>
        <w:t>独立机构或者</w:t>
      </w:r>
      <w:r>
        <w:rPr>
          <w:rFonts w:ascii="仿宋" w:hAnsi="仿宋" w:eastAsia="仿宋" w:cs="仿宋"/>
          <w:sz w:val="32"/>
          <w:szCs w:val="32"/>
        </w:rPr>
        <w:t>独立部门的设立情况，</w:t>
      </w:r>
      <w:r>
        <w:rPr>
          <w:rFonts w:hint="eastAsia" w:ascii="仿宋" w:hAnsi="仿宋" w:eastAsia="仿宋" w:cs="仿宋"/>
          <w:sz w:val="32"/>
          <w:szCs w:val="32"/>
        </w:rPr>
        <w:t>以及</w:t>
      </w:r>
      <w:r>
        <w:rPr>
          <w:rFonts w:ascii="仿宋" w:hAnsi="仿宋" w:eastAsia="仿宋" w:cs="仿宋"/>
          <w:sz w:val="32"/>
          <w:szCs w:val="32"/>
        </w:rPr>
        <w:t>避免出现利益冲突的风险缓释措施；</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（七）涉及多个</w:t>
      </w:r>
      <w:r>
        <w:rPr>
          <w:rFonts w:hint="eastAsia" w:ascii="仿宋" w:hAnsi="仿宋" w:eastAsia="仿宋" w:cs="仿宋"/>
          <w:bCs/>
          <w:sz w:val="32"/>
          <w:szCs w:val="32"/>
        </w:rPr>
        <w:t>运营</w:t>
      </w:r>
      <w:r>
        <w:rPr>
          <w:rFonts w:ascii="仿宋" w:hAnsi="仿宋" w:eastAsia="仿宋" w:cs="仿宋"/>
          <w:sz w:val="32"/>
          <w:szCs w:val="32"/>
        </w:rPr>
        <w:t>管理机构的，披露各</w:t>
      </w:r>
      <w:r>
        <w:rPr>
          <w:rFonts w:hint="eastAsia" w:ascii="仿宋" w:hAnsi="仿宋" w:eastAsia="仿宋" w:cs="仿宋"/>
          <w:bCs/>
          <w:sz w:val="32"/>
          <w:szCs w:val="32"/>
        </w:rPr>
        <w:t>运营</w:t>
      </w:r>
      <w:r>
        <w:rPr>
          <w:rFonts w:ascii="仿宋" w:hAnsi="仿宋" w:eastAsia="仿宋" w:cs="仿宋"/>
          <w:sz w:val="32"/>
          <w:szCs w:val="32"/>
        </w:rPr>
        <w:t>管理机构的职能分工、权责划分、协调机制等。</w:t>
      </w:r>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74" w:name="_Toc203479458"/>
      <w:bookmarkStart w:id="75" w:name="_Toc5310"/>
      <w:bookmarkStart w:id="76" w:name="_Toc21694"/>
      <w:bookmarkStart w:id="77" w:name="_Toc30287"/>
      <w:bookmarkStart w:id="78" w:name="_Toc198802684"/>
      <w:bookmarkStart w:id="79" w:name="_Toc27087"/>
      <w:bookmarkStart w:id="80" w:name="_Toc11266"/>
      <w:bookmarkStart w:id="81" w:name="_Toc19738"/>
      <w:r>
        <w:rPr>
          <w:rFonts w:ascii="仿宋" w:hAnsi="仿宋" w:eastAsia="仿宋" w:cs="仿宋"/>
          <w:b/>
          <w:bCs/>
          <w:sz w:val="32"/>
          <w:szCs w:val="32"/>
        </w:rPr>
        <w:t>第五节 存在重要影响的其他事项</w:t>
      </w:r>
      <w:bookmarkEnd w:id="74"/>
      <w:bookmarkEnd w:id="75"/>
      <w:bookmarkEnd w:id="76"/>
      <w:bookmarkEnd w:id="77"/>
      <w:bookmarkEnd w:id="78"/>
      <w:bookmarkEnd w:id="79"/>
      <w:bookmarkEnd w:id="80"/>
      <w:bookmarkEnd w:id="81"/>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2.2.5.1基金管理人</w:t>
      </w:r>
      <w:r>
        <w:rPr>
          <w:rFonts w:hint="eastAsia" w:ascii="仿宋" w:hAnsi="仿宋" w:eastAsia="仿宋" w:cs="仿宋"/>
          <w:sz w:val="32"/>
          <w:szCs w:val="32"/>
        </w:rPr>
        <w:t>应当</w:t>
      </w:r>
      <w:r>
        <w:rPr>
          <w:rFonts w:ascii="仿宋" w:hAnsi="仿宋" w:eastAsia="仿宋" w:cs="仿宋"/>
          <w:sz w:val="32"/>
          <w:szCs w:val="32"/>
        </w:rPr>
        <w:t>披露潜在租约、采购合同等对报告期项目运营、财务状况</w:t>
      </w:r>
      <w:r>
        <w:rPr>
          <w:rFonts w:hint="eastAsia" w:ascii="仿宋" w:hAnsi="仿宋" w:eastAsia="仿宋" w:cs="仿宋"/>
          <w:sz w:val="32"/>
          <w:szCs w:val="32"/>
        </w:rPr>
        <w:t>或者</w:t>
      </w:r>
      <w:r>
        <w:rPr>
          <w:rFonts w:ascii="仿宋" w:hAnsi="仿宋" w:eastAsia="仿宋" w:cs="仿宋"/>
          <w:sz w:val="32"/>
          <w:szCs w:val="32"/>
        </w:rPr>
        <w:t>未来发展等具有重要影响的已履行、正在履行和将要履行的合同情况，包括合同价款</w:t>
      </w:r>
      <w:r>
        <w:rPr>
          <w:rFonts w:hint="eastAsia" w:ascii="仿宋" w:hAnsi="仿宋" w:eastAsia="仿宋" w:cs="仿宋"/>
          <w:sz w:val="32"/>
          <w:szCs w:val="32"/>
        </w:rPr>
        <w:t>或者</w:t>
      </w:r>
      <w:r>
        <w:rPr>
          <w:rFonts w:ascii="仿宋" w:hAnsi="仿宋" w:eastAsia="仿宋" w:cs="仿宋"/>
          <w:sz w:val="32"/>
          <w:szCs w:val="32"/>
        </w:rPr>
        <w:t>报酬、履行期限、实际履行情况等，并分析对不动产项目的影响</w:t>
      </w:r>
      <w:r>
        <w:rPr>
          <w:rFonts w:hint="eastAsia" w:ascii="仿宋" w:hAnsi="仿宋" w:eastAsia="仿宋" w:cs="仿宋"/>
          <w:sz w:val="32"/>
          <w:szCs w:val="32"/>
        </w:rPr>
        <w:t>和</w:t>
      </w:r>
      <w:r>
        <w:rPr>
          <w:rFonts w:ascii="仿宋" w:hAnsi="仿宋" w:eastAsia="仿宋" w:cs="仿宋"/>
          <w:sz w:val="32"/>
          <w:szCs w:val="32"/>
        </w:rPr>
        <w:t>存在的风险。与同一交易主体在一个会计年度内连续发生的相同内容</w:t>
      </w:r>
      <w:r>
        <w:rPr>
          <w:rFonts w:hint="eastAsia" w:ascii="仿宋" w:hAnsi="仿宋" w:eastAsia="仿宋" w:cs="仿宋"/>
          <w:sz w:val="32"/>
          <w:szCs w:val="32"/>
        </w:rPr>
        <w:t>或者</w:t>
      </w:r>
      <w:r>
        <w:rPr>
          <w:rFonts w:ascii="仿宋" w:hAnsi="仿宋" w:eastAsia="仿宋" w:cs="仿宋"/>
          <w:sz w:val="32"/>
          <w:szCs w:val="32"/>
        </w:rPr>
        <w:t>性质的合同</w:t>
      </w:r>
      <w:r>
        <w:rPr>
          <w:rFonts w:hint="eastAsia" w:ascii="仿宋" w:hAnsi="仿宋" w:eastAsia="仿宋" w:cs="仿宋"/>
          <w:sz w:val="32"/>
          <w:szCs w:val="32"/>
        </w:rPr>
        <w:t>应当</w:t>
      </w:r>
      <w:r>
        <w:rPr>
          <w:rFonts w:ascii="仿宋" w:hAnsi="仿宋" w:eastAsia="仿宋" w:cs="仿宋"/>
          <w:sz w:val="32"/>
          <w:szCs w:val="32"/>
        </w:rPr>
        <w:t>累计计算。</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2.2.5.2基金管理人</w:t>
      </w:r>
      <w:r>
        <w:rPr>
          <w:rFonts w:hint="eastAsia" w:ascii="仿宋" w:hAnsi="仿宋" w:eastAsia="仿宋" w:cs="仿宋"/>
          <w:sz w:val="32"/>
          <w:szCs w:val="32"/>
        </w:rPr>
        <w:t>应当</w:t>
      </w:r>
      <w:r>
        <w:rPr>
          <w:rFonts w:ascii="仿宋" w:hAnsi="仿宋" w:eastAsia="仿宋" w:cs="仿宋"/>
          <w:sz w:val="32"/>
          <w:szCs w:val="32"/>
        </w:rPr>
        <w:t>披露对项目公司</w:t>
      </w:r>
      <w:r>
        <w:rPr>
          <w:rFonts w:hint="eastAsia" w:ascii="仿宋" w:hAnsi="仿宋" w:eastAsia="仿宋" w:cs="仿宋"/>
          <w:sz w:val="32"/>
          <w:szCs w:val="32"/>
        </w:rPr>
        <w:t>和</w:t>
      </w:r>
      <w:r>
        <w:rPr>
          <w:rFonts w:ascii="仿宋" w:hAnsi="仿宋" w:eastAsia="仿宋" w:cs="仿宋"/>
          <w:sz w:val="32"/>
          <w:szCs w:val="32"/>
        </w:rPr>
        <w:t>不动产项目财务状况、经营成果、声誉、业务活动、未来前景等可能产生较大影响的诉讼</w:t>
      </w:r>
      <w:r>
        <w:rPr>
          <w:rFonts w:hint="eastAsia" w:ascii="仿宋" w:hAnsi="仿宋" w:eastAsia="仿宋" w:cs="仿宋"/>
          <w:sz w:val="32"/>
          <w:szCs w:val="32"/>
        </w:rPr>
        <w:t>或者</w:t>
      </w:r>
      <w:r>
        <w:rPr>
          <w:rFonts w:ascii="仿宋" w:hAnsi="仿宋" w:eastAsia="仿宋" w:cs="仿宋"/>
          <w:sz w:val="32"/>
          <w:szCs w:val="32"/>
        </w:rPr>
        <w:t>仲裁事项，以及基金管理人、原始权益人、</w:t>
      </w:r>
      <w:r>
        <w:rPr>
          <w:rFonts w:hint="eastAsia" w:ascii="仿宋" w:hAnsi="仿宋" w:eastAsia="仿宋" w:cs="仿宋"/>
          <w:bCs/>
          <w:sz w:val="32"/>
          <w:szCs w:val="32"/>
        </w:rPr>
        <w:t>运营</w:t>
      </w:r>
      <w:r>
        <w:rPr>
          <w:rFonts w:ascii="仿宋" w:hAnsi="仿宋" w:eastAsia="仿宋" w:cs="仿宋"/>
          <w:sz w:val="32"/>
          <w:szCs w:val="32"/>
        </w:rPr>
        <w:t>管理机构等不动产基金主要参与机构</w:t>
      </w:r>
      <w:r>
        <w:rPr>
          <w:rFonts w:hint="eastAsia" w:ascii="仿宋" w:hAnsi="仿宋" w:eastAsia="仿宋" w:cs="仿宋"/>
          <w:sz w:val="32"/>
          <w:szCs w:val="32"/>
        </w:rPr>
        <w:t>及其有关</w:t>
      </w:r>
      <w:r>
        <w:rPr>
          <w:rFonts w:ascii="仿宋" w:hAnsi="仿宋" w:eastAsia="仿宋" w:cs="仿宋"/>
          <w:sz w:val="32"/>
          <w:szCs w:val="32"/>
        </w:rPr>
        <w:t>核心人员作为一方当事人可能对项目公司</w:t>
      </w:r>
      <w:r>
        <w:rPr>
          <w:rFonts w:hint="eastAsia" w:ascii="仿宋" w:hAnsi="仿宋" w:eastAsia="仿宋" w:cs="仿宋"/>
          <w:sz w:val="32"/>
          <w:szCs w:val="32"/>
        </w:rPr>
        <w:t>和</w:t>
      </w:r>
      <w:r>
        <w:rPr>
          <w:rFonts w:ascii="仿宋" w:hAnsi="仿宋" w:eastAsia="仿宋" w:cs="仿宋"/>
          <w:sz w:val="32"/>
          <w:szCs w:val="32"/>
        </w:rPr>
        <w:t>不动产项目产生影响的刑事诉讼、重大诉讼</w:t>
      </w:r>
      <w:r>
        <w:rPr>
          <w:rFonts w:hint="eastAsia" w:ascii="仿宋" w:hAnsi="仿宋" w:eastAsia="仿宋" w:cs="仿宋"/>
          <w:sz w:val="32"/>
          <w:szCs w:val="32"/>
        </w:rPr>
        <w:t>或者</w:t>
      </w:r>
      <w:r>
        <w:rPr>
          <w:rFonts w:ascii="仿宋" w:hAnsi="仿宋" w:eastAsia="仿宋" w:cs="仿宋"/>
          <w:sz w:val="32"/>
          <w:szCs w:val="32"/>
        </w:rPr>
        <w:t>仲裁事项，主要包括：</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（一）案件受理情况和基本案情；</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（二）诉讼</w:t>
      </w:r>
      <w:r>
        <w:rPr>
          <w:rFonts w:hint="eastAsia" w:ascii="仿宋" w:hAnsi="仿宋" w:eastAsia="仿宋" w:cs="仿宋"/>
          <w:sz w:val="32"/>
          <w:szCs w:val="32"/>
        </w:rPr>
        <w:t>或者</w:t>
      </w:r>
      <w:r>
        <w:rPr>
          <w:rFonts w:ascii="仿宋" w:hAnsi="仿宋" w:eastAsia="仿宋" w:cs="仿宋"/>
          <w:sz w:val="32"/>
          <w:szCs w:val="32"/>
        </w:rPr>
        <w:t>仲裁请求；</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（三）判决、裁决结果</w:t>
      </w:r>
      <w:r>
        <w:rPr>
          <w:rFonts w:hint="eastAsia" w:ascii="仿宋" w:hAnsi="仿宋" w:eastAsia="仿宋" w:cs="仿宋"/>
          <w:sz w:val="32"/>
          <w:szCs w:val="32"/>
        </w:rPr>
        <w:t>和</w:t>
      </w:r>
      <w:r>
        <w:rPr>
          <w:rFonts w:ascii="仿宋" w:hAnsi="仿宋" w:eastAsia="仿宋" w:cs="仿宋"/>
          <w:sz w:val="32"/>
          <w:szCs w:val="32"/>
        </w:rPr>
        <w:t>执行情况；</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（四）诉讼、仲裁案件对本项目的影响。</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2.2.5.3如</w:t>
      </w:r>
      <w:r>
        <w:rPr>
          <w:rFonts w:hint="eastAsia" w:ascii="仿宋" w:hAnsi="仿宋" w:eastAsia="仿宋" w:cs="仿宋"/>
          <w:sz w:val="32"/>
          <w:szCs w:val="32"/>
        </w:rPr>
        <w:t>果</w:t>
      </w:r>
      <w:r>
        <w:rPr>
          <w:rFonts w:ascii="仿宋" w:hAnsi="仿宋" w:eastAsia="仿宋" w:cs="仿宋"/>
          <w:sz w:val="32"/>
          <w:szCs w:val="32"/>
        </w:rPr>
        <w:t>交易结构中安排了其他对投资者收益有重大影响的机构，基金管理人</w:t>
      </w:r>
      <w:r>
        <w:rPr>
          <w:rFonts w:hint="eastAsia" w:ascii="仿宋" w:hAnsi="仿宋" w:eastAsia="仿宋" w:cs="仿宋"/>
          <w:sz w:val="32"/>
          <w:szCs w:val="32"/>
        </w:rPr>
        <w:t>应当</w:t>
      </w:r>
      <w:r>
        <w:rPr>
          <w:rFonts w:ascii="仿宋" w:hAnsi="仿宋" w:eastAsia="仿宋" w:cs="仿宋"/>
          <w:sz w:val="32"/>
          <w:szCs w:val="32"/>
        </w:rPr>
        <w:t>披露上述机构的基本情况，包括：</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（一）设立程序；</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（二）股权结构；</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（三）组织架构；</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（四）治理结构；</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（五）财务状况。</w:t>
      </w:r>
    </w:p>
    <w:p>
      <w:pPr>
        <w:adjustRightInd w:val="0"/>
        <w:snapToGrid w:val="0"/>
        <w:spacing w:beforeLines="0" w:afterLines="0" w:line="560" w:lineRule="exact"/>
        <w:ind w:left="0"/>
        <w:jc w:val="center"/>
        <w:outlineLvl w:val="1"/>
        <w:rPr>
          <w:rFonts w:hint="eastAsia" w:ascii="楷体" w:hAnsi="楷体" w:eastAsia="楷体" w:cs="仿宋"/>
          <w:b w:val="0"/>
          <w:bCs w:val="0"/>
          <w:sz w:val="32"/>
          <w:szCs w:val="32"/>
        </w:rPr>
      </w:pPr>
      <w:bookmarkStart w:id="82" w:name="_Toc29291"/>
      <w:bookmarkStart w:id="83" w:name="_Toc2006"/>
      <w:bookmarkStart w:id="84" w:name="_Toc203479459"/>
      <w:bookmarkStart w:id="85" w:name="_Toc22848"/>
      <w:bookmarkStart w:id="86" w:name="_Toc7612"/>
      <w:bookmarkStart w:id="87" w:name="_Toc198802685"/>
      <w:bookmarkStart w:id="88" w:name="_Toc30897"/>
      <w:bookmarkStart w:id="89" w:name="_Toc30053"/>
      <w:r>
        <w:rPr>
          <w:rFonts w:hint="eastAsia" w:ascii="楷体" w:hAnsi="楷体" w:eastAsia="楷体" w:cs="仿宋"/>
          <w:b w:val="0"/>
          <w:bCs w:val="0"/>
          <w:sz w:val="32"/>
          <w:szCs w:val="32"/>
        </w:rPr>
        <w:t>第三章 资产评估与现金流测算</w:t>
      </w:r>
      <w:bookmarkEnd w:id="82"/>
      <w:bookmarkEnd w:id="83"/>
      <w:bookmarkEnd w:id="84"/>
      <w:bookmarkEnd w:id="85"/>
      <w:bookmarkEnd w:id="86"/>
      <w:bookmarkEnd w:id="87"/>
      <w:bookmarkEnd w:id="88"/>
      <w:bookmarkEnd w:id="89"/>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90" w:name="_Toc1207"/>
      <w:bookmarkStart w:id="91" w:name="_Toc198802686"/>
      <w:bookmarkStart w:id="92" w:name="_Toc203479460"/>
      <w:bookmarkStart w:id="93" w:name="_Toc32450"/>
      <w:bookmarkStart w:id="94" w:name="_Toc17639"/>
      <w:bookmarkStart w:id="95" w:name="_Toc32179"/>
      <w:bookmarkStart w:id="96" w:name="_Toc60"/>
      <w:bookmarkStart w:id="97" w:name="_Toc19595"/>
      <w:r>
        <w:rPr>
          <w:rFonts w:ascii="仿宋" w:hAnsi="仿宋" w:eastAsia="仿宋" w:cs="仿宋"/>
          <w:b/>
          <w:bCs/>
          <w:sz w:val="32"/>
          <w:szCs w:val="32"/>
        </w:rPr>
        <w:t>第一节 资产评估</w:t>
      </w:r>
      <w:bookmarkEnd w:id="90"/>
      <w:bookmarkEnd w:id="91"/>
      <w:bookmarkEnd w:id="92"/>
      <w:bookmarkEnd w:id="93"/>
      <w:bookmarkEnd w:id="94"/>
      <w:bookmarkEnd w:id="95"/>
      <w:bookmarkEnd w:id="96"/>
      <w:bookmarkEnd w:id="97"/>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2.3.1.1基金管理人</w:t>
      </w:r>
      <w:r>
        <w:rPr>
          <w:rFonts w:hint="eastAsia" w:ascii="仿宋" w:hAnsi="仿宋" w:eastAsia="仿宋" w:cs="仿宋"/>
          <w:sz w:val="32"/>
          <w:szCs w:val="32"/>
        </w:rPr>
        <w:t>应当</w:t>
      </w:r>
      <w:r>
        <w:rPr>
          <w:rFonts w:ascii="仿宋" w:hAnsi="仿宋" w:eastAsia="仿宋" w:cs="仿宋"/>
          <w:sz w:val="32"/>
          <w:szCs w:val="32"/>
        </w:rPr>
        <w:t>披露不动产项目的评估情况，包括但不限于：</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（一）评估基准日；</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（二）评估方法；</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（三）评估假设条件；</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（四）评估过程；</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（五）评估参数设置依据；</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（六）评估价值；</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（七）账面价值与评估价值的差异情况；</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（八）存续期内部收益率（IRR）或者资本化率（Cap Rate）。</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土地到期后存在不动产剩余价值的，基金管理人</w:t>
      </w:r>
      <w:r>
        <w:rPr>
          <w:rFonts w:hint="eastAsia" w:ascii="仿宋" w:hAnsi="仿宋" w:eastAsia="仿宋" w:cs="仿宋"/>
          <w:sz w:val="32"/>
          <w:szCs w:val="32"/>
        </w:rPr>
        <w:t>应当</w:t>
      </w:r>
      <w:r>
        <w:rPr>
          <w:rFonts w:ascii="仿宋" w:hAnsi="仿宋" w:eastAsia="仿宋" w:cs="仿宋"/>
          <w:sz w:val="32"/>
          <w:szCs w:val="32"/>
        </w:rPr>
        <w:t>披露残值是否纳入估值</w:t>
      </w:r>
      <w:r>
        <w:rPr>
          <w:rFonts w:hint="eastAsia" w:ascii="仿宋" w:hAnsi="仿宋" w:eastAsia="仿宋" w:cs="仿宋"/>
          <w:sz w:val="32"/>
          <w:szCs w:val="32"/>
        </w:rPr>
        <w:t>和</w:t>
      </w:r>
      <w:r>
        <w:rPr>
          <w:rFonts w:ascii="仿宋" w:hAnsi="仿宋" w:eastAsia="仿宋" w:cs="仿宋"/>
          <w:sz w:val="32"/>
          <w:szCs w:val="32"/>
        </w:rPr>
        <w:t>相关依据。</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不动产项目涉及多业态融合的，管理人</w:t>
      </w:r>
      <w:r>
        <w:rPr>
          <w:rFonts w:hint="eastAsia" w:ascii="仿宋" w:hAnsi="仿宋" w:eastAsia="仿宋" w:cs="仿宋"/>
          <w:sz w:val="32"/>
          <w:szCs w:val="32"/>
        </w:rPr>
        <w:t>应当</w:t>
      </w:r>
      <w:r>
        <w:rPr>
          <w:rFonts w:ascii="仿宋" w:hAnsi="仿宋" w:eastAsia="仿宋" w:cs="仿宋"/>
          <w:sz w:val="32"/>
          <w:szCs w:val="32"/>
        </w:rPr>
        <w:t>结合不同业态的具体特点，披露主要估值参数的设置依据，所进行的差异化调整情况，并就相关合理性发表明确意见。</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2.3.1.2基金管理人</w:t>
      </w:r>
      <w:r>
        <w:rPr>
          <w:rFonts w:hint="eastAsia" w:ascii="仿宋" w:hAnsi="仿宋" w:eastAsia="仿宋" w:cs="仿宋"/>
          <w:sz w:val="32"/>
          <w:szCs w:val="32"/>
        </w:rPr>
        <w:t>应当</w:t>
      </w:r>
      <w:r>
        <w:rPr>
          <w:rFonts w:ascii="仿宋" w:hAnsi="仿宋" w:eastAsia="仿宋" w:cs="仿宋"/>
          <w:sz w:val="32"/>
          <w:szCs w:val="32"/>
        </w:rPr>
        <w:t>结合下列因素，对收入、成本、折现率等估值参数取值的合理性发表明确意见：</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不动产项目历史运营情况；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ascii="仿宋" w:hAnsi="仿宋" w:eastAsia="仿宋" w:cs="仿宋"/>
          <w:sz w:val="32"/>
          <w:szCs w:val="32"/>
        </w:rPr>
        <w:t>不动产项目收入和成本情况；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（三）</w:t>
      </w:r>
      <w:r>
        <w:rPr>
          <w:rFonts w:ascii="仿宋" w:hAnsi="仿宋" w:eastAsia="仿宋" w:cs="仿宋"/>
          <w:sz w:val="32"/>
          <w:szCs w:val="32"/>
        </w:rPr>
        <w:t>不动产项目客群分析；</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（四）</w:t>
      </w:r>
      <w:r>
        <w:rPr>
          <w:rFonts w:ascii="仿宋" w:hAnsi="仿宋" w:eastAsia="仿宋" w:cs="仿宋"/>
          <w:sz w:val="32"/>
          <w:szCs w:val="32"/>
        </w:rPr>
        <w:t>区域内现有在运营和未来</w:t>
      </w:r>
      <w:r>
        <w:rPr>
          <w:rFonts w:hint="eastAsia" w:ascii="仿宋" w:hAnsi="仿宋" w:eastAsia="仿宋" w:cs="仿宋"/>
          <w:sz w:val="32"/>
          <w:szCs w:val="32"/>
        </w:rPr>
        <w:t>3</w:t>
      </w:r>
      <w:r>
        <w:rPr>
          <w:rFonts w:ascii="仿宋" w:hAnsi="仿宋" w:eastAsia="仿宋" w:cs="仿宋"/>
          <w:sz w:val="32"/>
          <w:szCs w:val="32"/>
        </w:rPr>
        <w:t>年已规划竞品分析；</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（五）</w:t>
      </w:r>
      <w:r>
        <w:rPr>
          <w:rFonts w:ascii="仿宋" w:hAnsi="仿宋" w:eastAsia="仿宋" w:cs="仿宋"/>
          <w:sz w:val="32"/>
          <w:szCs w:val="32"/>
        </w:rPr>
        <w:t>宏观经济</w:t>
      </w:r>
      <w:r>
        <w:rPr>
          <w:rFonts w:hint="eastAsia" w:ascii="仿宋" w:hAnsi="仿宋" w:eastAsia="仿宋" w:cs="仿宋"/>
          <w:sz w:val="32"/>
          <w:szCs w:val="32"/>
        </w:rPr>
        <w:t>以及</w:t>
      </w:r>
      <w:r>
        <w:rPr>
          <w:rFonts w:ascii="仿宋" w:hAnsi="仿宋" w:eastAsia="仿宋" w:cs="仿宋"/>
          <w:sz w:val="32"/>
          <w:szCs w:val="32"/>
        </w:rPr>
        <w:t>所属区域经济发展情况；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（六）</w:t>
      </w:r>
      <w:r>
        <w:rPr>
          <w:rFonts w:ascii="仿宋" w:hAnsi="仿宋" w:eastAsia="仿宋" w:cs="仿宋"/>
          <w:sz w:val="32"/>
          <w:szCs w:val="32"/>
        </w:rPr>
        <w:t>所属行业发展情况；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（七）</w:t>
      </w:r>
      <w:r>
        <w:rPr>
          <w:rFonts w:ascii="仿宋" w:hAnsi="仿宋" w:eastAsia="仿宋" w:cs="仿宋"/>
          <w:sz w:val="32"/>
          <w:szCs w:val="32"/>
        </w:rPr>
        <w:t>项目公司资本结构；</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（八）</w:t>
      </w:r>
      <w:r>
        <w:rPr>
          <w:rFonts w:ascii="仿宋" w:hAnsi="仿宋" w:eastAsia="仿宋" w:cs="仿宋"/>
          <w:sz w:val="32"/>
          <w:szCs w:val="32"/>
        </w:rPr>
        <w:t>可比项目情况；</w:t>
      </w:r>
    </w:p>
    <w:p>
      <w:pPr>
        <w:widowControl/>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（九）</w:t>
      </w:r>
      <w:r>
        <w:rPr>
          <w:rFonts w:ascii="仿宋" w:hAnsi="仿宋" w:eastAsia="仿宋" w:cs="仿宋"/>
          <w:sz w:val="32"/>
          <w:szCs w:val="32"/>
        </w:rPr>
        <w:t>同行业上市公司重大资产重组和大宗交易情况（如有）。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2.3.1.3评估基准日后不动产项目发生可能导致收入</w:t>
      </w:r>
      <w:r>
        <w:rPr>
          <w:rFonts w:hint="eastAsia" w:ascii="仿宋" w:hAnsi="仿宋" w:eastAsia="仿宋" w:cs="仿宋"/>
          <w:sz w:val="32"/>
          <w:szCs w:val="32"/>
        </w:rPr>
        <w:t>或者</w:t>
      </w:r>
      <w:r>
        <w:rPr>
          <w:rFonts w:ascii="仿宋" w:hAnsi="仿宋" w:eastAsia="仿宋" w:cs="仿宋"/>
          <w:sz w:val="32"/>
          <w:szCs w:val="32"/>
        </w:rPr>
        <w:t>成本重大变化，或者对评估价值、现金流产生重大影响的事项，基金管理人</w:t>
      </w:r>
      <w:r>
        <w:rPr>
          <w:rFonts w:hint="eastAsia" w:ascii="仿宋" w:hAnsi="仿宋" w:eastAsia="仿宋" w:cs="仿宋"/>
          <w:sz w:val="32"/>
          <w:szCs w:val="32"/>
        </w:rPr>
        <w:t>应当</w:t>
      </w:r>
      <w:r>
        <w:rPr>
          <w:rFonts w:ascii="仿宋" w:hAnsi="仿宋" w:eastAsia="仿宋" w:cs="仿宋"/>
          <w:sz w:val="32"/>
          <w:szCs w:val="32"/>
        </w:rPr>
        <w:t>披露</w:t>
      </w:r>
      <w:r>
        <w:rPr>
          <w:rFonts w:hint="eastAsia" w:ascii="仿宋" w:hAnsi="仿宋" w:eastAsia="仿宋" w:cs="仿宋"/>
          <w:sz w:val="32"/>
          <w:szCs w:val="32"/>
        </w:rPr>
        <w:t>有关</w:t>
      </w:r>
      <w:r>
        <w:rPr>
          <w:rFonts w:ascii="仿宋" w:hAnsi="仿宋" w:eastAsia="仿宋" w:cs="仿宋"/>
          <w:sz w:val="32"/>
          <w:szCs w:val="32"/>
        </w:rPr>
        <w:t>事项的具体情况。</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与</w:t>
      </w:r>
      <w:r>
        <w:rPr>
          <w:rFonts w:hint="eastAsia" w:ascii="仿宋" w:hAnsi="仿宋" w:eastAsia="仿宋" w:cs="仿宋"/>
          <w:sz w:val="32"/>
          <w:szCs w:val="32"/>
        </w:rPr>
        <w:t>有关</w:t>
      </w:r>
      <w:r>
        <w:rPr>
          <w:rFonts w:ascii="仿宋" w:hAnsi="仿宋" w:eastAsia="仿宋" w:cs="仿宋"/>
          <w:sz w:val="32"/>
          <w:szCs w:val="32"/>
        </w:rPr>
        <w:t>机构结合因素影响，评估是否重新出具评估报告、可供分配金额测算报告，认为无需重新出具的，</w:t>
      </w:r>
      <w:r>
        <w:rPr>
          <w:rFonts w:hint="eastAsia" w:ascii="仿宋" w:hAnsi="仿宋" w:eastAsia="仿宋" w:cs="仿宋"/>
          <w:sz w:val="32"/>
          <w:szCs w:val="32"/>
        </w:rPr>
        <w:t>应当</w:t>
      </w:r>
      <w:r>
        <w:rPr>
          <w:rFonts w:ascii="仿宋" w:hAnsi="仿宋" w:eastAsia="仿宋" w:cs="仿宋"/>
          <w:sz w:val="32"/>
          <w:szCs w:val="32"/>
        </w:rPr>
        <w:t>披露理由。</w:t>
      </w:r>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98" w:name="_Toc20360"/>
      <w:bookmarkStart w:id="99" w:name="_Toc13819"/>
      <w:bookmarkStart w:id="100" w:name="_Toc3439"/>
      <w:bookmarkStart w:id="101" w:name="_Toc30978"/>
      <w:bookmarkStart w:id="102" w:name="_Toc13926"/>
      <w:bookmarkStart w:id="103" w:name="_Toc198802687"/>
      <w:bookmarkStart w:id="104" w:name="_Toc203479461"/>
      <w:bookmarkStart w:id="105" w:name="_Toc25327"/>
      <w:r>
        <w:rPr>
          <w:rFonts w:ascii="仿宋" w:hAnsi="仿宋" w:eastAsia="仿宋" w:cs="仿宋"/>
          <w:b/>
          <w:bCs/>
          <w:sz w:val="32"/>
          <w:szCs w:val="32"/>
        </w:rPr>
        <w:t>第二节 现金流测算分析</w:t>
      </w:r>
      <w:bookmarkEnd w:id="98"/>
      <w:bookmarkEnd w:id="99"/>
      <w:bookmarkEnd w:id="100"/>
      <w:bookmarkEnd w:id="101"/>
      <w:bookmarkEnd w:id="102"/>
      <w:bookmarkEnd w:id="103"/>
      <w:bookmarkEnd w:id="104"/>
      <w:bookmarkEnd w:id="105"/>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2.3.2.1基金管理人</w:t>
      </w:r>
      <w:r>
        <w:rPr>
          <w:rFonts w:hint="eastAsia" w:ascii="仿宋" w:hAnsi="仿宋" w:eastAsia="仿宋" w:cs="仿宋"/>
          <w:sz w:val="32"/>
          <w:szCs w:val="32"/>
        </w:rPr>
        <w:t>应当</w:t>
      </w:r>
      <w:r>
        <w:rPr>
          <w:rFonts w:ascii="仿宋" w:hAnsi="仿宋" w:eastAsia="仿宋" w:cs="仿宋"/>
          <w:sz w:val="32"/>
          <w:szCs w:val="32"/>
        </w:rPr>
        <w:t>概括披露可供分配金额预测情况，参考格式</w:t>
      </w:r>
      <w:r>
        <w:rPr>
          <w:rFonts w:hint="eastAsia" w:ascii="仿宋" w:hAnsi="仿宋" w:eastAsia="仿宋" w:cs="仿宋"/>
          <w:sz w:val="32"/>
          <w:szCs w:val="32"/>
          <w:lang w:eastAsia="zh-CN"/>
        </w:rPr>
        <w:t>见</w:t>
      </w:r>
      <w:r>
        <w:rPr>
          <w:rFonts w:ascii="仿宋" w:hAnsi="仿宋" w:eastAsia="仿宋" w:cs="仿宋"/>
          <w:sz w:val="32"/>
          <w:szCs w:val="32"/>
        </w:rPr>
        <w:t>附件6，并披露可供分配测算报告中的预测资产负债表、预测利润表、预测现金流量表和可供分配金额计算表，分析披露不动产项目未来</w:t>
      </w:r>
      <w:r>
        <w:rPr>
          <w:rFonts w:hint="eastAsia" w:ascii="仿宋" w:hAnsi="仿宋" w:eastAsia="仿宋" w:cs="仿宋"/>
          <w:sz w:val="32"/>
          <w:szCs w:val="32"/>
        </w:rPr>
        <w:t>2</w:t>
      </w:r>
      <w:r>
        <w:rPr>
          <w:rFonts w:ascii="仿宋" w:hAnsi="仿宋" w:eastAsia="仿宋" w:cs="仿宋"/>
          <w:sz w:val="32"/>
          <w:szCs w:val="32"/>
        </w:rPr>
        <w:t>年净现金流分派率及其增长潜力情况，并逐项披露可供分配金额测算报告中收入、成本、支出各项预测参数和调整项的设置依据和合理性。</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披露期初现金余额的具体构成</w:t>
      </w:r>
      <w:r>
        <w:rPr>
          <w:rFonts w:hint="eastAsia" w:ascii="仿宋" w:hAnsi="仿宋" w:eastAsia="仿宋" w:cs="仿宋"/>
          <w:sz w:val="32"/>
          <w:szCs w:val="32"/>
        </w:rPr>
        <w:t>以及原因</w:t>
      </w:r>
      <w:r>
        <w:rPr>
          <w:rFonts w:ascii="仿宋" w:hAnsi="仿宋" w:eastAsia="仿宋" w:cs="仿宋"/>
          <w:sz w:val="32"/>
          <w:szCs w:val="32"/>
        </w:rPr>
        <w:t>、发行前减资</w:t>
      </w:r>
      <w:r>
        <w:rPr>
          <w:rFonts w:hint="eastAsia" w:ascii="仿宋" w:hAnsi="仿宋" w:eastAsia="仿宋" w:cs="仿宋"/>
          <w:sz w:val="32"/>
          <w:szCs w:val="32"/>
        </w:rPr>
        <w:t>或者</w:t>
      </w:r>
      <w:r>
        <w:rPr>
          <w:rFonts w:ascii="仿宋" w:hAnsi="仿宋" w:eastAsia="仿宋" w:cs="仿宋"/>
          <w:sz w:val="32"/>
          <w:szCs w:val="32"/>
        </w:rPr>
        <w:t>分配等安排（如有）、存续期</w:t>
      </w:r>
      <w:r>
        <w:rPr>
          <w:rFonts w:hint="eastAsia" w:ascii="仿宋" w:hAnsi="仿宋" w:eastAsia="仿宋" w:cs="仿宋"/>
          <w:sz w:val="32"/>
          <w:szCs w:val="32"/>
        </w:rPr>
        <w:t>间</w:t>
      </w:r>
      <w:r>
        <w:rPr>
          <w:rFonts w:ascii="仿宋" w:hAnsi="仿宋" w:eastAsia="仿宋" w:cs="仿宋"/>
          <w:sz w:val="32"/>
          <w:szCs w:val="32"/>
        </w:rPr>
        <w:t>分派计划，期初现金余额占当期可供分配金额比例较高的，基金管理人</w:t>
      </w:r>
      <w:r>
        <w:rPr>
          <w:rFonts w:hint="eastAsia" w:ascii="仿宋" w:hAnsi="仿宋" w:eastAsia="仿宋" w:cs="仿宋"/>
          <w:sz w:val="32"/>
          <w:szCs w:val="32"/>
        </w:rPr>
        <w:t>应当</w:t>
      </w:r>
      <w:r>
        <w:rPr>
          <w:rFonts w:ascii="仿宋" w:hAnsi="仿宋" w:eastAsia="仿宋" w:cs="仿宋"/>
          <w:sz w:val="32"/>
          <w:szCs w:val="32"/>
        </w:rPr>
        <w:t>披露重要提示。</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披露评估报告与可供分配金额测算报告对不动产项目现金流预测结果的差异情况。评估报告现金流与可供分配金额差异比例超过5%的，基金管理人</w:t>
      </w:r>
      <w:r>
        <w:rPr>
          <w:rFonts w:hint="eastAsia" w:ascii="仿宋" w:hAnsi="仿宋" w:eastAsia="仿宋" w:cs="仿宋"/>
          <w:sz w:val="32"/>
          <w:szCs w:val="32"/>
        </w:rPr>
        <w:t>应当</w:t>
      </w:r>
      <w:r>
        <w:rPr>
          <w:rFonts w:ascii="仿宋" w:hAnsi="仿宋" w:eastAsia="仿宋" w:cs="仿宋"/>
          <w:sz w:val="32"/>
          <w:szCs w:val="32"/>
        </w:rPr>
        <w:t>披露差异原因及其合理性。</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提示投资者阅读可供分配金额测算报告</w:t>
      </w:r>
      <w:r>
        <w:rPr>
          <w:rFonts w:hint="eastAsia" w:ascii="仿宋" w:hAnsi="仿宋" w:eastAsia="仿宋" w:cs="仿宋"/>
          <w:sz w:val="32"/>
          <w:szCs w:val="32"/>
        </w:rPr>
        <w:t>和</w:t>
      </w:r>
      <w:r>
        <w:rPr>
          <w:rFonts w:ascii="仿宋" w:hAnsi="仿宋" w:eastAsia="仿宋" w:cs="仿宋"/>
          <w:sz w:val="32"/>
          <w:szCs w:val="32"/>
        </w:rPr>
        <w:t>审阅报告全文。</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2.3.2.2基金管理人</w:t>
      </w:r>
      <w:r>
        <w:rPr>
          <w:rFonts w:hint="eastAsia" w:ascii="仿宋" w:hAnsi="仿宋" w:eastAsia="仿宋" w:cs="仿宋"/>
          <w:sz w:val="32"/>
          <w:szCs w:val="32"/>
        </w:rPr>
        <w:t>应当</w:t>
      </w:r>
      <w:r>
        <w:rPr>
          <w:rFonts w:ascii="仿宋" w:hAnsi="仿宋" w:eastAsia="仿宋" w:cs="仿宋"/>
          <w:sz w:val="32"/>
          <w:szCs w:val="32"/>
        </w:rPr>
        <w:t>披露不动产项目未来资本性支出（建筑和设备维修保养支出、改造更新支出等）安排和合理性，以及资本性支出对不动产基金存续期</w:t>
      </w:r>
      <w:r>
        <w:rPr>
          <w:rFonts w:hint="eastAsia" w:ascii="仿宋" w:hAnsi="仿宋" w:eastAsia="仿宋" w:cs="仿宋"/>
          <w:sz w:val="32"/>
          <w:szCs w:val="32"/>
        </w:rPr>
        <w:t>间</w:t>
      </w:r>
      <w:r>
        <w:rPr>
          <w:rFonts w:ascii="仿宋" w:hAnsi="仿宋" w:eastAsia="仿宋" w:cs="仿宋"/>
          <w:sz w:val="32"/>
          <w:szCs w:val="32"/>
        </w:rPr>
        <w:t>可供分配金额的影响，并重点说明不动产项目未来</w:t>
      </w:r>
      <w:r>
        <w:rPr>
          <w:rFonts w:hint="eastAsia" w:ascii="仿宋" w:hAnsi="仿宋" w:eastAsia="仿宋" w:cs="仿宋"/>
          <w:sz w:val="32"/>
          <w:szCs w:val="32"/>
        </w:rPr>
        <w:t>资本性</w:t>
      </w:r>
      <w:r>
        <w:rPr>
          <w:rFonts w:ascii="仿宋" w:hAnsi="仿宋" w:eastAsia="仿宋" w:cs="仿宋"/>
          <w:sz w:val="32"/>
          <w:szCs w:val="32"/>
        </w:rPr>
        <w:t>支出与历史水平（如有）相比是否具有延续性、与项目运营年限是否匹配等。</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2.3.2.3基金管理人</w:t>
      </w:r>
      <w:r>
        <w:rPr>
          <w:rFonts w:hint="eastAsia" w:ascii="仿宋" w:hAnsi="仿宋" w:eastAsia="仿宋" w:cs="仿宋"/>
          <w:sz w:val="32"/>
          <w:szCs w:val="32"/>
        </w:rPr>
        <w:t>应当</w:t>
      </w:r>
      <w:r>
        <w:rPr>
          <w:rFonts w:ascii="仿宋" w:hAnsi="仿宋" w:eastAsia="仿宋" w:cs="仿宋"/>
          <w:sz w:val="32"/>
          <w:szCs w:val="32"/>
        </w:rPr>
        <w:t>分析披露影响可供分配金额结果实现的主要风险因素</w:t>
      </w:r>
      <w:r>
        <w:rPr>
          <w:rFonts w:hint="eastAsia" w:ascii="仿宋" w:hAnsi="仿宋" w:eastAsia="仿宋" w:cs="仿宋"/>
          <w:sz w:val="32"/>
          <w:szCs w:val="32"/>
        </w:rPr>
        <w:t>和</w:t>
      </w:r>
      <w:r>
        <w:rPr>
          <w:rFonts w:ascii="仿宋" w:hAnsi="仿宋" w:eastAsia="仿宋" w:cs="仿宋"/>
          <w:sz w:val="32"/>
          <w:szCs w:val="32"/>
        </w:rPr>
        <w:t>对策，披露可供分配金额测算关键假设的敏感性分析。</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2.3.2.4基金管理人</w:t>
      </w:r>
      <w:r>
        <w:rPr>
          <w:rFonts w:hint="eastAsia" w:ascii="仿宋" w:hAnsi="仿宋" w:eastAsia="仿宋" w:cs="仿宋"/>
          <w:sz w:val="32"/>
          <w:szCs w:val="32"/>
        </w:rPr>
        <w:t>应当</w:t>
      </w:r>
      <w:r>
        <w:rPr>
          <w:rFonts w:ascii="仿宋" w:hAnsi="仿宋" w:eastAsia="仿宋" w:cs="仿宋"/>
          <w:sz w:val="32"/>
          <w:szCs w:val="32"/>
        </w:rPr>
        <w:t>披露基于现金流预测和可供分配金额测算的不动产项目未来</w:t>
      </w:r>
      <w:r>
        <w:rPr>
          <w:rFonts w:hint="eastAsia" w:ascii="仿宋" w:hAnsi="仿宋" w:eastAsia="仿宋" w:cs="仿宋"/>
          <w:sz w:val="32"/>
          <w:szCs w:val="32"/>
        </w:rPr>
        <w:t>2</w:t>
      </w:r>
      <w:r>
        <w:rPr>
          <w:rFonts w:ascii="仿宋" w:hAnsi="仿宋" w:eastAsia="仿宋" w:cs="仿宋"/>
          <w:sz w:val="32"/>
          <w:szCs w:val="32"/>
        </w:rPr>
        <w:t>年净现金流分派率、全周期内部收益率等，以及截至评估基准日的</w:t>
      </w:r>
      <w:r>
        <w:rPr>
          <w:rFonts w:hint="eastAsia" w:ascii="仿宋" w:hAnsi="仿宋" w:eastAsia="仿宋" w:cs="仿宋"/>
          <w:sz w:val="32"/>
          <w:szCs w:val="32"/>
        </w:rPr>
        <w:t>10</w:t>
      </w:r>
      <w:r>
        <w:rPr>
          <w:rFonts w:ascii="仿宋" w:hAnsi="仿宋" w:eastAsia="仿宋" w:cs="仿宋"/>
          <w:sz w:val="32"/>
          <w:szCs w:val="32"/>
        </w:rPr>
        <w:t>年期国债收益率。</w:t>
      </w:r>
    </w:p>
    <w:bookmarkEnd w:id="35"/>
    <w:bookmarkEnd w:id="36"/>
    <w:p>
      <w:pPr>
        <w:adjustRightInd w:val="0"/>
        <w:snapToGrid w:val="0"/>
        <w:spacing w:beforeLines="0" w:afterLines="0" w:line="560" w:lineRule="exact"/>
        <w:ind w:left="0"/>
        <w:jc w:val="center"/>
        <w:outlineLvl w:val="1"/>
        <w:rPr>
          <w:rFonts w:hint="eastAsia" w:ascii="楷体" w:hAnsi="楷体" w:eastAsia="楷体" w:cs="仿宋"/>
          <w:b w:val="0"/>
          <w:bCs w:val="0"/>
          <w:sz w:val="32"/>
          <w:szCs w:val="32"/>
          <w:lang w:val="en-US" w:eastAsia="zh-CN"/>
        </w:rPr>
      </w:pPr>
      <w:bookmarkStart w:id="106" w:name="_Toc24435"/>
      <w:bookmarkStart w:id="107" w:name="_Toc22522"/>
      <w:bookmarkStart w:id="108" w:name="_Toc16141"/>
      <w:bookmarkStart w:id="109" w:name="_Toc203479462"/>
      <w:bookmarkStart w:id="110" w:name="_Toc25923"/>
      <w:bookmarkStart w:id="111" w:name="_Toc198802688"/>
      <w:r>
        <w:rPr>
          <w:rFonts w:hint="eastAsia" w:ascii="楷体" w:hAnsi="楷体" w:eastAsia="楷体" w:cs="仿宋"/>
          <w:b w:val="0"/>
          <w:bCs w:val="0"/>
          <w:sz w:val="32"/>
          <w:szCs w:val="32"/>
          <w:lang w:val="en-US" w:eastAsia="zh-CN"/>
        </w:rPr>
        <w:t>第四章 治理机制与运营管理安排</w:t>
      </w:r>
      <w:bookmarkEnd w:id="106"/>
      <w:bookmarkEnd w:id="107"/>
      <w:bookmarkEnd w:id="108"/>
    </w:p>
    <w:p>
      <w:pPr>
        <w:widowControl/>
        <w:adjustRightInd w:val="0"/>
        <w:snapToGrid w:val="0"/>
        <w:spacing w:beforeLines="0" w:afterLines="0" w:line="560" w:lineRule="exact"/>
        <w:ind w:left="0"/>
        <w:jc w:val="center"/>
        <w:outlineLvl w:val="2"/>
        <w:rPr>
          <w:rFonts w:hint="eastAsia" w:ascii="仿宋" w:hAnsi="仿宋" w:eastAsia="仿宋" w:cs="仿宋"/>
          <w:b/>
          <w:bCs/>
          <w:sz w:val="32"/>
          <w:szCs w:val="32"/>
          <w:lang w:val="en-US" w:eastAsia="zh-CN"/>
        </w:rPr>
      </w:pPr>
      <w:bookmarkStart w:id="112" w:name="_Toc20458"/>
      <w:bookmarkStart w:id="113" w:name="_Toc6408"/>
      <w:bookmarkStart w:id="114" w:name="_Toc23157"/>
      <w:r>
        <w:rPr>
          <w:rFonts w:ascii="仿宋" w:hAnsi="仿宋" w:eastAsia="仿宋" w:cs="仿宋"/>
          <w:b/>
          <w:bCs/>
          <w:sz w:val="32"/>
          <w:szCs w:val="32"/>
        </w:rPr>
        <w:t>第</w:t>
      </w:r>
      <w:r>
        <w:rPr>
          <w:rFonts w:hint="eastAsia" w:ascii="仿宋" w:hAnsi="仿宋" w:eastAsia="仿宋" w:cs="仿宋"/>
          <w:b/>
          <w:bCs/>
          <w:sz w:val="32"/>
          <w:szCs w:val="32"/>
          <w:lang w:val="en-US" w:eastAsia="zh-CN"/>
        </w:rPr>
        <w:t>一</w:t>
      </w:r>
      <w:r>
        <w:rPr>
          <w:rFonts w:ascii="仿宋" w:hAnsi="仿宋" w:eastAsia="仿宋" w:cs="仿宋"/>
          <w:b/>
          <w:bCs/>
          <w:sz w:val="32"/>
          <w:szCs w:val="32"/>
        </w:rPr>
        <w:t>节 不动产基金治理</w:t>
      </w:r>
      <w:r>
        <w:rPr>
          <w:rFonts w:hint="eastAsia" w:ascii="仿宋" w:hAnsi="仿宋" w:eastAsia="仿宋" w:cs="仿宋"/>
          <w:b/>
          <w:bCs/>
          <w:sz w:val="32"/>
          <w:szCs w:val="32"/>
          <w:lang w:val="en-US" w:eastAsia="zh-CN"/>
        </w:rPr>
        <w:t>机制</w:t>
      </w:r>
      <w:bookmarkEnd w:id="112"/>
      <w:bookmarkEnd w:id="113"/>
      <w:bookmarkEnd w:id="114"/>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2.4.</w:t>
      </w:r>
      <w:r>
        <w:rPr>
          <w:rFonts w:hint="eastAsia" w:ascii="仿宋" w:hAnsi="仿宋" w:eastAsia="仿宋" w:cs="仿宋"/>
          <w:sz w:val="32"/>
          <w:szCs w:val="32"/>
          <w:lang w:val="en-US" w:eastAsia="zh-CN"/>
        </w:rPr>
        <w:t>1</w:t>
      </w:r>
      <w:r>
        <w:rPr>
          <w:rFonts w:ascii="仿宋" w:hAnsi="仿宋" w:eastAsia="仿宋" w:cs="仿宋"/>
          <w:sz w:val="32"/>
          <w:szCs w:val="32"/>
        </w:rPr>
        <w:t>.1基金管理人</w:t>
      </w:r>
      <w:r>
        <w:rPr>
          <w:rFonts w:hint="eastAsia" w:ascii="仿宋" w:hAnsi="仿宋" w:eastAsia="仿宋" w:cs="仿宋"/>
          <w:sz w:val="32"/>
          <w:szCs w:val="32"/>
        </w:rPr>
        <w:t>应当</w:t>
      </w:r>
      <w:r>
        <w:rPr>
          <w:rFonts w:ascii="仿宋" w:hAnsi="仿宋" w:eastAsia="仿宋" w:cs="仿宋"/>
          <w:sz w:val="32"/>
          <w:szCs w:val="32"/>
        </w:rPr>
        <w:t>以图表</w:t>
      </w:r>
      <w:r>
        <w:rPr>
          <w:rFonts w:hint="eastAsia" w:ascii="仿宋" w:hAnsi="仿宋" w:eastAsia="仿宋" w:cs="仿宋"/>
          <w:sz w:val="32"/>
          <w:szCs w:val="32"/>
        </w:rPr>
        <w:t>或者</w:t>
      </w:r>
      <w:r>
        <w:rPr>
          <w:rFonts w:ascii="仿宋" w:hAnsi="仿宋" w:eastAsia="仿宋" w:cs="仿宋"/>
          <w:sz w:val="32"/>
          <w:szCs w:val="32"/>
        </w:rPr>
        <w:t>其他有效形式简要披露项目公司、基金管理人、基金份额持有人大会日常机构（如有）、基金份额持有人大会等不同层面，对不动产项目运营过程中重要事项的分层决策机制，包括但不限于决策权限、触发条件、表决规则</w:t>
      </w:r>
      <w:r>
        <w:rPr>
          <w:rFonts w:hint="eastAsia" w:ascii="仿宋" w:hAnsi="仿宋" w:eastAsia="仿宋" w:cs="仿宋"/>
          <w:sz w:val="32"/>
          <w:szCs w:val="32"/>
        </w:rPr>
        <w:t>和</w:t>
      </w:r>
      <w:r>
        <w:rPr>
          <w:rFonts w:ascii="仿宋" w:hAnsi="仿宋" w:eastAsia="仿宋" w:cs="仿宋"/>
          <w:sz w:val="32"/>
          <w:szCs w:val="32"/>
        </w:rPr>
        <w:t>执行路径；披露基金管理人等业务参与机构在基金治理中的权利与义务</w:t>
      </w:r>
      <w:r>
        <w:rPr>
          <w:rFonts w:hint="eastAsia" w:ascii="仿宋" w:hAnsi="仿宋" w:eastAsia="仿宋" w:cs="仿宋"/>
          <w:sz w:val="32"/>
          <w:szCs w:val="32"/>
        </w:rPr>
        <w:t>；</w:t>
      </w:r>
      <w:r>
        <w:rPr>
          <w:rFonts w:ascii="仿宋" w:hAnsi="仿宋" w:eastAsia="仿宋" w:cs="仿宋"/>
          <w:sz w:val="32"/>
          <w:szCs w:val="32"/>
        </w:rPr>
        <w:t>明确基金管理人关于流动性管理的相关安排。</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2.4.</w:t>
      </w:r>
      <w:r>
        <w:rPr>
          <w:rFonts w:hint="eastAsia" w:ascii="仿宋" w:hAnsi="仿宋" w:eastAsia="仿宋" w:cs="仿宋"/>
          <w:sz w:val="32"/>
          <w:szCs w:val="32"/>
          <w:lang w:val="en-US" w:eastAsia="zh-CN"/>
        </w:rPr>
        <w:t>1</w:t>
      </w:r>
      <w:r>
        <w:rPr>
          <w:rFonts w:ascii="仿宋" w:hAnsi="仿宋" w:eastAsia="仿宋" w:cs="仿宋"/>
          <w:sz w:val="32"/>
          <w:szCs w:val="32"/>
        </w:rPr>
        <w:t>.2基金管理人</w:t>
      </w:r>
      <w:r>
        <w:rPr>
          <w:rFonts w:hint="eastAsia" w:ascii="仿宋" w:hAnsi="仿宋" w:eastAsia="仿宋" w:cs="仿宋"/>
          <w:sz w:val="32"/>
          <w:szCs w:val="32"/>
        </w:rPr>
        <w:t>应当</w:t>
      </w:r>
      <w:r>
        <w:rPr>
          <w:rFonts w:ascii="仿宋" w:hAnsi="仿宋" w:eastAsia="仿宋" w:cs="仿宋"/>
          <w:sz w:val="32"/>
          <w:szCs w:val="32"/>
        </w:rPr>
        <w:t>披露基金份额持有人大会的</w:t>
      </w:r>
      <w:r>
        <w:rPr>
          <w:rFonts w:hint="eastAsia" w:ascii="仿宋" w:hAnsi="仿宋" w:eastAsia="仿宋" w:cs="仿宋"/>
          <w:sz w:val="32"/>
          <w:szCs w:val="32"/>
        </w:rPr>
        <w:t>有关</w:t>
      </w:r>
      <w:r>
        <w:rPr>
          <w:rFonts w:ascii="仿宋" w:hAnsi="仿宋" w:eastAsia="仿宋" w:cs="仿宋"/>
          <w:sz w:val="32"/>
          <w:szCs w:val="32"/>
        </w:rPr>
        <w:t>情况，包括但不限于：</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（一）基金份额持有人大会规则的主要内容；</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（二）基金份额持有人权利、行使程序；</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（三）基金份额持有人</w:t>
      </w:r>
      <w:r>
        <w:rPr>
          <w:rFonts w:hint="eastAsia" w:ascii="仿宋" w:hAnsi="仿宋" w:eastAsia="仿宋" w:cs="仿宋"/>
          <w:sz w:val="32"/>
          <w:szCs w:val="32"/>
        </w:rPr>
        <w:t>大会</w:t>
      </w:r>
      <w:r>
        <w:rPr>
          <w:rFonts w:ascii="仿宋" w:hAnsi="仿宋" w:eastAsia="仿宋" w:cs="仿宋"/>
          <w:sz w:val="32"/>
          <w:szCs w:val="32"/>
        </w:rPr>
        <w:t>的召集、通知、决策机制和信息披露等重要事项。</w:t>
      </w:r>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115" w:name="_Toc7024"/>
      <w:bookmarkStart w:id="116" w:name="_Toc13728"/>
      <w:bookmarkStart w:id="117" w:name="_Toc21255"/>
      <w:r>
        <w:rPr>
          <w:rFonts w:ascii="仿宋" w:hAnsi="仿宋" w:eastAsia="仿宋" w:cs="仿宋"/>
          <w:b/>
          <w:bCs/>
          <w:sz w:val="32"/>
          <w:szCs w:val="32"/>
        </w:rPr>
        <w:t>第</w:t>
      </w:r>
      <w:r>
        <w:rPr>
          <w:rFonts w:hint="eastAsia" w:ascii="仿宋" w:hAnsi="仿宋" w:eastAsia="仿宋" w:cs="仿宋"/>
          <w:b/>
          <w:bCs/>
          <w:sz w:val="32"/>
          <w:szCs w:val="32"/>
          <w:lang w:val="en-US" w:eastAsia="zh-CN"/>
        </w:rPr>
        <w:t>二</w:t>
      </w:r>
      <w:r>
        <w:rPr>
          <w:rFonts w:ascii="仿宋" w:hAnsi="仿宋" w:eastAsia="仿宋" w:cs="仿宋"/>
          <w:b/>
          <w:bCs/>
          <w:sz w:val="32"/>
          <w:szCs w:val="32"/>
        </w:rPr>
        <w:t>节 运营管理安排</w:t>
      </w:r>
      <w:bookmarkEnd w:id="115"/>
      <w:bookmarkEnd w:id="116"/>
      <w:bookmarkEnd w:id="117"/>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2.4.</w:t>
      </w:r>
      <w:r>
        <w:rPr>
          <w:rFonts w:hint="eastAsia" w:ascii="仿宋" w:hAnsi="仿宋" w:eastAsia="仿宋" w:cs="仿宋"/>
          <w:sz w:val="32"/>
          <w:szCs w:val="32"/>
          <w:lang w:val="en-US" w:eastAsia="zh-CN"/>
        </w:rPr>
        <w:t>2</w:t>
      </w:r>
      <w:r>
        <w:rPr>
          <w:rFonts w:ascii="仿宋" w:hAnsi="仿宋" w:eastAsia="仿宋" w:cs="仿宋"/>
          <w:sz w:val="32"/>
          <w:szCs w:val="32"/>
        </w:rPr>
        <w:t>.1基金管理人</w:t>
      </w:r>
      <w:r>
        <w:rPr>
          <w:rFonts w:hint="eastAsia" w:ascii="仿宋" w:hAnsi="仿宋" w:eastAsia="仿宋" w:cs="仿宋"/>
          <w:sz w:val="32"/>
          <w:szCs w:val="32"/>
        </w:rPr>
        <w:t>应当</w:t>
      </w:r>
      <w:r>
        <w:rPr>
          <w:rFonts w:ascii="仿宋" w:hAnsi="仿宋" w:eastAsia="仿宋" w:cs="仿宋"/>
          <w:sz w:val="32"/>
          <w:szCs w:val="32"/>
        </w:rPr>
        <w:t>披露其按照有关规定履行不动产项目运营管理职责的具体安排和机制，</w:t>
      </w:r>
      <w:r>
        <w:rPr>
          <w:rFonts w:hint="eastAsia" w:ascii="仿宋" w:hAnsi="仿宋" w:eastAsia="仿宋" w:cs="仿宋"/>
          <w:sz w:val="32"/>
          <w:szCs w:val="32"/>
        </w:rPr>
        <w:t>以及</w:t>
      </w:r>
      <w:r>
        <w:rPr>
          <w:rFonts w:ascii="仿宋" w:hAnsi="仿宋" w:eastAsia="仿宋" w:cs="仿宋"/>
          <w:sz w:val="32"/>
          <w:szCs w:val="32"/>
        </w:rPr>
        <w:t>保障不动产项目运营稳定性的风险缓释措施（如有）。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基金管理人管理多个同类不动产基金的，</w:t>
      </w:r>
      <w:r>
        <w:rPr>
          <w:rFonts w:hint="eastAsia" w:ascii="仿宋" w:hAnsi="仿宋" w:eastAsia="仿宋" w:cs="仿宋"/>
          <w:sz w:val="32"/>
          <w:szCs w:val="32"/>
        </w:rPr>
        <w:t>应当</w:t>
      </w:r>
      <w:r>
        <w:rPr>
          <w:rFonts w:ascii="仿宋" w:hAnsi="仿宋" w:eastAsia="仿宋" w:cs="仿宋"/>
          <w:sz w:val="32"/>
          <w:szCs w:val="32"/>
        </w:rPr>
        <w:t>披露在同类资产运营管理、拟购入不动产项目安排、决策机制等方面的利益冲突防范机制，并充分揭示风险。</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2.4.</w:t>
      </w:r>
      <w:r>
        <w:rPr>
          <w:rFonts w:hint="eastAsia" w:ascii="仿宋" w:hAnsi="仿宋" w:eastAsia="仿宋" w:cs="仿宋"/>
          <w:sz w:val="32"/>
          <w:szCs w:val="32"/>
          <w:lang w:val="en-US" w:eastAsia="zh-CN"/>
        </w:rPr>
        <w:t>2</w:t>
      </w:r>
      <w:r>
        <w:rPr>
          <w:rFonts w:ascii="仿宋" w:hAnsi="仿宋" w:eastAsia="仿宋" w:cs="仿宋"/>
          <w:sz w:val="32"/>
          <w:szCs w:val="32"/>
        </w:rPr>
        <w:t>.2委托</w:t>
      </w:r>
      <w:r>
        <w:rPr>
          <w:rFonts w:hint="eastAsia" w:ascii="仿宋" w:hAnsi="仿宋" w:eastAsia="仿宋" w:cs="仿宋"/>
          <w:bCs/>
          <w:sz w:val="32"/>
          <w:szCs w:val="32"/>
        </w:rPr>
        <w:t>运营</w:t>
      </w:r>
      <w:r>
        <w:rPr>
          <w:rFonts w:ascii="仿宋" w:hAnsi="仿宋" w:eastAsia="仿宋" w:cs="仿宋"/>
          <w:sz w:val="32"/>
          <w:szCs w:val="32"/>
        </w:rPr>
        <w:t>管理机构运营管理的，基金管理人</w:t>
      </w:r>
      <w:r>
        <w:rPr>
          <w:rFonts w:hint="eastAsia" w:ascii="仿宋" w:hAnsi="仿宋" w:eastAsia="仿宋" w:cs="仿宋"/>
          <w:sz w:val="32"/>
          <w:szCs w:val="32"/>
        </w:rPr>
        <w:t>应当</w:t>
      </w:r>
      <w:r>
        <w:rPr>
          <w:rFonts w:ascii="仿宋" w:hAnsi="仿宋" w:eastAsia="仿宋" w:cs="仿宋"/>
          <w:sz w:val="32"/>
          <w:szCs w:val="32"/>
        </w:rPr>
        <w:t>披露运营管理协议的主要内容，包括但不限于：</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（一）协议各方的主要权利义务、运营服务内容；</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（二）业务移交安排</w:t>
      </w:r>
      <w:r>
        <w:rPr>
          <w:rFonts w:hint="eastAsia" w:ascii="仿宋" w:hAnsi="仿宋" w:eastAsia="仿宋" w:cs="仿宋"/>
          <w:sz w:val="32"/>
          <w:szCs w:val="32"/>
        </w:rPr>
        <w:t>，</w:t>
      </w:r>
      <w:r>
        <w:rPr>
          <w:rFonts w:ascii="仿宋" w:hAnsi="仿宋" w:eastAsia="仿宋" w:cs="仿宋"/>
          <w:sz w:val="32"/>
          <w:szCs w:val="32"/>
        </w:rPr>
        <w:t>考核安排</w:t>
      </w:r>
      <w:r>
        <w:rPr>
          <w:rFonts w:hint="eastAsia" w:ascii="仿宋" w:hAnsi="仿宋" w:eastAsia="仿宋" w:cs="仿宋"/>
          <w:sz w:val="32"/>
          <w:szCs w:val="32"/>
        </w:rPr>
        <w:t>，</w:t>
      </w:r>
      <w:r>
        <w:rPr>
          <w:rFonts w:ascii="仿宋" w:hAnsi="仿宋" w:eastAsia="仿宋" w:cs="仿宋"/>
          <w:sz w:val="32"/>
          <w:szCs w:val="32"/>
        </w:rPr>
        <w:t>解聘条件和流程</w:t>
      </w:r>
      <w:r>
        <w:rPr>
          <w:rFonts w:hint="eastAsia" w:ascii="仿宋" w:hAnsi="仿宋" w:eastAsia="仿宋" w:cs="仿宋"/>
          <w:sz w:val="32"/>
          <w:szCs w:val="32"/>
        </w:rPr>
        <w:t>，</w:t>
      </w:r>
      <w:r>
        <w:rPr>
          <w:rFonts w:ascii="仿宋" w:hAnsi="仿宋" w:eastAsia="仿宋" w:cs="仿宋"/>
          <w:sz w:val="32"/>
          <w:szCs w:val="32"/>
        </w:rPr>
        <w:t>协议违约、终止和争议解决方式等重要事项；</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（三）关键运营管理事项的决策机制；</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（四）涉及将非主要职责转委托的，</w:t>
      </w:r>
      <w:r>
        <w:rPr>
          <w:rFonts w:hint="eastAsia" w:ascii="仿宋" w:hAnsi="仿宋" w:eastAsia="仿宋" w:cs="仿宋"/>
          <w:sz w:val="32"/>
          <w:szCs w:val="32"/>
        </w:rPr>
        <w:t>应当</w:t>
      </w:r>
      <w:r>
        <w:rPr>
          <w:rFonts w:ascii="仿宋" w:hAnsi="仿宋" w:eastAsia="仿宋" w:cs="仿宋"/>
          <w:sz w:val="32"/>
          <w:szCs w:val="32"/>
        </w:rPr>
        <w:t>披露转委托的权利</w:t>
      </w:r>
      <w:r>
        <w:rPr>
          <w:rFonts w:hint="eastAsia" w:ascii="仿宋" w:hAnsi="仿宋" w:eastAsia="仿宋" w:cs="仿宋"/>
          <w:sz w:val="32"/>
          <w:szCs w:val="32"/>
        </w:rPr>
        <w:t>和</w:t>
      </w:r>
      <w:r>
        <w:rPr>
          <w:rFonts w:ascii="仿宋" w:hAnsi="仿宋" w:eastAsia="仿宋" w:cs="仿宋"/>
          <w:sz w:val="32"/>
          <w:szCs w:val="32"/>
        </w:rPr>
        <w:t>义务，以及受托机构的选任条件和资质要求（如有）。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2.4.</w:t>
      </w:r>
      <w:r>
        <w:rPr>
          <w:rFonts w:hint="eastAsia" w:ascii="仿宋" w:hAnsi="仿宋" w:eastAsia="仿宋" w:cs="仿宋"/>
          <w:sz w:val="32"/>
          <w:szCs w:val="32"/>
          <w:lang w:val="en-US" w:eastAsia="zh-CN"/>
        </w:rPr>
        <w:t>2</w:t>
      </w:r>
      <w:r>
        <w:rPr>
          <w:rFonts w:ascii="仿宋" w:hAnsi="仿宋" w:eastAsia="仿宋" w:cs="仿宋"/>
          <w:sz w:val="32"/>
          <w:szCs w:val="32"/>
        </w:rPr>
        <w:t>.3委托</w:t>
      </w:r>
      <w:r>
        <w:rPr>
          <w:rFonts w:hint="eastAsia" w:ascii="仿宋" w:hAnsi="仿宋" w:eastAsia="仿宋" w:cs="仿宋"/>
          <w:bCs/>
          <w:sz w:val="32"/>
          <w:szCs w:val="32"/>
        </w:rPr>
        <w:t>运营</w:t>
      </w:r>
      <w:r>
        <w:rPr>
          <w:rFonts w:ascii="仿宋" w:hAnsi="仿宋" w:eastAsia="仿宋" w:cs="仿宋"/>
          <w:sz w:val="32"/>
          <w:szCs w:val="32"/>
        </w:rPr>
        <w:t>管理机构运营管理的，基金管理人</w:t>
      </w:r>
      <w:r>
        <w:rPr>
          <w:rFonts w:hint="eastAsia" w:ascii="仿宋" w:hAnsi="仿宋" w:eastAsia="仿宋" w:cs="仿宋"/>
          <w:sz w:val="32"/>
          <w:szCs w:val="32"/>
        </w:rPr>
        <w:t>应当</w:t>
      </w:r>
      <w:r>
        <w:rPr>
          <w:rFonts w:ascii="仿宋" w:hAnsi="仿宋" w:eastAsia="仿宋" w:cs="仿宋"/>
          <w:sz w:val="32"/>
          <w:szCs w:val="32"/>
        </w:rPr>
        <w:t>披露运营管理费用情况，包括但不限于：</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（一）费用构成；</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（二）收取基准、计算方式、调整安排；</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（三）支付主体、支付方式和支付频次等；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（四）与历史运</w:t>
      </w:r>
      <w:r>
        <w:rPr>
          <w:rFonts w:hint="eastAsia" w:ascii="仿宋" w:hAnsi="仿宋" w:eastAsia="仿宋" w:cs="仿宋"/>
          <w:sz w:val="32"/>
          <w:szCs w:val="32"/>
        </w:rPr>
        <w:t>营</w:t>
      </w:r>
      <w:r>
        <w:rPr>
          <w:rFonts w:ascii="仿宋" w:hAnsi="仿宋" w:eastAsia="仿宋" w:cs="仿宋"/>
          <w:sz w:val="32"/>
          <w:szCs w:val="32"/>
        </w:rPr>
        <w:t>管</w:t>
      </w:r>
      <w:r>
        <w:rPr>
          <w:rFonts w:hint="eastAsia" w:ascii="仿宋" w:hAnsi="仿宋" w:eastAsia="仿宋" w:cs="仿宋"/>
          <w:sz w:val="32"/>
          <w:szCs w:val="32"/>
        </w:rPr>
        <w:t>理</w:t>
      </w:r>
      <w:r>
        <w:rPr>
          <w:rFonts w:ascii="仿宋" w:hAnsi="仿宋" w:eastAsia="仿宋" w:cs="仿宋"/>
          <w:sz w:val="32"/>
          <w:szCs w:val="32"/>
        </w:rPr>
        <w:t>费用的匹配情况</w:t>
      </w:r>
      <w:r>
        <w:rPr>
          <w:rFonts w:hint="eastAsia" w:ascii="仿宋" w:hAnsi="仿宋" w:eastAsia="仿宋" w:cs="仿宋"/>
          <w:sz w:val="32"/>
          <w:szCs w:val="32"/>
        </w:rPr>
        <w:t>、</w:t>
      </w:r>
      <w:r>
        <w:rPr>
          <w:rFonts w:ascii="仿宋" w:hAnsi="仿宋" w:eastAsia="仿宋" w:cs="仿宋"/>
          <w:sz w:val="32"/>
          <w:szCs w:val="32"/>
        </w:rPr>
        <w:t>运</w:t>
      </w:r>
      <w:r>
        <w:rPr>
          <w:rFonts w:hint="eastAsia" w:ascii="仿宋" w:hAnsi="仿宋" w:eastAsia="仿宋" w:cs="仿宋"/>
          <w:sz w:val="32"/>
          <w:szCs w:val="32"/>
        </w:rPr>
        <w:t>营</w:t>
      </w:r>
      <w:r>
        <w:rPr>
          <w:rFonts w:ascii="仿宋" w:hAnsi="仿宋" w:eastAsia="仿宋" w:cs="仿宋"/>
          <w:sz w:val="32"/>
          <w:szCs w:val="32"/>
        </w:rPr>
        <w:t>管</w:t>
      </w:r>
      <w:r>
        <w:rPr>
          <w:rFonts w:hint="eastAsia" w:ascii="仿宋" w:hAnsi="仿宋" w:eastAsia="仿宋" w:cs="仿宋"/>
          <w:sz w:val="32"/>
          <w:szCs w:val="32"/>
        </w:rPr>
        <w:t>理</w:t>
      </w:r>
      <w:r>
        <w:rPr>
          <w:rFonts w:ascii="仿宋" w:hAnsi="仿宋" w:eastAsia="仿宋" w:cs="仿宋"/>
          <w:sz w:val="32"/>
          <w:szCs w:val="32"/>
        </w:rPr>
        <w:t>费率与行业平均水平的对比分析情况；</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（五）基础管理费</w:t>
      </w:r>
      <w:r>
        <w:rPr>
          <w:rFonts w:hint="eastAsia" w:ascii="仿宋" w:hAnsi="仿宋" w:eastAsia="仿宋" w:cs="仿宋"/>
          <w:sz w:val="32"/>
          <w:szCs w:val="32"/>
        </w:rPr>
        <w:t>和</w:t>
      </w:r>
      <w:r>
        <w:rPr>
          <w:rFonts w:ascii="仿宋" w:hAnsi="仿宋" w:eastAsia="仿宋" w:cs="仿宋"/>
          <w:sz w:val="32"/>
          <w:szCs w:val="32"/>
        </w:rPr>
        <w:t>浮动管理费设置机制</w:t>
      </w:r>
      <w:r>
        <w:rPr>
          <w:rFonts w:hint="eastAsia" w:ascii="仿宋" w:hAnsi="仿宋" w:eastAsia="仿宋" w:cs="仿宋"/>
          <w:sz w:val="32"/>
          <w:szCs w:val="32"/>
        </w:rPr>
        <w:t>、</w:t>
      </w:r>
      <w:r>
        <w:rPr>
          <w:rFonts w:ascii="仿宋" w:hAnsi="仿宋" w:eastAsia="仿宋" w:cs="仿宋"/>
          <w:sz w:val="32"/>
          <w:szCs w:val="32"/>
        </w:rPr>
        <w:t>管理费考核目标基准确定机制</w:t>
      </w:r>
      <w:r>
        <w:rPr>
          <w:rFonts w:hint="eastAsia" w:ascii="仿宋" w:hAnsi="仿宋" w:eastAsia="仿宋" w:cs="仿宋"/>
          <w:sz w:val="32"/>
          <w:szCs w:val="32"/>
        </w:rPr>
        <w:t>、</w:t>
      </w:r>
      <w:r>
        <w:rPr>
          <w:rFonts w:ascii="仿宋" w:hAnsi="仿宋" w:eastAsia="仿宋" w:cs="仿宋"/>
          <w:sz w:val="32"/>
          <w:szCs w:val="32"/>
        </w:rPr>
        <w:t>运营管理团队的绩效评价与收入分配激励机制</w:t>
      </w:r>
      <w:r>
        <w:rPr>
          <w:rFonts w:hint="eastAsia" w:ascii="仿宋" w:hAnsi="仿宋" w:eastAsia="仿宋" w:cs="仿宋"/>
          <w:sz w:val="32"/>
          <w:szCs w:val="32"/>
        </w:rPr>
        <w:t>、</w:t>
      </w:r>
      <w:r>
        <w:rPr>
          <w:rFonts w:ascii="仿宋" w:hAnsi="仿宋" w:eastAsia="仿宋" w:cs="仿宋"/>
          <w:sz w:val="32"/>
          <w:szCs w:val="32"/>
        </w:rPr>
        <w:t>超额收益分享</w:t>
      </w:r>
      <w:r>
        <w:rPr>
          <w:rFonts w:hint="eastAsia" w:ascii="仿宋" w:hAnsi="仿宋" w:eastAsia="仿宋" w:cs="仿宋"/>
          <w:sz w:val="32"/>
          <w:szCs w:val="32"/>
        </w:rPr>
        <w:t>和</w:t>
      </w:r>
      <w:r>
        <w:rPr>
          <w:rFonts w:ascii="仿宋" w:hAnsi="仿宋" w:eastAsia="仿宋" w:cs="仿宋"/>
          <w:sz w:val="32"/>
          <w:szCs w:val="32"/>
        </w:rPr>
        <w:t>亏损承担责任、突发事件及时响应处置披露机制等。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2.4.</w:t>
      </w:r>
      <w:r>
        <w:rPr>
          <w:rFonts w:hint="eastAsia" w:ascii="仿宋" w:hAnsi="仿宋" w:eastAsia="仿宋" w:cs="仿宋"/>
          <w:sz w:val="32"/>
          <w:szCs w:val="32"/>
          <w:lang w:val="en-US" w:eastAsia="zh-CN"/>
        </w:rPr>
        <w:t>2</w:t>
      </w:r>
      <w:r>
        <w:rPr>
          <w:rFonts w:ascii="仿宋" w:hAnsi="仿宋" w:eastAsia="仿宋" w:cs="仿宋"/>
          <w:sz w:val="32"/>
          <w:szCs w:val="32"/>
        </w:rPr>
        <w:t>.4基金管理人</w:t>
      </w:r>
      <w:r>
        <w:rPr>
          <w:rFonts w:hint="eastAsia" w:ascii="仿宋" w:hAnsi="仿宋" w:eastAsia="仿宋" w:cs="仿宋"/>
          <w:sz w:val="32"/>
          <w:szCs w:val="32"/>
        </w:rPr>
        <w:t>应当</w:t>
      </w:r>
      <w:r>
        <w:rPr>
          <w:rFonts w:ascii="仿宋" w:hAnsi="仿宋" w:eastAsia="仿宋" w:cs="仿宋"/>
          <w:sz w:val="32"/>
          <w:szCs w:val="32"/>
        </w:rPr>
        <w:t>披露不动产项目现金流回款以及分配路径，账户设置和现金流自产生至当期分配给不动产基金期间在各账户间的划转安排等。</w:t>
      </w:r>
    </w:p>
    <w:p>
      <w:pPr>
        <w:adjustRightInd w:val="0"/>
        <w:snapToGrid w:val="0"/>
        <w:spacing w:beforeLines="0" w:afterLines="0" w:line="560" w:lineRule="exact"/>
        <w:ind w:left="0"/>
        <w:jc w:val="center"/>
        <w:outlineLvl w:val="1"/>
        <w:rPr>
          <w:rFonts w:hint="eastAsia" w:ascii="楷体" w:hAnsi="楷体" w:eastAsia="楷体" w:cs="仿宋"/>
          <w:b w:val="0"/>
          <w:bCs w:val="0"/>
          <w:sz w:val="32"/>
          <w:szCs w:val="32"/>
        </w:rPr>
      </w:pPr>
      <w:bookmarkStart w:id="118" w:name="_Toc25887"/>
      <w:bookmarkStart w:id="119" w:name="_Toc17941"/>
      <w:bookmarkStart w:id="120" w:name="_Toc26681"/>
      <w:r>
        <w:rPr>
          <w:rFonts w:hint="eastAsia" w:ascii="楷体" w:hAnsi="楷体" w:eastAsia="楷体" w:cs="仿宋"/>
          <w:b w:val="0"/>
          <w:bCs w:val="0"/>
          <w:sz w:val="32"/>
          <w:szCs w:val="32"/>
          <w:lang w:val="en-US" w:eastAsia="zh-CN"/>
        </w:rPr>
        <w:t xml:space="preserve">第五章 </w:t>
      </w:r>
      <w:r>
        <w:rPr>
          <w:rFonts w:hint="eastAsia" w:ascii="楷体" w:hAnsi="楷体" w:eastAsia="楷体" w:cs="仿宋"/>
          <w:b w:val="0"/>
          <w:bCs w:val="0"/>
          <w:sz w:val="32"/>
          <w:szCs w:val="32"/>
        </w:rPr>
        <w:t>不动产基金</w:t>
      </w:r>
      <w:bookmarkEnd w:id="109"/>
      <w:bookmarkEnd w:id="110"/>
      <w:bookmarkEnd w:id="111"/>
      <w:bookmarkEnd w:id="118"/>
      <w:bookmarkEnd w:id="119"/>
      <w:bookmarkEnd w:id="120"/>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121" w:name="_Toc203479463"/>
      <w:bookmarkStart w:id="122" w:name="_Toc18962"/>
      <w:bookmarkStart w:id="123" w:name="_Toc19292"/>
      <w:bookmarkStart w:id="124" w:name="_Toc198802689"/>
      <w:bookmarkStart w:id="125" w:name="_Toc1721"/>
      <w:bookmarkStart w:id="126" w:name="_Toc38"/>
      <w:bookmarkStart w:id="127" w:name="_Toc3557"/>
      <w:bookmarkStart w:id="128" w:name="_Toc14827"/>
      <w:r>
        <w:rPr>
          <w:rFonts w:ascii="仿宋" w:hAnsi="仿宋" w:eastAsia="仿宋" w:cs="仿宋"/>
          <w:b/>
          <w:bCs/>
          <w:sz w:val="32"/>
          <w:szCs w:val="32"/>
        </w:rPr>
        <w:t>第一节 本次发行参与机构的基本情况</w:t>
      </w:r>
      <w:bookmarkEnd w:id="121"/>
      <w:bookmarkEnd w:id="122"/>
      <w:bookmarkEnd w:id="123"/>
      <w:bookmarkEnd w:id="124"/>
      <w:bookmarkEnd w:id="125"/>
      <w:bookmarkEnd w:id="126"/>
      <w:bookmarkEnd w:id="127"/>
      <w:bookmarkEnd w:id="128"/>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5</w:t>
      </w:r>
      <w:r>
        <w:rPr>
          <w:rFonts w:ascii="仿宋" w:hAnsi="仿宋" w:eastAsia="仿宋" w:cs="仿宋"/>
          <w:sz w:val="32"/>
          <w:szCs w:val="32"/>
        </w:rPr>
        <w:t>.1 基金管理人</w:t>
      </w:r>
      <w:r>
        <w:rPr>
          <w:rFonts w:hint="eastAsia" w:ascii="仿宋" w:hAnsi="仿宋" w:eastAsia="仿宋" w:cs="仿宋"/>
          <w:sz w:val="32"/>
          <w:szCs w:val="32"/>
        </w:rPr>
        <w:t>应当</w:t>
      </w:r>
      <w:r>
        <w:rPr>
          <w:rFonts w:ascii="仿宋" w:hAnsi="仿宋" w:eastAsia="仿宋" w:cs="仿宋"/>
          <w:sz w:val="32"/>
          <w:szCs w:val="32"/>
        </w:rPr>
        <w:t>简明扼要披露下列业务参与人的名称、法定代表人（执行事务合伙人）、住所、办公地址、联系人、联系方式等信息，按照《5号指引》要求披露相关具体内容，并索引至附件：</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（一）基金管理人；</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（二）资产支持证券管理人；</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（三）基金托管人；</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（四）财务顾问（如有）；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（五）基金份额发售机构；</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（六）注册登记机构；</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（七）律师事务所；</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（八）会计师事务所；</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（九）资产评估机构；</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（十）其他与本次发行有关的机构。</w:t>
      </w:r>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129" w:name="_Toc9671"/>
      <w:bookmarkStart w:id="130" w:name="_Toc12900"/>
      <w:bookmarkStart w:id="131" w:name="_Toc203479464"/>
      <w:bookmarkStart w:id="132" w:name="_Toc24248"/>
      <w:bookmarkStart w:id="133" w:name="_Toc4243"/>
      <w:bookmarkStart w:id="134" w:name="_Toc2389"/>
      <w:bookmarkStart w:id="135" w:name="_Toc198802690"/>
      <w:bookmarkStart w:id="136" w:name="_Toc16118"/>
      <w:r>
        <w:rPr>
          <w:rFonts w:ascii="仿宋" w:hAnsi="仿宋" w:eastAsia="仿宋" w:cs="仿宋"/>
          <w:b/>
          <w:bCs/>
          <w:sz w:val="32"/>
          <w:szCs w:val="32"/>
        </w:rPr>
        <w:t>第二节 不动产基金的交易安排</w:t>
      </w:r>
      <w:bookmarkEnd w:id="129"/>
      <w:bookmarkEnd w:id="130"/>
      <w:bookmarkEnd w:id="131"/>
      <w:bookmarkEnd w:id="132"/>
      <w:bookmarkEnd w:id="133"/>
      <w:bookmarkEnd w:id="134"/>
      <w:bookmarkEnd w:id="135"/>
      <w:bookmarkEnd w:id="136"/>
      <w:bookmarkStart w:id="137" w:name="_Toc62495447"/>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5</w:t>
      </w:r>
      <w:r>
        <w:rPr>
          <w:rFonts w:ascii="仿宋" w:hAnsi="仿宋" w:eastAsia="仿宋" w:cs="仿宋"/>
          <w:sz w:val="32"/>
          <w:szCs w:val="32"/>
        </w:rPr>
        <w:t>.2.1基金管理人</w:t>
      </w:r>
      <w:r>
        <w:rPr>
          <w:rFonts w:hint="eastAsia" w:ascii="仿宋" w:hAnsi="仿宋" w:eastAsia="仿宋" w:cs="仿宋"/>
          <w:sz w:val="32"/>
          <w:szCs w:val="32"/>
        </w:rPr>
        <w:t>应当</w:t>
      </w:r>
      <w:r>
        <w:rPr>
          <w:rFonts w:ascii="仿宋" w:hAnsi="仿宋" w:eastAsia="仿宋" w:cs="仿宋"/>
          <w:sz w:val="32"/>
          <w:szCs w:val="32"/>
        </w:rPr>
        <w:t>以图表形式披露基金合同生效并完成相关交易安排后，不动产基金的整体架构。</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5</w:t>
      </w:r>
      <w:r>
        <w:rPr>
          <w:rFonts w:ascii="仿宋" w:hAnsi="仿宋" w:eastAsia="仿宋" w:cs="仿宋"/>
          <w:sz w:val="32"/>
          <w:szCs w:val="32"/>
        </w:rPr>
        <w:t>.2.2基金管理人</w:t>
      </w:r>
      <w:r>
        <w:rPr>
          <w:rFonts w:hint="eastAsia" w:ascii="仿宋" w:hAnsi="仿宋" w:eastAsia="仿宋" w:cs="仿宋"/>
          <w:sz w:val="32"/>
          <w:szCs w:val="32"/>
        </w:rPr>
        <w:t>应当</w:t>
      </w:r>
      <w:r>
        <w:rPr>
          <w:rFonts w:ascii="仿宋" w:hAnsi="仿宋" w:eastAsia="仿宋" w:cs="仿宋"/>
          <w:sz w:val="32"/>
          <w:szCs w:val="32"/>
        </w:rPr>
        <w:t>披露不动产基金的交易流程和交易结构，包括：</w:t>
      </w:r>
    </w:p>
    <w:p>
      <w:pPr>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资产重组安排（如有）；</w:t>
      </w:r>
    </w:p>
    <w:p>
      <w:pPr>
        <w:numPr>
          <w:ilvl w:val="255"/>
          <w:numId w:val="0"/>
        </w:numPr>
        <w:adjustRightInd w:val="0"/>
        <w:snapToGrid w:val="0"/>
        <w:spacing w:beforeLines="0" w:afterLines="0"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ascii="仿宋" w:hAnsi="仿宋" w:eastAsia="仿宋" w:cs="仿宋"/>
          <w:sz w:val="32"/>
          <w:szCs w:val="32"/>
        </w:rPr>
        <w:t>不动产基金的设立与投资安排；</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（三）不动产资产支持专项计划的设立与投资安排；</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（四）项目公司股权转让</w:t>
      </w:r>
      <w:bookmarkEnd w:id="137"/>
      <w:r>
        <w:rPr>
          <w:rFonts w:ascii="仿宋" w:hAnsi="仿宋" w:eastAsia="仿宋" w:cs="仿宋"/>
          <w:sz w:val="32"/>
          <w:szCs w:val="32"/>
        </w:rPr>
        <w:t>和反向吸</w:t>
      </w:r>
      <w:r>
        <w:rPr>
          <w:rFonts w:hint="eastAsia" w:ascii="仿宋" w:hAnsi="仿宋" w:eastAsia="仿宋" w:cs="仿宋"/>
          <w:sz w:val="32"/>
          <w:szCs w:val="32"/>
        </w:rPr>
        <w:t>收合</w:t>
      </w:r>
      <w:r>
        <w:rPr>
          <w:rFonts w:ascii="仿宋" w:hAnsi="仿宋" w:eastAsia="仿宋" w:cs="仿宋"/>
          <w:sz w:val="32"/>
          <w:szCs w:val="32"/>
        </w:rPr>
        <w:t>并安排（如有）；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（五）不动产项目交割安排</w:t>
      </w:r>
      <w:r>
        <w:rPr>
          <w:rFonts w:hint="eastAsia" w:ascii="仿宋" w:hAnsi="仿宋" w:eastAsia="仿宋" w:cs="仿宋"/>
          <w:sz w:val="32"/>
          <w:szCs w:val="32"/>
        </w:rPr>
        <w:t>、</w:t>
      </w:r>
      <w:r>
        <w:rPr>
          <w:rFonts w:ascii="仿宋" w:hAnsi="仿宋" w:eastAsia="仿宋" w:cs="仿宋"/>
          <w:sz w:val="32"/>
          <w:szCs w:val="32"/>
        </w:rPr>
        <w:t>评估基准日至交割日相关成本收益归属；</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（六）其他可能影响投资者权益的交易安排。</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5</w:t>
      </w:r>
      <w:r>
        <w:rPr>
          <w:rFonts w:ascii="仿宋" w:hAnsi="仿宋" w:eastAsia="仿宋" w:cs="仿宋"/>
          <w:sz w:val="32"/>
          <w:szCs w:val="32"/>
        </w:rPr>
        <w:t>.2.3基金管理人</w:t>
      </w:r>
      <w:r>
        <w:rPr>
          <w:rFonts w:hint="eastAsia" w:ascii="仿宋" w:hAnsi="仿宋" w:eastAsia="仿宋" w:cs="仿宋"/>
          <w:sz w:val="32"/>
          <w:szCs w:val="32"/>
        </w:rPr>
        <w:t>应当</w:t>
      </w:r>
      <w:r>
        <w:rPr>
          <w:rFonts w:ascii="仿宋" w:hAnsi="仿宋" w:eastAsia="仿宋" w:cs="仿宋"/>
          <w:sz w:val="32"/>
          <w:szCs w:val="32"/>
        </w:rPr>
        <w:t>披露不动产基金拟持有资产支持证券、项目公司</w:t>
      </w:r>
      <w:r>
        <w:rPr>
          <w:rFonts w:hint="eastAsia" w:ascii="仿宋" w:hAnsi="仿宋" w:eastAsia="仿宋" w:cs="仿宋"/>
          <w:sz w:val="32"/>
          <w:szCs w:val="32"/>
        </w:rPr>
        <w:t>以及</w:t>
      </w:r>
      <w:r>
        <w:rPr>
          <w:rFonts w:ascii="仿宋" w:hAnsi="仿宋" w:eastAsia="仿宋" w:cs="仿宋"/>
          <w:sz w:val="32"/>
          <w:szCs w:val="32"/>
        </w:rPr>
        <w:t>其他特殊目的载体（如有）的基本情况。</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5</w:t>
      </w:r>
      <w:r>
        <w:rPr>
          <w:rFonts w:ascii="仿宋" w:hAnsi="仿宋" w:eastAsia="仿宋" w:cs="仿宋"/>
          <w:sz w:val="32"/>
          <w:szCs w:val="32"/>
        </w:rPr>
        <w:t>.2.4不动产基金存续期间预计存在对外借款安排的，管理人</w:t>
      </w:r>
      <w:r>
        <w:rPr>
          <w:rFonts w:hint="eastAsia" w:ascii="仿宋" w:hAnsi="仿宋" w:eastAsia="仿宋" w:cs="仿宋"/>
          <w:sz w:val="32"/>
          <w:szCs w:val="32"/>
        </w:rPr>
        <w:t>应当</w:t>
      </w:r>
      <w:r>
        <w:rPr>
          <w:rFonts w:ascii="仿宋" w:hAnsi="仿宋" w:eastAsia="仿宋" w:cs="仿宋"/>
          <w:sz w:val="32"/>
          <w:szCs w:val="32"/>
        </w:rPr>
        <w:t>披露下列事项：</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（一）借款类型、金额、预计占基金净资产的比例、融资成本、用途、增信方式、必要性等；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（二）借款偿还安排，借款对不动产项目持续稳定运营，以及不动产基金可供分配现金流的影响。</w:t>
      </w:r>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138" w:name="_Toc158"/>
      <w:bookmarkStart w:id="139" w:name="_Toc14394"/>
      <w:bookmarkStart w:id="140" w:name="_Toc29161"/>
      <w:bookmarkStart w:id="141" w:name="_Toc203479467"/>
      <w:bookmarkStart w:id="142" w:name="_Toc1902"/>
      <w:bookmarkStart w:id="143" w:name="_Toc198802693"/>
      <w:bookmarkStart w:id="144" w:name="_Toc2740"/>
      <w:bookmarkStart w:id="145" w:name="_Toc1117"/>
      <w:r>
        <w:rPr>
          <w:rFonts w:ascii="仿宋" w:hAnsi="仿宋" w:eastAsia="仿宋" w:cs="仿宋"/>
          <w:b/>
          <w:bCs/>
          <w:sz w:val="32"/>
          <w:szCs w:val="32"/>
        </w:rPr>
        <w:t>第</w:t>
      </w:r>
      <w:r>
        <w:rPr>
          <w:rFonts w:hint="eastAsia" w:ascii="仿宋" w:hAnsi="仿宋" w:eastAsia="仿宋" w:cs="仿宋"/>
          <w:b/>
          <w:bCs/>
          <w:sz w:val="32"/>
          <w:szCs w:val="32"/>
          <w:lang w:val="en-US" w:eastAsia="zh-CN"/>
        </w:rPr>
        <w:t>三</w:t>
      </w:r>
      <w:r>
        <w:rPr>
          <w:rFonts w:ascii="仿宋" w:hAnsi="仿宋" w:eastAsia="仿宋" w:cs="仿宋"/>
          <w:b/>
          <w:bCs/>
          <w:sz w:val="32"/>
          <w:szCs w:val="32"/>
        </w:rPr>
        <w:t>节 关联交易</w:t>
      </w:r>
      <w:bookmarkEnd w:id="138"/>
      <w:bookmarkEnd w:id="139"/>
      <w:bookmarkEnd w:id="140"/>
      <w:r>
        <w:rPr>
          <w:rFonts w:ascii="仿宋" w:hAnsi="仿宋" w:eastAsia="仿宋" w:cs="仿宋"/>
          <w:b/>
          <w:bCs/>
          <w:sz w:val="32"/>
          <w:szCs w:val="32"/>
        </w:rPr>
        <w:t>与利益冲突</w:t>
      </w:r>
      <w:bookmarkEnd w:id="141"/>
      <w:bookmarkEnd w:id="142"/>
      <w:bookmarkEnd w:id="143"/>
      <w:bookmarkEnd w:id="144"/>
      <w:bookmarkEnd w:id="145"/>
    </w:p>
    <w:p>
      <w:pPr>
        <w:adjustRightInd w:val="0"/>
        <w:snapToGrid w:val="0"/>
        <w:spacing w:beforeLines="0" w:afterLines="0" w:line="560" w:lineRule="exact"/>
        <w:ind w:firstLine="640" w:firstLineChars="200"/>
        <w:rPr>
          <w:rFonts w:ascii="仿宋" w:hAnsi="仿宋" w:eastAsia="仿宋" w:cs="仿宋"/>
          <w:kern w:val="0"/>
          <w:sz w:val="32"/>
          <w:szCs w:val="32"/>
        </w:rPr>
      </w:pPr>
      <w:bookmarkStart w:id="146" w:name="_Toc62495485"/>
      <w:r>
        <w:rPr>
          <w:rFonts w:ascii="仿宋" w:hAnsi="仿宋" w:eastAsia="仿宋" w:cs="仿宋"/>
          <w:sz w:val="32"/>
          <w:szCs w:val="32"/>
        </w:rPr>
        <w:t>2.</w:t>
      </w:r>
      <w:r>
        <w:rPr>
          <w:rFonts w:hint="eastAsia" w:ascii="仿宋" w:hAnsi="仿宋" w:eastAsia="仿宋" w:cs="仿宋"/>
          <w:sz w:val="32"/>
          <w:szCs w:val="32"/>
          <w:lang w:val="en-US" w:eastAsia="zh-CN"/>
        </w:rPr>
        <w:t>5</w:t>
      </w:r>
      <w:r>
        <w:rPr>
          <w:rFonts w:ascii="仿宋" w:hAnsi="仿宋" w:eastAsia="仿宋" w:cs="仿宋"/>
          <w:sz w:val="32"/>
          <w:szCs w:val="32"/>
        </w:rPr>
        <w:t>.</w:t>
      </w:r>
      <w:r>
        <w:rPr>
          <w:rFonts w:hint="eastAsia" w:ascii="仿宋" w:hAnsi="仿宋" w:eastAsia="仿宋" w:cs="仿宋"/>
          <w:sz w:val="32"/>
          <w:szCs w:val="32"/>
          <w:lang w:val="en-US" w:eastAsia="zh-CN"/>
        </w:rPr>
        <w:t>3</w:t>
      </w:r>
      <w:r>
        <w:rPr>
          <w:rFonts w:ascii="仿宋" w:hAnsi="仿宋" w:eastAsia="仿宋" w:cs="仿宋"/>
          <w:sz w:val="32"/>
          <w:szCs w:val="32"/>
        </w:rPr>
        <w:t>.1基金管理人</w:t>
      </w:r>
      <w:r>
        <w:rPr>
          <w:rFonts w:hint="eastAsia" w:ascii="仿宋" w:hAnsi="仿宋" w:eastAsia="仿宋" w:cs="仿宋"/>
          <w:sz w:val="32"/>
          <w:szCs w:val="32"/>
        </w:rPr>
        <w:t>应当</w:t>
      </w:r>
      <w:r>
        <w:rPr>
          <w:rFonts w:ascii="仿宋" w:hAnsi="仿宋" w:eastAsia="仿宋" w:cs="仿宋"/>
          <w:sz w:val="32"/>
          <w:szCs w:val="32"/>
        </w:rPr>
        <w:t>根据《基金法》等</w:t>
      </w:r>
      <w:r>
        <w:rPr>
          <w:rFonts w:hint="eastAsia" w:ascii="仿宋" w:hAnsi="仿宋" w:eastAsia="仿宋" w:cs="仿宋"/>
          <w:sz w:val="32"/>
          <w:szCs w:val="32"/>
        </w:rPr>
        <w:t>有关</w:t>
      </w:r>
      <w:r>
        <w:rPr>
          <w:rFonts w:ascii="仿宋" w:hAnsi="仿宋" w:eastAsia="仿宋" w:cs="仿宋"/>
          <w:sz w:val="32"/>
          <w:szCs w:val="32"/>
        </w:rPr>
        <w:t>规定披露不动产基金关联方、关联关系</w:t>
      </w:r>
      <w:r>
        <w:rPr>
          <w:rFonts w:hint="eastAsia" w:ascii="仿宋" w:hAnsi="仿宋" w:eastAsia="仿宋" w:cs="仿宋"/>
          <w:sz w:val="32"/>
          <w:szCs w:val="32"/>
        </w:rPr>
        <w:t>以及</w:t>
      </w:r>
      <w:r>
        <w:rPr>
          <w:rFonts w:ascii="仿宋" w:hAnsi="仿宋" w:eastAsia="仿宋" w:cs="仿宋"/>
          <w:sz w:val="32"/>
          <w:szCs w:val="32"/>
        </w:rPr>
        <w:t>关联交易的界定。</w:t>
      </w:r>
      <w:r>
        <w:rPr>
          <w:rFonts w:ascii="仿宋" w:hAnsi="仿宋" w:eastAsia="仿宋" w:cs="仿宋"/>
          <w:kern w:val="0"/>
          <w:sz w:val="32"/>
          <w:szCs w:val="32"/>
        </w:rPr>
        <w:t>基金管理人</w:t>
      </w:r>
      <w:r>
        <w:rPr>
          <w:rFonts w:hint="eastAsia" w:ascii="仿宋" w:hAnsi="仿宋" w:eastAsia="仿宋" w:cs="仿宋"/>
          <w:kern w:val="0"/>
          <w:sz w:val="32"/>
          <w:szCs w:val="32"/>
        </w:rPr>
        <w:t>应当</w:t>
      </w:r>
      <w:r>
        <w:rPr>
          <w:rFonts w:ascii="仿宋" w:hAnsi="仿宋" w:eastAsia="仿宋" w:cs="仿宋"/>
          <w:kern w:val="0"/>
          <w:sz w:val="32"/>
          <w:szCs w:val="32"/>
        </w:rPr>
        <w:t>披露业务参与机构之间及其与原始权益人之间是否存在关联关系或者潜在利益冲突，如</w:t>
      </w:r>
      <w:r>
        <w:rPr>
          <w:rFonts w:hint="eastAsia" w:ascii="仿宋" w:hAnsi="仿宋" w:eastAsia="仿宋" w:cs="仿宋"/>
          <w:kern w:val="0"/>
          <w:sz w:val="32"/>
          <w:szCs w:val="32"/>
        </w:rPr>
        <w:t>果</w:t>
      </w:r>
      <w:r>
        <w:rPr>
          <w:rFonts w:ascii="仿宋" w:hAnsi="仿宋" w:eastAsia="仿宋" w:cs="仿宋"/>
          <w:kern w:val="0"/>
          <w:sz w:val="32"/>
          <w:szCs w:val="32"/>
        </w:rPr>
        <w:t>存在，</w:t>
      </w:r>
      <w:r>
        <w:rPr>
          <w:rFonts w:hint="eastAsia" w:ascii="仿宋" w:hAnsi="仿宋" w:eastAsia="仿宋" w:cs="仿宋"/>
          <w:kern w:val="0"/>
          <w:sz w:val="32"/>
          <w:szCs w:val="32"/>
        </w:rPr>
        <w:t>应当</w:t>
      </w:r>
      <w:r>
        <w:rPr>
          <w:rFonts w:ascii="仿宋" w:hAnsi="仿宋" w:eastAsia="仿宋" w:cs="仿宋"/>
          <w:kern w:val="0"/>
          <w:sz w:val="32"/>
          <w:szCs w:val="32"/>
        </w:rPr>
        <w:t>披露相关风险缓释措施。</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5</w:t>
      </w:r>
      <w:r>
        <w:rPr>
          <w:rFonts w:ascii="仿宋" w:hAnsi="仿宋" w:eastAsia="仿宋" w:cs="仿宋"/>
          <w:sz w:val="32"/>
          <w:szCs w:val="32"/>
        </w:rPr>
        <w:t>.</w:t>
      </w:r>
      <w:r>
        <w:rPr>
          <w:rFonts w:hint="eastAsia" w:ascii="仿宋" w:hAnsi="仿宋" w:eastAsia="仿宋" w:cs="仿宋"/>
          <w:sz w:val="32"/>
          <w:szCs w:val="32"/>
          <w:lang w:val="en-US" w:eastAsia="zh-CN"/>
        </w:rPr>
        <w:t>3</w:t>
      </w:r>
      <w:r>
        <w:rPr>
          <w:rFonts w:ascii="仿宋" w:hAnsi="仿宋" w:eastAsia="仿宋" w:cs="仿宋"/>
          <w:sz w:val="32"/>
          <w:szCs w:val="32"/>
        </w:rPr>
        <w:t>.2</w:t>
      </w:r>
      <w:bookmarkStart w:id="147" w:name="OLE_LINK9"/>
      <w:r>
        <w:rPr>
          <w:rFonts w:ascii="仿宋" w:hAnsi="仿宋" w:eastAsia="仿宋" w:cs="仿宋"/>
          <w:kern w:val="0"/>
          <w:sz w:val="32"/>
          <w:szCs w:val="32"/>
        </w:rPr>
        <w:t>基金管理人</w:t>
      </w:r>
      <w:r>
        <w:rPr>
          <w:rFonts w:hint="eastAsia" w:ascii="仿宋" w:hAnsi="仿宋" w:eastAsia="仿宋" w:cs="仿宋"/>
          <w:kern w:val="0"/>
          <w:sz w:val="32"/>
          <w:szCs w:val="32"/>
        </w:rPr>
        <w:t>应当</w:t>
      </w:r>
      <w:r>
        <w:rPr>
          <w:rFonts w:ascii="仿宋" w:hAnsi="仿宋" w:eastAsia="仿宋" w:cs="仿宋"/>
          <w:kern w:val="0"/>
          <w:sz w:val="32"/>
          <w:szCs w:val="32"/>
        </w:rPr>
        <w:t>披露</w:t>
      </w:r>
      <w:bookmarkEnd w:id="147"/>
      <w:r>
        <w:rPr>
          <w:rFonts w:ascii="仿宋" w:hAnsi="仿宋" w:eastAsia="仿宋" w:cs="仿宋"/>
          <w:kern w:val="0"/>
          <w:sz w:val="32"/>
          <w:szCs w:val="32"/>
        </w:rPr>
        <w:t>报告期关联交易</w:t>
      </w:r>
      <w:r>
        <w:rPr>
          <w:rFonts w:ascii="仿宋" w:hAnsi="仿宋" w:eastAsia="仿宋" w:cs="仿宋"/>
          <w:sz w:val="32"/>
          <w:szCs w:val="32"/>
        </w:rPr>
        <w:t>的</w:t>
      </w:r>
      <w:r>
        <w:rPr>
          <w:rFonts w:hint="eastAsia" w:ascii="仿宋" w:hAnsi="仿宋" w:eastAsia="仿宋" w:cs="仿宋"/>
          <w:sz w:val="32"/>
          <w:szCs w:val="32"/>
        </w:rPr>
        <w:t>有关</w:t>
      </w:r>
      <w:r>
        <w:rPr>
          <w:rFonts w:ascii="仿宋" w:hAnsi="仿宋" w:eastAsia="仿宋" w:cs="仿宋"/>
          <w:sz w:val="32"/>
          <w:szCs w:val="32"/>
        </w:rPr>
        <w:t>情况，包括但不限于：</w:t>
      </w:r>
    </w:p>
    <w:p>
      <w:pPr>
        <w:adjustRightInd w:val="0"/>
        <w:snapToGrid w:val="0"/>
        <w:spacing w:beforeLines="0" w:afterLines="0" w:line="560" w:lineRule="exact"/>
        <w:ind w:firstLine="640" w:firstLineChars="200"/>
        <w:rPr>
          <w:rFonts w:ascii="仿宋" w:hAnsi="仿宋" w:eastAsia="仿宋" w:cs="仿宋"/>
          <w:kern w:val="0"/>
          <w:sz w:val="32"/>
          <w:szCs w:val="32"/>
        </w:rPr>
      </w:pPr>
      <w:r>
        <w:rPr>
          <w:rFonts w:ascii="仿宋" w:hAnsi="仿宋" w:eastAsia="仿宋" w:cs="仿宋"/>
          <w:kern w:val="0"/>
          <w:sz w:val="32"/>
          <w:szCs w:val="32"/>
        </w:rPr>
        <w:t>（一）基金管理人运用基金财产买卖不动产资产支持证券涉及的关联交易</w:t>
      </w:r>
      <w:r>
        <w:rPr>
          <w:rFonts w:hint="eastAsia" w:ascii="仿宋" w:hAnsi="仿宋" w:eastAsia="仿宋" w:cs="仿宋"/>
          <w:kern w:val="0"/>
          <w:sz w:val="32"/>
          <w:szCs w:val="32"/>
        </w:rPr>
        <w:t>和</w:t>
      </w:r>
      <w:r>
        <w:rPr>
          <w:rFonts w:ascii="仿宋" w:hAnsi="仿宋" w:eastAsia="仿宋" w:cs="仿宋"/>
          <w:kern w:val="0"/>
          <w:sz w:val="32"/>
          <w:szCs w:val="32"/>
        </w:rPr>
        <w:t>其他关联交易概况；</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kern w:val="0"/>
          <w:sz w:val="32"/>
          <w:szCs w:val="32"/>
        </w:rPr>
        <w:t>（二）报告期内对</w:t>
      </w:r>
      <w:r>
        <w:rPr>
          <w:rFonts w:ascii="仿宋" w:hAnsi="仿宋" w:eastAsia="仿宋" w:cs="仿宋"/>
          <w:sz w:val="32"/>
          <w:szCs w:val="32"/>
        </w:rPr>
        <w:t>项目运营、财务状况</w:t>
      </w:r>
      <w:r>
        <w:rPr>
          <w:rFonts w:hint="eastAsia" w:ascii="仿宋" w:hAnsi="仿宋" w:eastAsia="仿宋" w:cs="仿宋"/>
          <w:sz w:val="32"/>
          <w:szCs w:val="32"/>
        </w:rPr>
        <w:t>或者</w:t>
      </w:r>
      <w:r>
        <w:rPr>
          <w:rFonts w:ascii="仿宋" w:hAnsi="仿宋" w:eastAsia="仿宋" w:cs="仿宋"/>
          <w:sz w:val="32"/>
          <w:szCs w:val="32"/>
        </w:rPr>
        <w:t>未来发展</w:t>
      </w:r>
      <w:r>
        <w:rPr>
          <w:rFonts w:ascii="仿宋" w:hAnsi="仿宋" w:eastAsia="仿宋" w:cs="仿宋"/>
          <w:kern w:val="0"/>
          <w:sz w:val="32"/>
          <w:szCs w:val="32"/>
        </w:rPr>
        <w:t>等存在重要影响的重大关联交易的情况，包括关联方名称，</w:t>
      </w:r>
      <w:r>
        <w:rPr>
          <w:rFonts w:ascii="仿宋" w:hAnsi="仿宋" w:eastAsia="仿宋" w:cs="仿宋"/>
          <w:sz w:val="32"/>
          <w:szCs w:val="32"/>
        </w:rPr>
        <w:t>交易内容，</w:t>
      </w:r>
      <w:r>
        <w:rPr>
          <w:rFonts w:hint="eastAsia" w:ascii="仿宋" w:hAnsi="仿宋" w:eastAsia="仿宋" w:cs="仿宋"/>
          <w:sz w:val="32"/>
          <w:szCs w:val="32"/>
        </w:rPr>
        <w:t>交易的</w:t>
      </w:r>
      <w:r>
        <w:rPr>
          <w:rFonts w:ascii="仿宋" w:hAnsi="仿宋" w:eastAsia="仿宋" w:cs="仿宋"/>
          <w:sz w:val="32"/>
          <w:szCs w:val="32"/>
        </w:rPr>
        <w:t>必要性</w:t>
      </w:r>
      <w:r>
        <w:rPr>
          <w:rFonts w:hint="eastAsia" w:ascii="仿宋" w:hAnsi="仿宋" w:eastAsia="仿宋" w:cs="仿宋"/>
          <w:sz w:val="32"/>
          <w:szCs w:val="32"/>
        </w:rPr>
        <w:t>，</w:t>
      </w:r>
      <w:r>
        <w:rPr>
          <w:rFonts w:ascii="仿宋" w:hAnsi="仿宋" w:eastAsia="仿宋" w:cs="仿宋"/>
          <w:sz w:val="32"/>
          <w:szCs w:val="32"/>
        </w:rPr>
        <w:t>交易价格的公允性、合理性；</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（三）不动产</w:t>
      </w:r>
      <w:r>
        <w:rPr>
          <w:rFonts w:hint="eastAsia" w:ascii="仿宋" w:hAnsi="仿宋" w:eastAsia="仿宋" w:cs="仿宋"/>
          <w:sz w:val="32"/>
          <w:szCs w:val="32"/>
        </w:rPr>
        <w:t>项目</w:t>
      </w:r>
      <w:r>
        <w:rPr>
          <w:rFonts w:ascii="仿宋" w:hAnsi="仿宋" w:eastAsia="仿宋" w:cs="仿宋"/>
          <w:sz w:val="32"/>
          <w:szCs w:val="32"/>
        </w:rPr>
        <w:t>现金流来源于关联方的比例。</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披露关联交易对不动产项目市场化运营的影响等，以及关联交易是否延续至不动产基金存续期</w:t>
      </w:r>
      <w:r>
        <w:rPr>
          <w:rFonts w:hint="eastAsia" w:ascii="仿宋" w:hAnsi="仿宋" w:eastAsia="仿宋" w:cs="仿宋"/>
          <w:sz w:val="32"/>
          <w:szCs w:val="32"/>
        </w:rPr>
        <w:t>间</w:t>
      </w:r>
      <w:r>
        <w:rPr>
          <w:rFonts w:ascii="仿宋" w:hAnsi="仿宋" w:eastAsia="仿宋" w:cs="仿宋"/>
          <w:sz w:val="32"/>
          <w:szCs w:val="32"/>
        </w:rPr>
        <w:t>，如是，基金管理人</w:t>
      </w:r>
      <w:r>
        <w:rPr>
          <w:rFonts w:hint="eastAsia" w:ascii="仿宋" w:hAnsi="仿宋" w:eastAsia="仿宋" w:cs="仿宋"/>
          <w:sz w:val="32"/>
          <w:szCs w:val="32"/>
        </w:rPr>
        <w:t>应当</w:t>
      </w:r>
      <w:r>
        <w:rPr>
          <w:rFonts w:ascii="仿宋" w:hAnsi="仿宋" w:eastAsia="仿宋" w:cs="仿宋"/>
          <w:sz w:val="32"/>
          <w:szCs w:val="32"/>
        </w:rPr>
        <w:t>披露关联交易的必要性</w:t>
      </w:r>
      <w:r>
        <w:rPr>
          <w:rFonts w:hint="eastAsia" w:ascii="仿宋" w:hAnsi="仿宋" w:eastAsia="仿宋" w:cs="仿宋"/>
          <w:sz w:val="32"/>
          <w:szCs w:val="32"/>
        </w:rPr>
        <w:t>、</w:t>
      </w:r>
      <w:r>
        <w:rPr>
          <w:rFonts w:ascii="仿宋" w:hAnsi="仿宋" w:eastAsia="仿宋" w:cs="仿宋"/>
          <w:sz w:val="32"/>
          <w:szCs w:val="32"/>
        </w:rPr>
        <w:t>潜在风险</w:t>
      </w:r>
      <w:r>
        <w:rPr>
          <w:rFonts w:hint="eastAsia" w:ascii="仿宋" w:hAnsi="仿宋" w:eastAsia="仿宋" w:cs="仿宋"/>
          <w:sz w:val="32"/>
          <w:szCs w:val="32"/>
        </w:rPr>
        <w:t>和</w:t>
      </w:r>
      <w:r>
        <w:rPr>
          <w:rFonts w:ascii="仿宋" w:hAnsi="仿宋" w:eastAsia="仿宋" w:cs="仿宋"/>
          <w:sz w:val="32"/>
          <w:szCs w:val="32"/>
        </w:rPr>
        <w:t>缓释措施。</w:t>
      </w:r>
    </w:p>
    <w:p>
      <w:pPr>
        <w:adjustRightInd w:val="0"/>
        <w:snapToGrid w:val="0"/>
        <w:spacing w:beforeLines="0" w:afterLines="0" w:line="560" w:lineRule="exact"/>
        <w:ind w:firstLine="640" w:firstLineChars="200"/>
        <w:rPr>
          <w:rFonts w:ascii="仿宋" w:hAnsi="仿宋" w:eastAsia="仿宋" w:cs="仿宋"/>
          <w:kern w:val="0"/>
          <w:sz w:val="32"/>
          <w:szCs w:val="32"/>
        </w:rPr>
      </w:pPr>
      <w:r>
        <w:rPr>
          <w:rFonts w:ascii="仿宋" w:hAnsi="仿宋" w:eastAsia="仿宋" w:cs="仿宋"/>
          <w:sz w:val="32"/>
          <w:szCs w:val="32"/>
        </w:rPr>
        <w:t>关联方为重要现金流提供方的，基金管理人</w:t>
      </w:r>
      <w:r>
        <w:rPr>
          <w:rFonts w:hint="eastAsia" w:ascii="仿宋" w:hAnsi="仿宋" w:eastAsia="仿宋" w:cs="仿宋"/>
          <w:sz w:val="32"/>
          <w:szCs w:val="32"/>
        </w:rPr>
        <w:t>应当</w:t>
      </w:r>
      <w:r>
        <w:rPr>
          <w:rFonts w:ascii="仿宋" w:hAnsi="仿宋" w:eastAsia="仿宋" w:cs="仿宋"/>
          <w:sz w:val="32"/>
          <w:szCs w:val="32"/>
        </w:rPr>
        <w:t>结合</w:t>
      </w:r>
      <w:r>
        <w:rPr>
          <w:rFonts w:hint="eastAsia" w:ascii="仿宋" w:hAnsi="仿宋" w:eastAsia="仿宋" w:cs="仿宋"/>
          <w:sz w:val="32"/>
          <w:szCs w:val="32"/>
        </w:rPr>
        <w:t>有关</w:t>
      </w:r>
      <w:r>
        <w:rPr>
          <w:rFonts w:ascii="仿宋" w:hAnsi="仿宋" w:eastAsia="仿宋" w:cs="仿宋"/>
          <w:sz w:val="32"/>
          <w:szCs w:val="32"/>
        </w:rPr>
        <w:t>协议期限和续约安排、交易价格调整、定制化服务、独占排他合作关系等情况，披露保障现金流稳定性的具体措施。</w:t>
      </w:r>
    </w:p>
    <w:bookmarkEnd w:id="146"/>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5</w:t>
      </w:r>
      <w:r>
        <w:rPr>
          <w:rFonts w:ascii="仿宋" w:hAnsi="仿宋" w:eastAsia="仿宋" w:cs="仿宋"/>
          <w:sz w:val="32"/>
          <w:szCs w:val="32"/>
        </w:rPr>
        <w:t>.</w:t>
      </w:r>
      <w:r>
        <w:rPr>
          <w:rFonts w:hint="eastAsia" w:ascii="仿宋" w:hAnsi="仿宋" w:eastAsia="仿宋" w:cs="仿宋"/>
          <w:sz w:val="32"/>
          <w:szCs w:val="32"/>
          <w:lang w:val="en-US" w:eastAsia="zh-CN"/>
        </w:rPr>
        <w:t>3</w:t>
      </w:r>
      <w:r>
        <w:rPr>
          <w:rFonts w:ascii="仿宋" w:hAnsi="仿宋" w:eastAsia="仿宋" w:cs="仿宋"/>
          <w:sz w:val="32"/>
          <w:szCs w:val="32"/>
        </w:rPr>
        <w:t>.3基金管理人</w:t>
      </w:r>
      <w:r>
        <w:rPr>
          <w:rFonts w:hint="eastAsia" w:ascii="仿宋" w:hAnsi="仿宋" w:eastAsia="仿宋" w:cs="仿宋"/>
          <w:sz w:val="32"/>
          <w:szCs w:val="32"/>
        </w:rPr>
        <w:t>应当</w:t>
      </w:r>
      <w:r>
        <w:rPr>
          <w:rFonts w:ascii="仿宋" w:hAnsi="仿宋" w:eastAsia="仿宋" w:cs="仿宋"/>
          <w:sz w:val="32"/>
          <w:szCs w:val="32"/>
        </w:rPr>
        <w:t>披露存续期</w:t>
      </w:r>
      <w:r>
        <w:rPr>
          <w:rFonts w:hint="eastAsia" w:ascii="仿宋" w:hAnsi="仿宋" w:eastAsia="仿宋" w:cs="仿宋"/>
          <w:sz w:val="32"/>
          <w:szCs w:val="32"/>
        </w:rPr>
        <w:t>间</w:t>
      </w:r>
      <w:r>
        <w:rPr>
          <w:rFonts w:ascii="仿宋" w:hAnsi="仿宋" w:eastAsia="仿宋" w:cs="仿宋"/>
          <w:sz w:val="32"/>
          <w:szCs w:val="32"/>
        </w:rPr>
        <w:t>不动产基金涉及关联交易的审议程序和信息披露安排，以及基金管理人就关联交易采取的</w:t>
      </w:r>
      <w:r>
        <w:rPr>
          <w:rFonts w:ascii="仿宋" w:hAnsi="仿宋" w:eastAsia="仿宋" w:cs="仿宋"/>
          <w:kern w:val="0"/>
          <w:sz w:val="32"/>
          <w:szCs w:val="32"/>
        </w:rPr>
        <w:t>内部控制</w:t>
      </w:r>
      <w:r>
        <w:rPr>
          <w:rFonts w:ascii="仿宋" w:hAnsi="仿宋" w:eastAsia="仿宋" w:cs="仿宋"/>
          <w:sz w:val="32"/>
          <w:szCs w:val="32"/>
        </w:rPr>
        <w:t>措施等。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5</w:t>
      </w:r>
      <w:r>
        <w:rPr>
          <w:rFonts w:ascii="仿宋" w:hAnsi="仿宋" w:eastAsia="仿宋" w:cs="仿宋"/>
          <w:sz w:val="32"/>
          <w:szCs w:val="32"/>
        </w:rPr>
        <w:t>.</w:t>
      </w:r>
      <w:r>
        <w:rPr>
          <w:rFonts w:hint="eastAsia" w:ascii="仿宋" w:hAnsi="仿宋" w:eastAsia="仿宋" w:cs="仿宋"/>
          <w:sz w:val="32"/>
          <w:szCs w:val="32"/>
          <w:lang w:val="en-US" w:eastAsia="zh-CN"/>
        </w:rPr>
        <w:t>3</w:t>
      </w:r>
      <w:r>
        <w:rPr>
          <w:rFonts w:ascii="仿宋" w:hAnsi="仿宋" w:eastAsia="仿宋" w:cs="仿宋"/>
          <w:sz w:val="32"/>
          <w:szCs w:val="32"/>
        </w:rPr>
        <w:t>.4基金管理人</w:t>
      </w:r>
      <w:r>
        <w:rPr>
          <w:rFonts w:hint="eastAsia" w:ascii="仿宋" w:hAnsi="仿宋" w:eastAsia="仿宋" w:cs="仿宋"/>
          <w:sz w:val="32"/>
          <w:szCs w:val="32"/>
        </w:rPr>
        <w:t>应当</w:t>
      </w:r>
      <w:r>
        <w:rPr>
          <w:rFonts w:ascii="仿宋" w:hAnsi="仿宋" w:eastAsia="仿宋" w:cs="仿宋"/>
          <w:sz w:val="32"/>
          <w:szCs w:val="32"/>
        </w:rPr>
        <w:t>披露不动产基金存在的潜在利益冲突的情形，包括但不限于：</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（一）主要原始权益人及</w:t>
      </w:r>
      <w:r>
        <w:rPr>
          <w:rFonts w:hint="eastAsia" w:ascii="仿宋" w:hAnsi="仿宋" w:eastAsia="仿宋" w:cs="仿宋"/>
          <w:sz w:val="32"/>
          <w:szCs w:val="32"/>
        </w:rPr>
        <w:t>其</w:t>
      </w:r>
      <w:r>
        <w:rPr>
          <w:rFonts w:ascii="仿宋" w:hAnsi="仿宋" w:eastAsia="仿宋" w:cs="仿宋"/>
          <w:sz w:val="32"/>
          <w:szCs w:val="32"/>
        </w:rPr>
        <w:t>控股股东、实际控制人持有的其他同类资产情形；</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（二）主要原始权益人、</w:t>
      </w:r>
      <w:r>
        <w:rPr>
          <w:rFonts w:hint="eastAsia" w:ascii="仿宋" w:hAnsi="仿宋" w:eastAsia="仿宋" w:cs="仿宋"/>
          <w:bCs/>
          <w:sz w:val="32"/>
          <w:szCs w:val="32"/>
        </w:rPr>
        <w:t>运营</w:t>
      </w:r>
      <w:r>
        <w:rPr>
          <w:rFonts w:ascii="仿宋" w:hAnsi="仿宋" w:eastAsia="仿宋" w:cs="仿宋"/>
          <w:sz w:val="32"/>
          <w:szCs w:val="32"/>
        </w:rPr>
        <w:t>管理机构同时向不动产基金以外的其他机构提供同类项目运营管理服务的情形；</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（三）基金管理人管理多个同类不动产基金的情形；</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（四）其他可能存在潜在利益冲突的情形等。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披露不动产基金防范利益输送、利益冲突的具体安排，</w:t>
      </w:r>
      <w:r>
        <w:rPr>
          <w:rFonts w:hint="eastAsia" w:ascii="仿宋" w:hAnsi="仿宋" w:eastAsia="仿宋" w:cs="仿宋"/>
          <w:sz w:val="32"/>
          <w:szCs w:val="32"/>
        </w:rPr>
        <w:t>以及</w:t>
      </w:r>
      <w:r>
        <w:rPr>
          <w:rFonts w:ascii="仿宋" w:hAnsi="仿宋" w:eastAsia="仿宋" w:cs="仿宋"/>
          <w:kern w:val="0"/>
          <w:sz w:val="32"/>
          <w:szCs w:val="32"/>
        </w:rPr>
        <w:t>相关利益冲突防范措施。</w:t>
      </w:r>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148" w:name="_Toc17083"/>
      <w:bookmarkStart w:id="149" w:name="_Toc26346"/>
      <w:bookmarkStart w:id="150" w:name="_Toc203479468"/>
      <w:bookmarkStart w:id="151" w:name="_Toc29976"/>
      <w:bookmarkStart w:id="152" w:name="_Toc22369"/>
      <w:bookmarkStart w:id="153" w:name="_Toc31612"/>
      <w:bookmarkStart w:id="154" w:name="_Toc29486"/>
      <w:bookmarkStart w:id="155" w:name="_Toc198802694"/>
      <w:r>
        <w:rPr>
          <w:rFonts w:ascii="仿宋" w:hAnsi="仿宋" w:eastAsia="仿宋" w:cs="仿宋"/>
          <w:b/>
          <w:bCs/>
          <w:sz w:val="32"/>
          <w:szCs w:val="32"/>
        </w:rPr>
        <w:t>第</w:t>
      </w:r>
      <w:r>
        <w:rPr>
          <w:rFonts w:hint="eastAsia" w:ascii="仿宋" w:hAnsi="仿宋" w:eastAsia="仿宋" w:cs="仿宋"/>
          <w:b/>
          <w:bCs/>
          <w:sz w:val="32"/>
          <w:szCs w:val="32"/>
          <w:lang w:val="en-US" w:eastAsia="zh-CN"/>
        </w:rPr>
        <w:t>四</w:t>
      </w:r>
      <w:r>
        <w:rPr>
          <w:rFonts w:ascii="仿宋" w:hAnsi="仿宋" w:eastAsia="仿宋" w:cs="仿宋"/>
          <w:b/>
          <w:bCs/>
          <w:sz w:val="32"/>
          <w:szCs w:val="32"/>
        </w:rPr>
        <w:t>节 基金运作</w:t>
      </w:r>
      <w:bookmarkEnd w:id="148"/>
      <w:bookmarkEnd w:id="149"/>
      <w:bookmarkEnd w:id="150"/>
      <w:bookmarkEnd w:id="151"/>
      <w:bookmarkEnd w:id="152"/>
      <w:bookmarkEnd w:id="153"/>
      <w:bookmarkEnd w:id="154"/>
      <w:bookmarkEnd w:id="155"/>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5</w:t>
      </w:r>
      <w:r>
        <w:rPr>
          <w:rFonts w:ascii="仿宋" w:hAnsi="仿宋" w:eastAsia="仿宋" w:cs="仿宋"/>
          <w:sz w:val="32"/>
          <w:szCs w:val="32"/>
        </w:rPr>
        <w:t>.</w:t>
      </w:r>
      <w:r>
        <w:rPr>
          <w:rFonts w:hint="eastAsia" w:ascii="仿宋" w:hAnsi="仿宋" w:eastAsia="仿宋" w:cs="仿宋"/>
          <w:sz w:val="32"/>
          <w:szCs w:val="32"/>
          <w:lang w:val="en-US" w:eastAsia="zh-CN"/>
        </w:rPr>
        <w:t>4</w:t>
      </w:r>
      <w:r>
        <w:rPr>
          <w:rFonts w:ascii="仿宋" w:hAnsi="仿宋" w:eastAsia="仿宋" w:cs="仿宋"/>
          <w:sz w:val="32"/>
          <w:szCs w:val="32"/>
        </w:rPr>
        <w:t>.1基金管理人</w:t>
      </w:r>
      <w:r>
        <w:rPr>
          <w:rFonts w:hint="eastAsia" w:ascii="仿宋" w:hAnsi="仿宋" w:eastAsia="仿宋" w:cs="仿宋"/>
          <w:sz w:val="32"/>
          <w:szCs w:val="32"/>
        </w:rPr>
        <w:t>应当</w:t>
      </w:r>
      <w:r>
        <w:rPr>
          <w:rFonts w:ascii="仿宋" w:hAnsi="仿宋" w:eastAsia="仿宋" w:cs="仿宋"/>
          <w:sz w:val="32"/>
          <w:szCs w:val="32"/>
        </w:rPr>
        <w:t>列明基金</w:t>
      </w:r>
      <w:r>
        <w:rPr>
          <w:rFonts w:hint="eastAsia" w:ascii="仿宋" w:hAnsi="仿宋" w:eastAsia="仿宋" w:cs="仿宋"/>
          <w:sz w:val="32"/>
          <w:szCs w:val="32"/>
        </w:rPr>
        <w:t>信息</w:t>
      </w:r>
      <w:r>
        <w:rPr>
          <w:rFonts w:ascii="仿宋" w:hAnsi="仿宋" w:eastAsia="仿宋" w:cs="仿宋"/>
          <w:sz w:val="32"/>
          <w:szCs w:val="32"/>
        </w:rPr>
        <w:t>披露的渠道、基金信息披露文件的种类、披露时间和披露形式</w:t>
      </w:r>
      <w:r>
        <w:rPr>
          <w:rFonts w:hint="eastAsia" w:ascii="仿宋" w:hAnsi="仿宋" w:eastAsia="仿宋" w:cs="仿宋"/>
          <w:sz w:val="32"/>
          <w:szCs w:val="32"/>
        </w:rPr>
        <w:t>、</w:t>
      </w:r>
      <w:r>
        <w:rPr>
          <w:rFonts w:ascii="仿宋" w:hAnsi="仿宋" w:eastAsia="仿宋" w:cs="仿宋"/>
          <w:sz w:val="32"/>
          <w:szCs w:val="32"/>
        </w:rPr>
        <w:t>基金经理</w:t>
      </w:r>
      <w:r>
        <w:rPr>
          <w:rFonts w:hint="eastAsia" w:ascii="仿宋" w:hAnsi="仿宋" w:eastAsia="仿宋" w:cs="仿宋"/>
          <w:sz w:val="32"/>
          <w:szCs w:val="32"/>
        </w:rPr>
        <w:t>以及</w:t>
      </w:r>
      <w:r>
        <w:rPr>
          <w:rFonts w:ascii="仿宋" w:hAnsi="仿宋" w:eastAsia="仿宋" w:cs="仿宋"/>
          <w:sz w:val="32"/>
          <w:szCs w:val="32"/>
        </w:rPr>
        <w:t>兼任安排等。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说明基金定期更新的招募说明书、定期报告、基金资产净值公告等公告文本的存放地点</w:t>
      </w:r>
      <w:r>
        <w:rPr>
          <w:rFonts w:hint="eastAsia" w:ascii="仿宋" w:hAnsi="仿宋" w:eastAsia="仿宋" w:cs="仿宋"/>
          <w:sz w:val="32"/>
          <w:szCs w:val="32"/>
        </w:rPr>
        <w:t>以及</w:t>
      </w:r>
      <w:r>
        <w:rPr>
          <w:rFonts w:ascii="仿宋" w:hAnsi="仿宋" w:eastAsia="仿宋" w:cs="仿宋"/>
          <w:sz w:val="32"/>
          <w:szCs w:val="32"/>
        </w:rPr>
        <w:t>查阅方式，并说明基金管理人和基金托管人</w:t>
      </w:r>
      <w:r>
        <w:rPr>
          <w:rFonts w:hint="eastAsia" w:ascii="仿宋" w:hAnsi="仿宋" w:eastAsia="仿宋" w:cs="仿宋"/>
          <w:sz w:val="32"/>
          <w:szCs w:val="32"/>
        </w:rPr>
        <w:t>应当</w:t>
      </w:r>
      <w:r>
        <w:rPr>
          <w:rFonts w:ascii="仿宋" w:hAnsi="仿宋" w:eastAsia="仿宋" w:cs="仿宋"/>
          <w:sz w:val="32"/>
          <w:szCs w:val="32"/>
        </w:rPr>
        <w:t>保证文本的内容与公告的内容完全一致。</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5</w:t>
      </w:r>
      <w:r>
        <w:rPr>
          <w:rFonts w:ascii="仿宋" w:hAnsi="仿宋" w:eastAsia="仿宋" w:cs="仿宋"/>
          <w:sz w:val="32"/>
          <w:szCs w:val="32"/>
        </w:rPr>
        <w:t>.</w:t>
      </w:r>
      <w:r>
        <w:rPr>
          <w:rFonts w:hint="eastAsia" w:ascii="仿宋" w:hAnsi="仿宋" w:eastAsia="仿宋" w:cs="仿宋"/>
          <w:sz w:val="32"/>
          <w:szCs w:val="32"/>
          <w:lang w:val="en-US" w:eastAsia="zh-CN"/>
        </w:rPr>
        <w:t>4</w:t>
      </w:r>
      <w:r>
        <w:rPr>
          <w:rFonts w:ascii="仿宋" w:hAnsi="仿宋" w:eastAsia="仿宋" w:cs="仿宋"/>
          <w:sz w:val="32"/>
          <w:szCs w:val="32"/>
        </w:rPr>
        <w:t>.2基金管理人</w:t>
      </w:r>
      <w:r>
        <w:rPr>
          <w:rFonts w:hint="eastAsia" w:ascii="仿宋" w:hAnsi="仿宋" w:eastAsia="仿宋" w:cs="仿宋"/>
          <w:sz w:val="32"/>
          <w:szCs w:val="32"/>
        </w:rPr>
        <w:t>应当</w:t>
      </w:r>
      <w:r>
        <w:rPr>
          <w:rFonts w:ascii="仿宋" w:hAnsi="仿宋" w:eastAsia="仿宋" w:cs="仿宋"/>
          <w:sz w:val="32"/>
          <w:szCs w:val="32"/>
        </w:rPr>
        <w:t>按照《5号指引》要求披露下列基金运作重要内容和其他</w:t>
      </w:r>
      <w:r>
        <w:rPr>
          <w:rFonts w:hint="eastAsia" w:ascii="仿宋" w:hAnsi="仿宋" w:eastAsia="仿宋" w:cs="仿宋"/>
          <w:sz w:val="32"/>
          <w:szCs w:val="32"/>
        </w:rPr>
        <w:t>应当</w:t>
      </w:r>
      <w:r>
        <w:rPr>
          <w:rFonts w:ascii="仿宋" w:hAnsi="仿宋" w:eastAsia="仿宋" w:cs="仿宋"/>
          <w:sz w:val="32"/>
          <w:szCs w:val="32"/>
        </w:rPr>
        <w:t>提醒投资者特别关注的重要事项，在招募说明书正文进行简要披露，详细内容索引至附件：</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（一）基金的募集，</w:t>
      </w:r>
      <w:r>
        <w:rPr>
          <w:rFonts w:hint="eastAsia" w:ascii="仿宋" w:hAnsi="仿宋" w:eastAsia="仿宋" w:cs="仿宋"/>
          <w:sz w:val="32"/>
          <w:szCs w:val="32"/>
        </w:rPr>
        <w:t>包括</w:t>
      </w:r>
      <w:r>
        <w:rPr>
          <w:rFonts w:ascii="仿宋" w:hAnsi="仿宋" w:eastAsia="仿宋" w:cs="仿宋"/>
          <w:sz w:val="32"/>
          <w:szCs w:val="32"/>
        </w:rPr>
        <w:t>募集失败情形的处理；</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（二）基金合同的生效；</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（三）基金份额的交易；</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（四）基金的投资；</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（五）基金的财产；</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（六）不动产基金</w:t>
      </w:r>
      <w:r>
        <w:rPr>
          <w:rFonts w:hint="eastAsia" w:ascii="仿宋" w:hAnsi="仿宋" w:eastAsia="仿宋" w:cs="仿宋"/>
          <w:sz w:val="32"/>
          <w:szCs w:val="32"/>
        </w:rPr>
        <w:t>的</w:t>
      </w:r>
      <w:r>
        <w:rPr>
          <w:rFonts w:ascii="仿宋" w:hAnsi="仿宋" w:eastAsia="仿宋" w:cs="仿宋"/>
          <w:sz w:val="32"/>
          <w:szCs w:val="32"/>
        </w:rPr>
        <w:t>扩募</w:t>
      </w:r>
      <w:r>
        <w:rPr>
          <w:rFonts w:hint="eastAsia" w:ascii="仿宋" w:hAnsi="仿宋" w:eastAsia="仿宋" w:cs="仿宋"/>
          <w:sz w:val="32"/>
          <w:szCs w:val="32"/>
        </w:rPr>
        <w:t>，</w:t>
      </w: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简要披露不动产基金存续期间</w:t>
      </w:r>
      <w:r>
        <w:rPr>
          <w:rFonts w:hint="eastAsia" w:ascii="仿宋" w:hAnsi="仿宋" w:eastAsia="仿宋" w:cs="仿宋"/>
          <w:sz w:val="32"/>
          <w:szCs w:val="32"/>
        </w:rPr>
        <w:t>可供</w:t>
      </w:r>
      <w:r>
        <w:rPr>
          <w:rFonts w:ascii="仿宋" w:hAnsi="仿宋" w:eastAsia="仿宋" w:cs="仿宋"/>
          <w:sz w:val="32"/>
          <w:szCs w:val="32"/>
        </w:rPr>
        <w:t>购入不动产项目基本情况，包括不动产项目名称、所在区位、经营情况等</w:t>
      </w:r>
      <w:r>
        <w:rPr>
          <w:rFonts w:hint="eastAsia" w:ascii="仿宋" w:hAnsi="仿宋" w:eastAsia="仿宋" w:cs="仿宋"/>
          <w:sz w:val="32"/>
          <w:szCs w:val="32"/>
        </w:rPr>
        <w:t>；可供</w:t>
      </w:r>
      <w:r>
        <w:rPr>
          <w:rFonts w:ascii="仿宋" w:hAnsi="仿宋" w:eastAsia="仿宋" w:cs="仿宋"/>
          <w:sz w:val="32"/>
          <w:szCs w:val="32"/>
        </w:rPr>
        <w:t>购入不动产项目是否为原始权益人及其关联方持有的符合条件的项目</w:t>
      </w:r>
      <w:r>
        <w:rPr>
          <w:rFonts w:hint="eastAsia" w:ascii="仿宋" w:hAnsi="仿宋" w:eastAsia="仿宋" w:cs="仿宋"/>
          <w:sz w:val="32"/>
          <w:szCs w:val="32"/>
        </w:rPr>
        <w:t>；</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（七）基金资产的估值；</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（八）基金的收益与分配，</w:t>
      </w:r>
      <w:r>
        <w:rPr>
          <w:rFonts w:hint="eastAsia" w:ascii="仿宋" w:hAnsi="仿宋" w:eastAsia="仿宋" w:cs="仿宋"/>
          <w:sz w:val="32"/>
          <w:szCs w:val="32"/>
        </w:rPr>
        <w:t>包括</w:t>
      </w:r>
      <w:r>
        <w:rPr>
          <w:rFonts w:ascii="仿宋" w:hAnsi="仿宋" w:eastAsia="仿宋" w:cs="仿宋"/>
          <w:sz w:val="32"/>
          <w:szCs w:val="32"/>
        </w:rPr>
        <w:t>账户设置与划转安排；</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（九）基金的费用与税收</w:t>
      </w:r>
      <w:r>
        <w:rPr>
          <w:rFonts w:hint="eastAsia" w:ascii="仿宋" w:hAnsi="仿宋" w:eastAsia="仿宋" w:cs="仿宋"/>
          <w:sz w:val="32"/>
          <w:szCs w:val="32"/>
        </w:rPr>
        <w:t>，</w:t>
      </w: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披露基金管理费、专项计划管理费的具体构成、支付标准和支付路径</w:t>
      </w:r>
      <w:r>
        <w:rPr>
          <w:rFonts w:hint="eastAsia" w:ascii="仿宋" w:hAnsi="仿宋" w:eastAsia="仿宋" w:cs="仿宋"/>
          <w:sz w:val="32"/>
          <w:szCs w:val="32"/>
        </w:rPr>
        <w:t>；</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（十）基金的会计与审计；</w:t>
      </w:r>
    </w:p>
    <w:p>
      <w:pPr>
        <w:widowControl/>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（十一）基金的终止与清算</w:t>
      </w:r>
      <w:r>
        <w:rPr>
          <w:rFonts w:hint="eastAsia" w:ascii="仿宋" w:hAnsi="仿宋" w:eastAsia="仿宋" w:cs="仿宋"/>
          <w:sz w:val="32"/>
          <w:szCs w:val="32"/>
        </w:rPr>
        <w:t>，</w:t>
      </w:r>
      <w:r>
        <w:rPr>
          <w:rFonts w:ascii="仿宋" w:hAnsi="仿宋" w:eastAsia="仿宋" w:cs="仿宋"/>
          <w:sz w:val="32"/>
          <w:szCs w:val="32"/>
        </w:rPr>
        <w:t>基金合同终止或者基金清算涉及不动产项目处置的，基金管理人</w:t>
      </w:r>
      <w:r>
        <w:rPr>
          <w:rFonts w:hint="eastAsia" w:ascii="仿宋" w:hAnsi="仿宋" w:eastAsia="仿宋" w:cs="仿宋"/>
          <w:sz w:val="32"/>
          <w:szCs w:val="32"/>
        </w:rPr>
        <w:t>应当</w:t>
      </w:r>
      <w:r>
        <w:rPr>
          <w:rFonts w:ascii="仿宋" w:hAnsi="仿宋" w:eastAsia="仿宋" w:cs="仿宋"/>
          <w:sz w:val="32"/>
          <w:szCs w:val="32"/>
        </w:rPr>
        <w:t>披露不动产项目处置的触发情形、决策程序、处置方式和流程</w:t>
      </w:r>
      <w:r>
        <w:rPr>
          <w:rFonts w:hint="eastAsia" w:ascii="仿宋" w:hAnsi="仿宋" w:eastAsia="仿宋" w:cs="仿宋"/>
          <w:sz w:val="32"/>
          <w:szCs w:val="32"/>
        </w:rPr>
        <w:t>，</w:t>
      </w:r>
      <w:r>
        <w:rPr>
          <w:rFonts w:ascii="仿宋" w:hAnsi="仿宋" w:eastAsia="仿宋" w:cs="仿宋"/>
          <w:sz w:val="32"/>
          <w:szCs w:val="32"/>
        </w:rPr>
        <w:t>以及相关信息披露安排等</w:t>
      </w:r>
      <w:r>
        <w:rPr>
          <w:rFonts w:hint="eastAsia" w:ascii="仿宋" w:hAnsi="仿宋" w:eastAsia="仿宋" w:cs="仿宋"/>
          <w:sz w:val="32"/>
          <w:szCs w:val="32"/>
        </w:rPr>
        <w:t>；</w:t>
      </w: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在风险因素章节披露未按照规定进行收益分配可能导致基金终止上市的风险</w:t>
      </w:r>
      <w:r>
        <w:rPr>
          <w:rFonts w:hint="eastAsia" w:ascii="仿宋" w:hAnsi="仿宋" w:eastAsia="仿宋" w:cs="仿宋"/>
          <w:sz w:val="32"/>
          <w:szCs w:val="32"/>
        </w:rPr>
        <w:t>；</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（十二）基金合同的内容摘要；</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（十三）基金托管协议的内容摘要等。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5</w:t>
      </w:r>
      <w:r>
        <w:rPr>
          <w:rFonts w:ascii="仿宋" w:hAnsi="仿宋" w:eastAsia="仿宋" w:cs="仿宋"/>
          <w:sz w:val="32"/>
          <w:szCs w:val="32"/>
        </w:rPr>
        <w:t>.</w:t>
      </w:r>
      <w:r>
        <w:rPr>
          <w:rFonts w:hint="eastAsia" w:ascii="仿宋" w:hAnsi="仿宋" w:eastAsia="仿宋" w:cs="仿宋"/>
          <w:sz w:val="32"/>
          <w:szCs w:val="32"/>
          <w:lang w:val="en-US" w:eastAsia="zh-CN"/>
        </w:rPr>
        <w:t>4</w:t>
      </w:r>
      <w:r>
        <w:rPr>
          <w:rFonts w:ascii="仿宋" w:hAnsi="仿宋" w:eastAsia="仿宋" w:cs="仿宋"/>
          <w:sz w:val="32"/>
          <w:szCs w:val="32"/>
        </w:rPr>
        <w:t>.3基金管理人</w:t>
      </w:r>
      <w:r>
        <w:rPr>
          <w:rFonts w:hint="eastAsia" w:ascii="仿宋" w:hAnsi="仿宋" w:eastAsia="仿宋" w:cs="仿宋"/>
          <w:sz w:val="32"/>
          <w:szCs w:val="32"/>
        </w:rPr>
        <w:t>应当</w:t>
      </w:r>
      <w:r>
        <w:rPr>
          <w:rFonts w:ascii="仿宋" w:hAnsi="仿宋" w:eastAsia="仿宋" w:cs="仿宋"/>
          <w:sz w:val="32"/>
          <w:szCs w:val="32"/>
        </w:rPr>
        <w:t>简要披露不动产基金的运营管理基金经理和投资管理基金经理的基本情况。存在基金经理兼任情形的，披露</w:t>
      </w:r>
      <w:r>
        <w:rPr>
          <w:rFonts w:hint="eastAsia" w:ascii="仿宋" w:hAnsi="仿宋" w:eastAsia="仿宋" w:cs="仿宋"/>
          <w:sz w:val="32"/>
          <w:szCs w:val="32"/>
        </w:rPr>
        <w:t>有关</w:t>
      </w:r>
      <w:r>
        <w:rPr>
          <w:rFonts w:ascii="仿宋" w:hAnsi="仿宋" w:eastAsia="仿宋" w:cs="仿宋"/>
          <w:sz w:val="32"/>
          <w:szCs w:val="32"/>
        </w:rPr>
        <w:t>合规性情况。</w:t>
      </w:r>
    </w:p>
    <w:p>
      <w:pPr>
        <w:widowControl/>
        <w:adjustRightInd w:val="0"/>
        <w:snapToGrid w:val="0"/>
        <w:spacing w:beforeLines="0" w:afterLines="0" w:line="560" w:lineRule="exact"/>
        <w:ind w:left="0"/>
        <w:jc w:val="center"/>
        <w:outlineLvl w:val="2"/>
        <w:rPr>
          <w:rFonts w:ascii="仿宋" w:hAnsi="仿宋" w:eastAsia="仿宋" w:cs="仿宋"/>
          <w:b/>
          <w:bCs/>
          <w:sz w:val="32"/>
          <w:szCs w:val="32"/>
        </w:rPr>
      </w:pPr>
      <w:bookmarkStart w:id="156" w:name="_Toc198802695"/>
      <w:bookmarkStart w:id="157" w:name="_Toc10225"/>
      <w:bookmarkStart w:id="158" w:name="_Toc12186"/>
      <w:bookmarkStart w:id="159" w:name="_Toc23602"/>
      <w:bookmarkStart w:id="160" w:name="_Toc3634"/>
      <w:bookmarkStart w:id="161" w:name="_Toc25188"/>
      <w:bookmarkStart w:id="162" w:name="_Toc203479469"/>
      <w:bookmarkStart w:id="163" w:name="_Toc15633"/>
      <w:r>
        <w:rPr>
          <w:rFonts w:ascii="仿宋" w:hAnsi="仿宋" w:eastAsia="仿宋" w:cs="仿宋"/>
          <w:b/>
          <w:bCs/>
          <w:sz w:val="32"/>
          <w:szCs w:val="32"/>
        </w:rPr>
        <w:t>第</w:t>
      </w:r>
      <w:r>
        <w:rPr>
          <w:rFonts w:hint="eastAsia" w:ascii="仿宋" w:hAnsi="仿宋" w:eastAsia="仿宋" w:cs="仿宋"/>
          <w:b/>
          <w:bCs/>
          <w:sz w:val="32"/>
          <w:szCs w:val="32"/>
          <w:lang w:val="en-US" w:eastAsia="zh-CN"/>
        </w:rPr>
        <w:t>五</w:t>
      </w:r>
      <w:r>
        <w:rPr>
          <w:rFonts w:ascii="仿宋" w:hAnsi="仿宋" w:eastAsia="仿宋" w:cs="仿宋"/>
          <w:b/>
          <w:bCs/>
          <w:sz w:val="32"/>
          <w:szCs w:val="32"/>
        </w:rPr>
        <w:t>节 其他事项</w:t>
      </w:r>
      <w:bookmarkEnd w:id="156"/>
      <w:bookmarkEnd w:id="157"/>
      <w:bookmarkEnd w:id="158"/>
      <w:bookmarkEnd w:id="159"/>
      <w:bookmarkEnd w:id="160"/>
      <w:bookmarkEnd w:id="161"/>
      <w:bookmarkEnd w:id="162"/>
      <w:bookmarkEnd w:id="163"/>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5</w:t>
      </w:r>
      <w:r>
        <w:rPr>
          <w:rFonts w:ascii="仿宋" w:hAnsi="仿宋" w:eastAsia="仿宋" w:cs="仿宋"/>
          <w:sz w:val="32"/>
          <w:szCs w:val="32"/>
        </w:rPr>
        <w:t>.</w:t>
      </w:r>
      <w:r>
        <w:rPr>
          <w:rFonts w:hint="eastAsia" w:ascii="仿宋" w:hAnsi="仿宋" w:eastAsia="仿宋" w:cs="仿宋"/>
          <w:sz w:val="32"/>
          <w:szCs w:val="32"/>
          <w:lang w:val="en-US" w:eastAsia="zh-CN"/>
        </w:rPr>
        <w:t>5</w:t>
      </w:r>
      <w:r>
        <w:rPr>
          <w:rFonts w:ascii="仿宋" w:hAnsi="仿宋" w:eastAsia="仿宋" w:cs="仿宋"/>
          <w:sz w:val="32"/>
          <w:szCs w:val="32"/>
        </w:rPr>
        <w:t>.1基金管理人</w:t>
      </w:r>
      <w:r>
        <w:rPr>
          <w:rFonts w:hint="eastAsia" w:ascii="仿宋" w:hAnsi="仿宋" w:eastAsia="仿宋" w:cs="仿宋"/>
          <w:sz w:val="32"/>
          <w:szCs w:val="32"/>
        </w:rPr>
        <w:t>应当</w:t>
      </w:r>
      <w:r>
        <w:rPr>
          <w:rFonts w:ascii="仿宋" w:hAnsi="仿宋" w:eastAsia="仿宋" w:cs="仿宋"/>
          <w:sz w:val="32"/>
          <w:szCs w:val="32"/>
        </w:rPr>
        <w:t>简明扼要披露为基金份额持有人提供的服务种类</w:t>
      </w:r>
      <w:r>
        <w:rPr>
          <w:rFonts w:hint="eastAsia" w:ascii="仿宋" w:hAnsi="仿宋" w:eastAsia="仿宋" w:cs="仿宋"/>
          <w:sz w:val="32"/>
          <w:szCs w:val="32"/>
        </w:rPr>
        <w:t>和</w:t>
      </w:r>
      <w:r>
        <w:rPr>
          <w:rFonts w:ascii="仿宋" w:hAnsi="仿宋" w:eastAsia="仿宋" w:cs="仿宋"/>
          <w:sz w:val="32"/>
          <w:szCs w:val="32"/>
        </w:rPr>
        <w:t>具体服务内容</w:t>
      </w:r>
      <w:r>
        <w:rPr>
          <w:rFonts w:hint="eastAsia" w:ascii="仿宋" w:hAnsi="仿宋" w:eastAsia="仿宋" w:cs="仿宋"/>
          <w:sz w:val="32"/>
          <w:szCs w:val="32"/>
        </w:rPr>
        <w:t>，</w:t>
      </w:r>
      <w:r>
        <w:rPr>
          <w:rFonts w:ascii="仿宋" w:hAnsi="仿宋" w:eastAsia="仿宋" w:cs="仿宋"/>
          <w:sz w:val="32"/>
          <w:szCs w:val="32"/>
        </w:rPr>
        <w:t>基金管理人的咨询电话、网站</w:t>
      </w:r>
      <w:r>
        <w:rPr>
          <w:rFonts w:hint="eastAsia" w:ascii="仿宋" w:hAnsi="仿宋" w:eastAsia="仿宋" w:cs="仿宋"/>
          <w:sz w:val="32"/>
          <w:szCs w:val="32"/>
        </w:rPr>
        <w:t>和</w:t>
      </w:r>
      <w:r>
        <w:rPr>
          <w:rFonts w:ascii="仿宋" w:hAnsi="仿宋" w:eastAsia="仿宋" w:cs="仿宋"/>
          <w:sz w:val="32"/>
          <w:szCs w:val="32"/>
        </w:rPr>
        <w:t>其他服务渠道等</w:t>
      </w:r>
      <w:r>
        <w:rPr>
          <w:rFonts w:hint="eastAsia" w:ascii="仿宋" w:hAnsi="仿宋" w:eastAsia="仿宋" w:cs="仿宋"/>
          <w:sz w:val="32"/>
          <w:szCs w:val="32"/>
        </w:rPr>
        <w:t>，并</w:t>
      </w:r>
      <w:r>
        <w:rPr>
          <w:rFonts w:ascii="仿宋" w:hAnsi="仿宋" w:eastAsia="仿宋" w:cs="仿宋"/>
          <w:sz w:val="32"/>
          <w:szCs w:val="32"/>
        </w:rPr>
        <w:t>说明招募说明书的存放地点</w:t>
      </w:r>
      <w:r>
        <w:rPr>
          <w:rFonts w:hint="eastAsia" w:ascii="仿宋" w:hAnsi="仿宋" w:eastAsia="仿宋" w:cs="仿宋"/>
          <w:sz w:val="32"/>
          <w:szCs w:val="32"/>
        </w:rPr>
        <w:t>以及</w:t>
      </w:r>
      <w:r>
        <w:rPr>
          <w:rFonts w:ascii="仿宋" w:hAnsi="仿宋" w:eastAsia="仿宋" w:cs="仿宋"/>
          <w:sz w:val="32"/>
          <w:szCs w:val="32"/>
        </w:rPr>
        <w:t>投资者查阅方式等。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5</w:t>
      </w:r>
      <w:r>
        <w:rPr>
          <w:rFonts w:ascii="仿宋" w:hAnsi="仿宋" w:eastAsia="仿宋" w:cs="仿宋"/>
          <w:sz w:val="32"/>
          <w:szCs w:val="32"/>
        </w:rPr>
        <w:t>.</w:t>
      </w:r>
      <w:r>
        <w:rPr>
          <w:rFonts w:hint="eastAsia" w:ascii="仿宋" w:hAnsi="仿宋" w:eastAsia="仿宋" w:cs="仿宋"/>
          <w:sz w:val="32"/>
          <w:szCs w:val="32"/>
          <w:lang w:val="en-US" w:eastAsia="zh-CN"/>
        </w:rPr>
        <w:t>5</w:t>
      </w:r>
      <w:r>
        <w:rPr>
          <w:rFonts w:ascii="仿宋" w:hAnsi="仿宋" w:eastAsia="仿宋" w:cs="仿宋"/>
          <w:sz w:val="32"/>
          <w:szCs w:val="32"/>
        </w:rPr>
        <w:t>.2基金管理人</w:t>
      </w:r>
      <w:r>
        <w:rPr>
          <w:rFonts w:hint="eastAsia" w:ascii="仿宋" w:hAnsi="仿宋" w:eastAsia="仿宋" w:cs="仿宋"/>
          <w:sz w:val="32"/>
          <w:szCs w:val="32"/>
        </w:rPr>
        <w:t>应当</w:t>
      </w:r>
      <w:r>
        <w:rPr>
          <w:rFonts w:ascii="仿宋" w:hAnsi="仿宋" w:eastAsia="仿宋" w:cs="仿宋"/>
          <w:sz w:val="32"/>
          <w:szCs w:val="32"/>
        </w:rPr>
        <w:t>说明备查文件的存放地点</w:t>
      </w:r>
      <w:r>
        <w:rPr>
          <w:rFonts w:hint="eastAsia" w:ascii="仿宋" w:hAnsi="仿宋" w:eastAsia="仿宋" w:cs="仿宋"/>
          <w:sz w:val="32"/>
          <w:szCs w:val="32"/>
        </w:rPr>
        <w:t>以及</w:t>
      </w:r>
      <w:r>
        <w:rPr>
          <w:rFonts w:ascii="仿宋" w:hAnsi="仿宋" w:eastAsia="仿宋" w:cs="仿宋"/>
          <w:sz w:val="32"/>
          <w:szCs w:val="32"/>
        </w:rPr>
        <w:t>投资者查阅方式。</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备查文件至少</w:t>
      </w:r>
      <w:r>
        <w:rPr>
          <w:rFonts w:hint="eastAsia" w:ascii="仿宋" w:hAnsi="仿宋" w:eastAsia="仿宋" w:cs="仿宋"/>
          <w:sz w:val="32"/>
          <w:szCs w:val="32"/>
        </w:rPr>
        <w:t>应当</w:t>
      </w:r>
      <w:r>
        <w:rPr>
          <w:rFonts w:ascii="仿宋" w:hAnsi="仿宋" w:eastAsia="仿宋" w:cs="仿宋"/>
          <w:sz w:val="32"/>
          <w:szCs w:val="32"/>
        </w:rPr>
        <w:t>包括下列文件：</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（一）中国证监会准予基金募集的文件；</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（二）基金合同；</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（三）注册登记协议（如有）；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（四）托管协议；</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（五）法律意见书；</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（六）基金管理人业务资格批件、营业执照；</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（七）基金托管人业务资格批件、营业执照；</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（八）中国证监会要求的其他文件。</w:t>
      </w:r>
    </w:p>
    <w:p>
      <w:pPr>
        <w:adjustRightInd w:val="0"/>
        <w:snapToGrid w:val="0"/>
        <w:spacing w:beforeLines="0" w:afterLines="0" w:line="560" w:lineRule="exact"/>
        <w:ind w:left="0"/>
        <w:jc w:val="center"/>
        <w:outlineLvl w:val="1"/>
        <w:rPr>
          <w:rFonts w:hint="eastAsia" w:ascii="楷体" w:hAnsi="楷体" w:eastAsia="楷体" w:cs="仿宋"/>
          <w:b w:val="0"/>
          <w:bCs w:val="0"/>
          <w:sz w:val="32"/>
          <w:szCs w:val="32"/>
        </w:rPr>
      </w:pPr>
      <w:bookmarkStart w:id="164" w:name="_Toc203479470"/>
      <w:bookmarkStart w:id="165" w:name="_Toc8737"/>
      <w:bookmarkStart w:id="166" w:name="_Toc25399"/>
      <w:bookmarkStart w:id="167" w:name="_Toc32214"/>
      <w:bookmarkStart w:id="168" w:name="_Toc31275"/>
      <w:bookmarkStart w:id="169" w:name="_Toc13225"/>
      <w:bookmarkStart w:id="170" w:name="_Toc9160"/>
      <w:bookmarkStart w:id="171" w:name="_Toc198802697"/>
      <w:r>
        <w:rPr>
          <w:rFonts w:hint="eastAsia" w:ascii="楷体" w:hAnsi="楷体" w:eastAsia="楷体" w:cs="仿宋"/>
          <w:b w:val="0"/>
          <w:bCs w:val="0"/>
          <w:sz w:val="32"/>
          <w:szCs w:val="32"/>
        </w:rPr>
        <w:t>第</w:t>
      </w:r>
      <w:r>
        <w:rPr>
          <w:rFonts w:hint="eastAsia" w:ascii="楷体" w:hAnsi="楷体" w:eastAsia="楷体" w:cs="仿宋"/>
          <w:b w:val="0"/>
          <w:bCs w:val="0"/>
          <w:sz w:val="32"/>
          <w:szCs w:val="32"/>
          <w:lang w:val="en-US" w:eastAsia="zh-CN"/>
        </w:rPr>
        <w:t>六</w:t>
      </w:r>
      <w:r>
        <w:rPr>
          <w:rFonts w:hint="eastAsia" w:ascii="楷体" w:hAnsi="楷体" w:eastAsia="楷体" w:cs="仿宋"/>
          <w:b w:val="0"/>
          <w:bCs w:val="0"/>
          <w:sz w:val="32"/>
          <w:szCs w:val="32"/>
        </w:rPr>
        <w:t>章 附件</w:t>
      </w:r>
      <w:bookmarkEnd w:id="164"/>
      <w:bookmarkEnd w:id="165"/>
      <w:bookmarkEnd w:id="166"/>
      <w:bookmarkEnd w:id="167"/>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6</w:t>
      </w:r>
      <w:r>
        <w:rPr>
          <w:rFonts w:ascii="仿宋" w:hAnsi="仿宋" w:eastAsia="仿宋" w:cs="仿宋"/>
          <w:sz w:val="32"/>
          <w:szCs w:val="32"/>
        </w:rPr>
        <w:t>基金管理人</w:t>
      </w:r>
      <w:r>
        <w:rPr>
          <w:rFonts w:hint="eastAsia" w:ascii="仿宋" w:hAnsi="仿宋" w:eastAsia="仿宋" w:cs="仿宋"/>
          <w:sz w:val="32"/>
          <w:szCs w:val="32"/>
        </w:rPr>
        <w:t>应当</w:t>
      </w:r>
      <w:r>
        <w:rPr>
          <w:rFonts w:ascii="仿宋" w:hAnsi="仿宋" w:eastAsia="仿宋" w:cs="仿宋"/>
          <w:sz w:val="32"/>
          <w:szCs w:val="32"/>
        </w:rPr>
        <w:t>按</w:t>
      </w:r>
      <w:r>
        <w:rPr>
          <w:rFonts w:hint="eastAsia" w:ascii="仿宋" w:hAnsi="仿宋" w:eastAsia="仿宋" w:cs="仿宋"/>
          <w:sz w:val="32"/>
          <w:szCs w:val="32"/>
        </w:rPr>
        <w:t>照</w:t>
      </w:r>
      <w:r>
        <w:rPr>
          <w:rFonts w:ascii="仿宋" w:hAnsi="仿宋" w:eastAsia="仿宋" w:cs="仿宋"/>
          <w:sz w:val="32"/>
          <w:szCs w:val="32"/>
        </w:rPr>
        <w:t>本指南规定披露招募说明书正文</w:t>
      </w:r>
      <w:r>
        <w:rPr>
          <w:rFonts w:hint="eastAsia" w:ascii="仿宋" w:hAnsi="仿宋" w:eastAsia="仿宋" w:cs="仿宋"/>
          <w:sz w:val="32"/>
          <w:szCs w:val="32"/>
        </w:rPr>
        <w:t>以及下列</w:t>
      </w:r>
      <w:r>
        <w:rPr>
          <w:rFonts w:ascii="仿宋" w:hAnsi="仿宋" w:eastAsia="仿宋" w:cs="仿宋"/>
          <w:sz w:val="32"/>
          <w:szCs w:val="32"/>
        </w:rPr>
        <w:t>附件：</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（一）原始权益人及其控股股东、实际控制人</w:t>
      </w:r>
      <w:r>
        <w:rPr>
          <w:rFonts w:hint="eastAsia" w:ascii="仿宋" w:hAnsi="仿宋" w:eastAsia="仿宋" w:cs="仿宋"/>
          <w:sz w:val="32"/>
          <w:szCs w:val="32"/>
        </w:rPr>
        <w:t>，</w:t>
      </w:r>
      <w:r>
        <w:rPr>
          <w:rFonts w:hint="eastAsia" w:ascii="仿宋" w:hAnsi="仿宋" w:eastAsia="仿宋" w:cs="仿宋"/>
          <w:bCs/>
          <w:sz w:val="32"/>
          <w:szCs w:val="32"/>
        </w:rPr>
        <w:t>运营</w:t>
      </w:r>
      <w:r>
        <w:rPr>
          <w:rFonts w:ascii="仿宋" w:hAnsi="仿宋" w:eastAsia="仿宋" w:cs="仿宋"/>
          <w:sz w:val="32"/>
          <w:szCs w:val="32"/>
        </w:rPr>
        <w:t>管理机构对</w:t>
      </w:r>
      <w:r>
        <w:rPr>
          <w:rFonts w:hint="eastAsia" w:ascii="仿宋" w:hAnsi="仿宋" w:eastAsia="仿宋" w:cs="仿宋"/>
          <w:sz w:val="32"/>
          <w:szCs w:val="32"/>
        </w:rPr>
        <w:t>有关</w:t>
      </w:r>
      <w:r>
        <w:rPr>
          <w:rFonts w:ascii="仿宋" w:hAnsi="仿宋" w:eastAsia="仿宋" w:cs="仿宋"/>
          <w:sz w:val="32"/>
          <w:szCs w:val="32"/>
        </w:rPr>
        <w:t>事项的承诺；</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（二）不动产项目最近3年及</w:t>
      </w:r>
      <w:r>
        <w:rPr>
          <w:rFonts w:hint="eastAsia" w:ascii="仿宋" w:hAnsi="仿宋" w:eastAsia="仿宋" w:cs="仿宋"/>
          <w:sz w:val="32"/>
          <w:szCs w:val="32"/>
        </w:rPr>
        <w:t>一</w:t>
      </w:r>
      <w:r>
        <w:rPr>
          <w:rFonts w:ascii="仿宋" w:hAnsi="仿宋" w:eastAsia="仿宋" w:cs="仿宋"/>
          <w:sz w:val="32"/>
          <w:szCs w:val="32"/>
        </w:rPr>
        <w:t>期的财务报告</w:t>
      </w:r>
      <w:r>
        <w:rPr>
          <w:rFonts w:hint="eastAsia" w:ascii="仿宋" w:hAnsi="仿宋" w:eastAsia="仿宋" w:cs="仿宋"/>
          <w:sz w:val="32"/>
          <w:szCs w:val="32"/>
        </w:rPr>
        <w:t>和</w:t>
      </w:r>
      <w:r>
        <w:rPr>
          <w:rFonts w:ascii="仿宋" w:hAnsi="仿宋" w:eastAsia="仿宋" w:cs="仿宋"/>
          <w:sz w:val="32"/>
          <w:szCs w:val="32"/>
        </w:rPr>
        <w:t>审计报告；</w:t>
      </w:r>
      <w:r>
        <w:rPr>
          <w:rFonts w:hint="eastAsia" w:ascii="仿宋" w:hAnsi="仿宋" w:eastAsia="仿宋" w:cs="仿宋"/>
          <w:sz w:val="32"/>
          <w:szCs w:val="32"/>
        </w:rPr>
        <w:t>或者</w:t>
      </w:r>
      <w:r>
        <w:rPr>
          <w:rFonts w:ascii="仿宋" w:hAnsi="仿宋" w:eastAsia="仿宋" w:cs="仿宋"/>
          <w:sz w:val="32"/>
          <w:szCs w:val="32"/>
        </w:rPr>
        <w:t>最近1年及</w:t>
      </w:r>
      <w:r>
        <w:rPr>
          <w:rFonts w:hint="eastAsia" w:ascii="仿宋" w:hAnsi="仿宋" w:eastAsia="仿宋" w:cs="仿宋"/>
          <w:sz w:val="32"/>
          <w:szCs w:val="32"/>
        </w:rPr>
        <w:t>一</w:t>
      </w:r>
      <w:r>
        <w:rPr>
          <w:rFonts w:ascii="仿宋" w:hAnsi="仿宋" w:eastAsia="仿宋" w:cs="仿宋"/>
          <w:sz w:val="32"/>
          <w:szCs w:val="32"/>
        </w:rPr>
        <w:t>期的财务报告和审计报告；</w:t>
      </w:r>
      <w:r>
        <w:rPr>
          <w:rFonts w:hint="eastAsia" w:ascii="仿宋" w:hAnsi="仿宋" w:eastAsia="仿宋" w:cs="仿宋"/>
          <w:sz w:val="32"/>
          <w:szCs w:val="32"/>
        </w:rPr>
        <w:t>或者</w:t>
      </w:r>
      <w:r>
        <w:rPr>
          <w:rFonts w:ascii="仿宋" w:hAnsi="仿宋" w:eastAsia="仿宋" w:cs="仿宋"/>
          <w:sz w:val="32"/>
          <w:szCs w:val="32"/>
        </w:rPr>
        <w:t>基于过往运营经验和合理假设编制的最近</w:t>
      </w:r>
      <w:r>
        <w:rPr>
          <w:rFonts w:hint="eastAsia" w:ascii="仿宋" w:hAnsi="仿宋" w:eastAsia="仿宋" w:cs="仿宋"/>
          <w:sz w:val="32"/>
          <w:szCs w:val="32"/>
        </w:rPr>
        <w:t>3</w:t>
      </w:r>
      <w:r>
        <w:rPr>
          <w:rFonts w:ascii="仿宋" w:hAnsi="仿宋" w:eastAsia="仿宋" w:cs="仿宋"/>
          <w:sz w:val="32"/>
          <w:szCs w:val="32"/>
        </w:rPr>
        <w:t>年及</w:t>
      </w:r>
      <w:r>
        <w:rPr>
          <w:rFonts w:hint="eastAsia" w:ascii="仿宋" w:hAnsi="仿宋" w:eastAsia="仿宋" w:cs="仿宋"/>
          <w:sz w:val="32"/>
          <w:szCs w:val="32"/>
        </w:rPr>
        <w:t>一</w:t>
      </w:r>
      <w:r>
        <w:rPr>
          <w:rFonts w:ascii="仿宋" w:hAnsi="仿宋" w:eastAsia="仿宋" w:cs="仿宋"/>
          <w:sz w:val="32"/>
          <w:szCs w:val="32"/>
        </w:rPr>
        <w:t>期经审计的备考财务报表；</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（三）基金可供分配金额测算报告；</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（四）尽职调查报告；</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（五）不动产项目评估报告；</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（六）财务顾问报告（如有）；</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（七）基金合同</w:t>
      </w:r>
      <w:r>
        <w:rPr>
          <w:rFonts w:hint="eastAsia" w:ascii="仿宋" w:hAnsi="仿宋" w:eastAsia="仿宋" w:cs="仿宋"/>
          <w:sz w:val="32"/>
          <w:szCs w:val="32"/>
        </w:rPr>
        <w:t>和</w:t>
      </w:r>
      <w:r>
        <w:rPr>
          <w:rFonts w:ascii="仿宋" w:hAnsi="仿宋" w:eastAsia="仿宋" w:cs="仿宋"/>
          <w:sz w:val="32"/>
          <w:szCs w:val="32"/>
        </w:rPr>
        <w:t>托管协议</w:t>
      </w:r>
      <w:r>
        <w:rPr>
          <w:rFonts w:hint="eastAsia" w:ascii="仿宋" w:hAnsi="仿宋" w:eastAsia="仿宋" w:cs="仿宋"/>
          <w:sz w:val="32"/>
          <w:szCs w:val="32"/>
        </w:rPr>
        <w:t>有关</w:t>
      </w:r>
      <w:r>
        <w:rPr>
          <w:rFonts w:ascii="仿宋" w:hAnsi="仿宋" w:eastAsia="仿宋" w:cs="仿宋"/>
          <w:sz w:val="32"/>
          <w:szCs w:val="32"/>
        </w:rPr>
        <w:t>情况；</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（八）本次发行参与机构的基本情况；</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（九）本指南要求披露的其他附件；</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（十）其他与本次发行有关的重要文件。</w:t>
      </w:r>
    </w:p>
    <w:p>
      <w:pPr>
        <w:pStyle w:val="2"/>
      </w:pPr>
    </w:p>
    <w:p>
      <w:pPr>
        <w:adjustRightInd w:val="0"/>
        <w:snapToGrid w:val="0"/>
        <w:spacing w:beforeLines="0" w:afterLines="0" w:line="560" w:lineRule="exact"/>
        <w:ind w:left="0"/>
        <w:jc w:val="center"/>
        <w:outlineLvl w:val="0"/>
        <w:rPr>
          <w:rFonts w:hint="eastAsia" w:ascii="黑体" w:hAnsi="黑体" w:eastAsia="黑体" w:cs="仿宋"/>
          <w:b w:val="0"/>
          <w:bCs w:val="0"/>
          <w:sz w:val="32"/>
          <w:szCs w:val="32"/>
        </w:rPr>
      </w:pPr>
      <w:bookmarkStart w:id="172" w:name="_Toc203479471"/>
      <w:bookmarkStart w:id="173" w:name="_Toc3197"/>
      <w:bookmarkStart w:id="174" w:name="_Toc30399"/>
      <w:bookmarkStart w:id="175" w:name="_Toc19750"/>
      <w:r>
        <w:rPr>
          <w:rFonts w:hint="eastAsia" w:ascii="黑体" w:hAnsi="黑体" w:eastAsia="黑体" w:cs="仿宋"/>
          <w:b w:val="0"/>
          <w:bCs w:val="0"/>
          <w:sz w:val="32"/>
          <w:szCs w:val="32"/>
        </w:rPr>
        <w:t>第三部分 附则</w:t>
      </w:r>
      <w:bookmarkEnd w:id="168"/>
      <w:bookmarkEnd w:id="169"/>
      <w:bookmarkEnd w:id="170"/>
      <w:bookmarkEnd w:id="171"/>
      <w:bookmarkEnd w:id="172"/>
      <w:bookmarkEnd w:id="173"/>
      <w:bookmarkEnd w:id="174"/>
      <w:bookmarkEnd w:id="175"/>
    </w:p>
    <w:p>
      <w:pPr>
        <w:adjustRightInd w:val="0"/>
        <w:snapToGrid w:val="0"/>
        <w:spacing w:beforeLines="0" w:afterLines="0" w:line="560" w:lineRule="exact"/>
        <w:ind w:firstLine="640" w:firstLineChars="200"/>
        <w:outlineLvl w:val="9"/>
        <w:rPr>
          <w:rFonts w:ascii="仿宋" w:hAnsi="仿宋" w:eastAsia="仿宋" w:cs="仿宋"/>
          <w:sz w:val="32"/>
          <w:szCs w:val="32"/>
        </w:rPr>
      </w:pPr>
      <w:bookmarkStart w:id="176" w:name="_Toc24719"/>
      <w:bookmarkStart w:id="177" w:name="_Toc15032"/>
      <w:bookmarkStart w:id="178" w:name="_Toc202878507"/>
      <w:r>
        <w:rPr>
          <w:rFonts w:ascii="仿宋" w:hAnsi="仿宋" w:eastAsia="仿宋" w:cs="仿宋"/>
          <w:sz w:val="32"/>
          <w:szCs w:val="32"/>
        </w:rPr>
        <w:t>3.1本指南</w:t>
      </w:r>
      <w:r>
        <w:rPr>
          <w:rFonts w:hint="eastAsia" w:ascii="仿宋" w:hAnsi="仿宋" w:eastAsia="仿宋" w:cs="仿宋"/>
          <w:sz w:val="32"/>
          <w:szCs w:val="32"/>
        </w:rPr>
        <w:t>相关用语的含义如下</w:t>
      </w:r>
      <w:r>
        <w:rPr>
          <w:rFonts w:ascii="仿宋" w:hAnsi="仿宋" w:eastAsia="仿宋" w:cs="仿宋"/>
          <w:sz w:val="32"/>
          <w:szCs w:val="32"/>
        </w:rPr>
        <w:t>：</w:t>
      </w:r>
      <w:bookmarkEnd w:id="176"/>
      <w:bookmarkEnd w:id="177"/>
      <w:bookmarkEnd w:id="178"/>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（一）重要现金流提供方，是指在尽职调查基准日前的一个完整自然年度中，不动产项目中任一</w:t>
      </w:r>
      <w:r>
        <w:rPr>
          <w:rFonts w:hint="eastAsia" w:ascii="仿宋" w:hAnsi="仿宋" w:eastAsia="仿宋" w:cs="仿宋"/>
          <w:sz w:val="32"/>
          <w:szCs w:val="32"/>
        </w:rPr>
        <w:t>资产</w:t>
      </w:r>
      <w:r>
        <w:rPr>
          <w:rFonts w:ascii="仿宋" w:hAnsi="仿宋" w:eastAsia="仿宋" w:cs="仿宋"/>
          <w:sz w:val="32"/>
          <w:szCs w:val="32"/>
        </w:rPr>
        <w:t>的单一现金流提供方及其关联方合计提供的现金流超过</w:t>
      </w:r>
      <w:r>
        <w:rPr>
          <w:rFonts w:hint="eastAsia" w:ascii="仿宋" w:hAnsi="仿宋" w:eastAsia="仿宋" w:cs="仿宋"/>
          <w:sz w:val="32"/>
          <w:szCs w:val="32"/>
        </w:rPr>
        <w:t>该资产</w:t>
      </w:r>
      <w:r>
        <w:rPr>
          <w:rFonts w:ascii="仿宋" w:hAnsi="仿宋" w:eastAsia="仿宋" w:cs="仿宋"/>
          <w:sz w:val="32"/>
          <w:szCs w:val="32"/>
        </w:rPr>
        <w:t>同一时期现金流总额的10%的现金流提供方；</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（二）</w:t>
      </w:r>
      <w:r>
        <w:rPr>
          <w:rFonts w:hint="eastAsia" w:ascii="仿宋" w:hAnsi="仿宋" w:eastAsia="仿宋" w:cs="仿宋"/>
          <w:sz w:val="32"/>
          <w:szCs w:val="32"/>
        </w:rPr>
        <w:t>10</w:t>
      </w:r>
      <w:r>
        <w:rPr>
          <w:rFonts w:ascii="仿宋" w:hAnsi="仿宋" w:eastAsia="仿宋" w:cs="仿宋"/>
          <w:sz w:val="32"/>
          <w:szCs w:val="32"/>
        </w:rPr>
        <w:t>年期国债收益率，是指经中国债券信息网发布的</w:t>
      </w:r>
      <w:r>
        <w:rPr>
          <w:rFonts w:hint="eastAsia" w:ascii="仿宋" w:hAnsi="仿宋" w:eastAsia="仿宋" w:cs="仿宋"/>
          <w:sz w:val="32"/>
          <w:szCs w:val="32"/>
        </w:rPr>
        <w:t>10</w:t>
      </w:r>
      <w:r>
        <w:rPr>
          <w:rFonts w:ascii="仿宋" w:hAnsi="仿宋" w:eastAsia="仿宋" w:cs="仿宋"/>
          <w:sz w:val="32"/>
          <w:szCs w:val="32"/>
        </w:rPr>
        <w:t>年期中债国债（到期）收益率；</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（三）主要原始权益人，是指不动产项目权属转移至不动产基金前，履行或者决定不动产</w:t>
      </w:r>
      <w:r>
        <w:rPr>
          <w:rFonts w:hint="eastAsia" w:ascii="仿宋" w:hAnsi="仿宋" w:eastAsia="仿宋" w:cs="仿宋"/>
          <w:sz w:val="32"/>
          <w:szCs w:val="32"/>
        </w:rPr>
        <w:t>项目</w:t>
      </w:r>
      <w:r>
        <w:rPr>
          <w:rFonts w:ascii="仿宋" w:hAnsi="仿宋" w:eastAsia="仿宋" w:cs="仿宋"/>
          <w:sz w:val="32"/>
          <w:szCs w:val="32"/>
        </w:rPr>
        <w:t>运营管理权限的原始权益人；</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（四）年末/期末出租率，是指报告期内各年末/各期末实际已租面积（按</w:t>
      </w:r>
      <w:r>
        <w:rPr>
          <w:rFonts w:hint="eastAsia" w:ascii="仿宋" w:hAnsi="仿宋" w:eastAsia="仿宋" w:cs="仿宋"/>
          <w:sz w:val="32"/>
          <w:szCs w:val="32"/>
        </w:rPr>
        <w:t>照</w:t>
      </w:r>
      <w:r>
        <w:rPr>
          <w:rFonts w:ascii="仿宋" w:hAnsi="仿宋" w:eastAsia="仿宋" w:cs="仿宋"/>
          <w:sz w:val="32"/>
          <w:szCs w:val="32"/>
        </w:rPr>
        <w:t>起租口径）占可供出租面积比率；</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（五）年度加权平均出租率，是指报告期内各年度有效租约面积占可供出租面积的加权平均比率；</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（六）年末</w:t>
      </w:r>
      <w:r>
        <w:rPr>
          <w:rFonts w:hint="eastAsia" w:ascii="仿宋" w:hAnsi="仿宋" w:eastAsia="仿宋" w:cs="仿宋"/>
          <w:sz w:val="32"/>
          <w:szCs w:val="32"/>
        </w:rPr>
        <w:t>/</w:t>
      </w:r>
      <w:r>
        <w:rPr>
          <w:rFonts w:ascii="仿宋" w:hAnsi="仿宋" w:eastAsia="仿宋" w:cs="仿宋"/>
          <w:sz w:val="32"/>
          <w:szCs w:val="32"/>
        </w:rPr>
        <w:t>期末有效租金单价，是指报告期内各年末</w:t>
      </w:r>
      <w:r>
        <w:rPr>
          <w:rFonts w:hint="eastAsia" w:ascii="仿宋" w:hAnsi="仿宋" w:eastAsia="仿宋" w:cs="仿宋"/>
          <w:sz w:val="32"/>
          <w:szCs w:val="32"/>
        </w:rPr>
        <w:t>/各</w:t>
      </w:r>
      <w:r>
        <w:rPr>
          <w:rFonts w:ascii="仿宋" w:hAnsi="仿宋" w:eastAsia="仿宋" w:cs="仿宋"/>
          <w:sz w:val="32"/>
          <w:szCs w:val="32"/>
        </w:rPr>
        <w:t>期末摊销了租约折扣、优惠因素的每单位面积、每单位租期的租金金额；</w:t>
      </w:r>
    </w:p>
    <w:p>
      <w:pPr>
        <w:adjustRightInd w:val="0"/>
        <w:snapToGrid w:val="0"/>
        <w:spacing w:beforeLines="0" w:afterLines="0" w:line="560" w:lineRule="exact"/>
        <w:ind w:firstLine="640" w:firstLineChars="200"/>
        <w:rPr>
          <w:rFonts w:ascii="仿宋" w:hAnsi="仿宋" w:eastAsia="仿宋" w:cs="仿宋"/>
          <w:sz w:val="32"/>
          <w:szCs w:val="32"/>
        </w:rPr>
      </w:pPr>
      <w:r>
        <w:rPr>
          <w:rFonts w:ascii="仿宋" w:hAnsi="仿宋" w:eastAsia="仿宋" w:cs="仿宋"/>
          <w:sz w:val="32"/>
          <w:szCs w:val="32"/>
        </w:rPr>
        <w:t>（七）加权平均剩余租期，是指∑（租约剩余天数×租赁面积）/不动产</w:t>
      </w:r>
      <w:r>
        <w:rPr>
          <w:rFonts w:hint="eastAsia" w:ascii="仿宋" w:hAnsi="仿宋" w:eastAsia="仿宋" w:cs="仿宋"/>
          <w:sz w:val="32"/>
          <w:szCs w:val="32"/>
        </w:rPr>
        <w:t>项目</w:t>
      </w:r>
      <w:r>
        <w:rPr>
          <w:rFonts w:ascii="仿宋" w:hAnsi="仿宋" w:eastAsia="仿宋" w:cs="仿宋"/>
          <w:sz w:val="32"/>
          <w:szCs w:val="32"/>
        </w:rPr>
        <w:t>已租赁面积，或者∑（租约剩余天数×租约当前租金）/不动产</w:t>
      </w:r>
      <w:r>
        <w:rPr>
          <w:rFonts w:hint="eastAsia" w:ascii="仿宋" w:hAnsi="仿宋" w:eastAsia="仿宋" w:cs="仿宋"/>
          <w:sz w:val="32"/>
          <w:szCs w:val="32"/>
        </w:rPr>
        <w:t>项目</w:t>
      </w:r>
      <w:r>
        <w:rPr>
          <w:rFonts w:ascii="仿宋" w:hAnsi="仿宋" w:eastAsia="仿宋" w:cs="仿宋"/>
          <w:sz w:val="32"/>
          <w:szCs w:val="32"/>
        </w:rPr>
        <w:t>租金总收入。</w:t>
      </w:r>
    </w:p>
    <w:p>
      <w:pPr>
        <w:adjustRightInd w:val="0"/>
        <w:snapToGrid w:val="0"/>
        <w:spacing w:beforeLines="0" w:afterLines="0" w:line="560" w:lineRule="exact"/>
        <w:ind w:firstLine="640" w:firstLineChars="200"/>
        <w:outlineLvl w:val="9"/>
        <w:rPr>
          <w:rFonts w:ascii="仿宋" w:hAnsi="仿宋" w:eastAsia="仿宋" w:cs="仿宋"/>
          <w:sz w:val="32"/>
          <w:szCs w:val="32"/>
        </w:rPr>
      </w:pPr>
      <w:bookmarkStart w:id="179" w:name="_Toc18978"/>
      <w:bookmarkStart w:id="180" w:name="_Toc202878508"/>
      <w:bookmarkStart w:id="181" w:name="_Toc1251"/>
      <w:r>
        <w:rPr>
          <w:rFonts w:ascii="仿宋" w:hAnsi="仿宋" w:eastAsia="仿宋" w:cs="仿宋"/>
          <w:sz w:val="32"/>
          <w:szCs w:val="32"/>
        </w:rPr>
        <w:t>3.2本指南由本所负责解释。</w:t>
      </w:r>
      <w:bookmarkEnd w:id="179"/>
      <w:bookmarkEnd w:id="180"/>
      <w:bookmarkEnd w:id="181"/>
    </w:p>
    <w:p>
      <w:pPr>
        <w:adjustRightInd w:val="0"/>
        <w:snapToGrid w:val="0"/>
        <w:spacing w:beforeLines="0" w:afterLines="0" w:line="560" w:lineRule="exact"/>
        <w:ind w:firstLine="640" w:firstLineChars="200"/>
        <w:outlineLvl w:val="9"/>
        <w:rPr>
          <w:rFonts w:ascii="仿宋" w:hAnsi="仿宋" w:eastAsia="仿宋" w:cs="仿宋"/>
          <w:sz w:val="32"/>
          <w:szCs w:val="32"/>
        </w:rPr>
      </w:pPr>
      <w:bookmarkStart w:id="182" w:name="_Toc5009"/>
      <w:r>
        <w:rPr>
          <w:rFonts w:ascii="仿宋" w:hAnsi="仿宋" w:eastAsia="仿宋" w:cs="仿宋"/>
          <w:sz w:val="32"/>
          <w:szCs w:val="32"/>
        </w:rPr>
        <w:t>3.3本指南自发布之日起施行。</w:t>
      </w:r>
      <w:bookmarkEnd w:id="182"/>
    </w:p>
    <w:p>
      <w:pPr>
        <w:widowControl/>
        <w:adjustRightInd w:val="0"/>
        <w:snapToGrid w:val="0"/>
        <w:spacing w:beforeLines="0" w:afterLines="0" w:line="560" w:lineRule="exact"/>
        <w:ind w:left="641" w:firstLine="640"/>
        <w:jc w:val="left"/>
        <w:rPr>
          <w:rFonts w:ascii="仿宋" w:hAnsi="仿宋" w:eastAsia="仿宋" w:cs="仿宋"/>
          <w:sz w:val="32"/>
          <w:szCs w:val="32"/>
        </w:rPr>
      </w:pPr>
      <w:r>
        <w:rPr>
          <w:rFonts w:ascii="仿宋" w:hAnsi="仿宋" w:eastAsia="仿宋" w:cs="仿宋"/>
          <w:sz w:val="32"/>
          <w:szCs w:val="32"/>
        </w:rPr>
        <w:br w:type="page"/>
      </w:r>
    </w:p>
    <w:p>
      <w:pPr>
        <w:pStyle w:val="64"/>
        <w:adjustRightInd w:val="0"/>
        <w:snapToGrid w:val="0"/>
        <w:spacing w:beforeLines="0" w:afterLines="0" w:line="560" w:lineRule="exact"/>
        <w:ind w:firstLine="0" w:firstLineChars="0"/>
        <w:jc w:val="left"/>
        <w:outlineLvl w:val="0"/>
        <w:rPr>
          <w:rFonts w:hint="eastAsia" w:ascii="黑体" w:hAnsi="黑体" w:eastAsia="黑体" w:cs="黑体"/>
          <w:b w:val="0"/>
          <w:bCs/>
          <w:sz w:val="32"/>
          <w:szCs w:val="32"/>
        </w:rPr>
      </w:pPr>
      <w:bookmarkStart w:id="183" w:name="_Toc707"/>
      <w:bookmarkStart w:id="184" w:name="_Toc31717"/>
      <w:bookmarkStart w:id="185" w:name="_Toc5305"/>
      <w:bookmarkStart w:id="186" w:name="_Toc6802"/>
      <w:bookmarkStart w:id="187" w:name="_Toc29488"/>
      <w:bookmarkStart w:id="188" w:name="_Toc203479472"/>
      <w:r>
        <w:rPr>
          <w:rFonts w:hint="eastAsia" w:ascii="黑体" w:hAnsi="黑体" w:eastAsia="黑体" w:cs="黑体"/>
          <w:b w:val="0"/>
          <w:bCs/>
          <w:sz w:val="32"/>
          <w:szCs w:val="32"/>
        </w:rPr>
        <w:t>附件1</w:t>
      </w:r>
      <w:bookmarkEnd w:id="183"/>
      <w:bookmarkEnd w:id="184"/>
      <w:bookmarkEnd w:id="185"/>
      <w:bookmarkEnd w:id="186"/>
      <w:bookmarkEnd w:id="187"/>
    </w:p>
    <w:p>
      <w:pPr>
        <w:pStyle w:val="64"/>
        <w:adjustRightInd w:val="0"/>
        <w:snapToGrid w:val="0"/>
        <w:spacing w:beforeLines="0" w:afterLines="0" w:line="560" w:lineRule="exact"/>
        <w:ind w:firstLine="0" w:firstLineChars="0"/>
        <w:jc w:val="left"/>
        <w:outlineLvl w:val="9"/>
        <w:rPr>
          <w:rFonts w:ascii="楷体" w:hAnsi="楷体" w:eastAsia="楷体" w:cs="仿宋"/>
          <w:b/>
          <w:sz w:val="32"/>
          <w:szCs w:val="32"/>
        </w:rPr>
      </w:pPr>
    </w:p>
    <w:p>
      <w:pPr>
        <w:pStyle w:val="64"/>
        <w:adjustRightInd w:val="0"/>
        <w:snapToGrid w:val="0"/>
        <w:spacing w:beforeLines="0" w:afterLines="0" w:line="560" w:lineRule="exact"/>
        <w:ind w:firstLine="0" w:firstLineChars="0"/>
        <w:jc w:val="center"/>
        <w:outlineLvl w:val="1"/>
        <w:rPr>
          <w:rFonts w:ascii="楷体" w:hAnsi="楷体" w:eastAsia="楷体" w:cs="仿宋"/>
          <w:b/>
          <w:sz w:val="32"/>
          <w:szCs w:val="32"/>
        </w:rPr>
      </w:pPr>
      <w:bookmarkStart w:id="189" w:name="_Toc20953"/>
      <w:bookmarkStart w:id="190" w:name="_Toc30172"/>
      <w:bookmarkStart w:id="191" w:name="_Toc30655"/>
      <w:bookmarkStart w:id="192" w:name="_Toc29597"/>
      <w:bookmarkStart w:id="193" w:name="_Toc24743"/>
      <w:r>
        <w:rPr>
          <w:rFonts w:hint="eastAsia" w:ascii="方正小标宋简体" w:hAnsi="方正小标宋简体" w:eastAsia="方正小标宋简体" w:cs="方正小标宋简体"/>
          <w:b w:val="0"/>
          <w:bCs/>
          <w:kern w:val="2"/>
          <w:sz w:val="44"/>
          <w:szCs w:val="44"/>
        </w:rPr>
        <w:t>本次发行的简要情况表</w:t>
      </w:r>
      <w:bookmarkEnd w:id="188"/>
      <w:bookmarkEnd w:id="189"/>
      <w:bookmarkEnd w:id="190"/>
      <w:bookmarkEnd w:id="191"/>
      <w:bookmarkEnd w:id="192"/>
      <w:bookmarkEnd w:id="193"/>
    </w:p>
    <w:p>
      <w:pPr>
        <w:adjustRightInd w:val="0"/>
        <w:snapToGrid w:val="0"/>
        <w:spacing w:beforeLines="0" w:afterLines="0" w:line="560" w:lineRule="exact"/>
        <w:ind w:left="641" w:firstLine="640"/>
        <w:rPr>
          <w:rFonts w:hint="eastAsia" w:ascii="仿宋" w:hAnsi="仿宋" w:eastAsia="仿宋" w:cs="仿宋"/>
          <w:sz w:val="32"/>
          <w:szCs w:val="32"/>
        </w:rPr>
      </w:pPr>
    </w:p>
    <w:tbl>
      <w:tblPr>
        <w:tblStyle w:val="26"/>
        <w:tblW w:w="810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3964"/>
        <w:gridCol w:w="414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3964" w:type="dxa"/>
            <w:shd w:val="clear" w:color="auto" w:fill="auto"/>
          </w:tcPr>
          <w:p>
            <w:pPr>
              <w:adjustRightInd w:val="0"/>
              <w:snapToGrid w:val="0"/>
              <w:spacing w:beforeLines="0" w:afterLines="0" w:line="360" w:lineRule="exact"/>
              <w:jc w:val="left"/>
              <w:rPr>
                <w:rFonts w:hint="eastAsia" w:ascii="宋体" w:hAnsi="宋体" w:eastAsia="宋体" w:cs="宋体"/>
                <w:b/>
                <w:kern w:val="0"/>
                <w:sz w:val="21"/>
                <w:szCs w:val="24"/>
              </w:rPr>
            </w:pPr>
            <w:bookmarkStart w:id="194" w:name="_Hlk202878826"/>
            <w:r>
              <w:rPr>
                <w:rFonts w:hint="eastAsia" w:ascii="宋体" w:hAnsi="宋体" w:eastAsia="宋体" w:cs="宋体"/>
                <w:b/>
                <w:kern w:val="0"/>
                <w:sz w:val="21"/>
                <w:szCs w:val="24"/>
              </w:rPr>
              <w:t>基金名称</w:t>
            </w:r>
          </w:p>
        </w:tc>
        <w:tc>
          <w:tcPr>
            <w:tcW w:w="4145" w:type="dxa"/>
            <w:shd w:val="clear" w:color="auto" w:fill="auto"/>
          </w:tcPr>
          <w:p>
            <w:pPr>
              <w:adjustRightInd w:val="0"/>
              <w:snapToGrid w:val="0"/>
              <w:spacing w:beforeLines="0" w:afterLines="0" w:line="360" w:lineRule="exact"/>
              <w:ind w:firstLine="0"/>
              <w:jc w:val="center"/>
              <w:rPr>
                <w:rFonts w:hint="eastAsia" w:ascii="宋体" w:hAnsi="宋体" w:eastAsia="宋体" w:cs="宋体"/>
                <w:b/>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964"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不动产项目名称</w:t>
            </w:r>
          </w:p>
        </w:tc>
        <w:tc>
          <w:tcPr>
            <w:tcW w:w="414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b/>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964"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lang w:eastAsia="zh-CN"/>
              </w:rPr>
              <w:t>（</w:t>
            </w:r>
            <w:r>
              <w:rPr>
                <w:rFonts w:hint="eastAsia" w:ascii="宋体" w:hAnsi="宋体" w:eastAsia="宋体" w:cs="宋体"/>
                <w:b/>
                <w:kern w:val="0"/>
                <w:sz w:val="21"/>
                <w:szCs w:val="24"/>
              </w:rPr>
              <w:t>预计</w:t>
            </w:r>
            <w:r>
              <w:rPr>
                <w:rFonts w:hint="eastAsia" w:ascii="宋体" w:hAnsi="宋体" w:eastAsia="宋体" w:cs="宋体"/>
                <w:b/>
                <w:kern w:val="0"/>
                <w:sz w:val="21"/>
                <w:szCs w:val="24"/>
                <w:lang w:eastAsia="zh-CN"/>
              </w:rPr>
              <w:t>）</w:t>
            </w:r>
            <w:r>
              <w:rPr>
                <w:rFonts w:hint="eastAsia" w:ascii="宋体" w:hAnsi="宋体" w:eastAsia="宋体" w:cs="宋体"/>
                <w:b/>
                <w:kern w:val="0"/>
                <w:sz w:val="21"/>
                <w:szCs w:val="24"/>
              </w:rPr>
              <w:t>募集规模</w:t>
            </w:r>
          </w:p>
        </w:tc>
        <w:tc>
          <w:tcPr>
            <w:tcW w:w="414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b/>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964"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lang w:eastAsia="zh-CN"/>
              </w:rPr>
              <w:t>（</w:t>
            </w:r>
            <w:r>
              <w:rPr>
                <w:rFonts w:hint="eastAsia" w:ascii="宋体" w:hAnsi="宋体" w:eastAsia="宋体" w:cs="宋体"/>
                <w:b/>
                <w:kern w:val="0"/>
                <w:sz w:val="21"/>
                <w:szCs w:val="24"/>
              </w:rPr>
              <w:t>拟</w:t>
            </w:r>
            <w:r>
              <w:rPr>
                <w:rFonts w:hint="eastAsia" w:ascii="宋体" w:hAnsi="宋体" w:eastAsia="宋体" w:cs="宋体"/>
                <w:b/>
                <w:kern w:val="0"/>
                <w:sz w:val="21"/>
                <w:szCs w:val="24"/>
                <w:lang w:eastAsia="zh-CN"/>
              </w:rPr>
              <w:t>）</w:t>
            </w:r>
            <w:r>
              <w:rPr>
                <w:rFonts w:hint="eastAsia" w:ascii="宋体" w:hAnsi="宋体" w:eastAsia="宋体" w:cs="宋体"/>
                <w:b/>
                <w:kern w:val="0"/>
                <w:sz w:val="21"/>
                <w:szCs w:val="24"/>
              </w:rPr>
              <w:t>上市的证券交易所</w:t>
            </w:r>
          </w:p>
        </w:tc>
        <w:tc>
          <w:tcPr>
            <w:tcW w:w="414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b/>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964"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基金管理人</w:t>
            </w:r>
          </w:p>
        </w:tc>
        <w:tc>
          <w:tcPr>
            <w:tcW w:w="414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b/>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964"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lang w:eastAsia="zh-CN"/>
              </w:rPr>
            </w:pPr>
            <w:r>
              <w:rPr>
                <w:rFonts w:hint="eastAsia" w:ascii="宋体" w:hAnsi="宋体" w:eastAsia="宋体" w:cs="宋体"/>
                <w:b/>
                <w:kern w:val="0"/>
                <w:sz w:val="21"/>
                <w:szCs w:val="24"/>
                <w:lang w:eastAsia="zh-CN"/>
              </w:rPr>
              <w:t>基金托管人</w:t>
            </w:r>
          </w:p>
        </w:tc>
        <w:tc>
          <w:tcPr>
            <w:tcW w:w="414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b/>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964"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资产支持证券管理人</w:t>
            </w:r>
          </w:p>
        </w:tc>
        <w:tc>
          <w:tcPr>
            <w:tcW w:w="414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b/>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964"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财务顾问（如有）</w:t>
            </w:r>
          </w:p>
        </w:tc>
        <w:tc>
          <w:tcPr>
            <w:tcW w:w="414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b/>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964"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lang w:eastAsia="zh-CN"/>
              </w:rPr>
            </w:pPr>
            <w:r>
              <w:rPr>
                <w:rFonts w:hint="eastAsia" w:ascii="宋体" w:hAnsi="宋体" w:eastAsia="宋体" w:cs="宋体"/>
                <w:b/>
                <w:kern w:val="0"/>
                <w:sz w:val="21"/>
                <w:szCs w:val="24"/>
                <w:lang w:eastAsia="zh-CN"/>
              </w:rPr>
              <w:t>原始权益人</w:t>
            </w:r>
          </w:p>
        </w:tc>
        <w:tc>
          <w:tcPr>
            <w:tcW w:w="414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b/>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964"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lang w:eastAsia="zh-CN"/>
              </w:rPr>
            </w:pPr>
            <w:r>
              <w:rPr>
                <w:rFonts w:hint="eastAsia" w:ascii="宋体" w:hAnsi="宋体" w:eastAsia="宋体" w:cs="宋体"/>
                <w:b/>
                <w:kern w:val="0"/>
                <w:sz w:val="21"/>
                <w:szCs w:val="24"/>
                <w:lang w:eastAsia="zh-CN"/>
              </w:rPr>
              <w:t>运营管理机构</w:t>
            </w:r>
          </w:p>
        </w:tc>
        <w:tc>
          <w:tcPr>
            <w:tcW w:w="414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b/>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964"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招募说明书签署日期</w:t>
            </w:r>
          </w:p>
        </w:tc>
        <w:tc>
          <w:tcPr>
            <w:tcW w:w="414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b/>
                <w:kern w:val="0"/>
                <w:sz w:val="21"/>
                <w:szCs w:val="24"/>
              </w:rPr>
            </w:pPr>
          </w:p>
        </w:tc>
      </w:tr>
      <w:bookmarkEnd w:id="194"/>
    </w:tbl>
    <w:p>
      <w:pPr>
        <w:widowControl/>
        <w:adjustRightInd w:val="0"/>
        <w:snapToGrid w:val="0"/>
        <w:spacing w:beforeLines="0" w:afterLines="0" w:line="560" w:lineRule="exact"/>
        <w:ind w:left="641"/>
        <w:jc w:val="left"/>
        <w:rPr>
          <w:rFonts w:ascii="仿宋" w:hAnsi="仿宋" w:eastAsia="仿宋" w:cs="仿宋"/>
          <w:sz w:val="32"/>
          <w:szCs w:val="32"/>
        </w:rPr>
      </w:pPr>
      <w:r>
        <w:rPr>
          <w:rFonts w:ascii="仿宋" w:hAnsi="仿宋" w:eastAsia="仿宋" w:cs="仿宋"/>
          <w:sz w:val="32"/>
          <w:szCs w:val="32"/>
        </w:rPr>
        <w:br w:type="page"/>
      </w:r>
    </w:p>
    <w:p>
      <w:pPr>
        <w:pStyle w:val="64"/>
        <w:adjustRightInd w:val="0"/>
        <w:snapToGrid w:val="0"/>
        <w:spacing w:beforeLines="0" w:afterLines="0" w:line="560" w:lineRule="exact"/>
        <w:ind w:firstLine="0" w:firstLineChars="0"/>
        <w:jc w:val="left"/>
        <w:outlineLvl w:val="0"/>
        <w:rPr>
          <w:rFonts w:hint="eastAsia" w:ascii="楷体" w:hAnsi="楷体" w:eastAsia="黑体" w:cs="仿宋"/>
          <w:b w:val="0"/>
          <w:sz w:val="32"/>
          <w:szCs w:val="32"/>
          <w:lang w:eastAsia="zh-CN"/>
        </w:rPr>
      </w:pPr>
      <w:bookmarkStart w:id="195" w:name="_Toc14909"/>
      <w:bookmarkStart w:id="196" w:name="_Toc7716"/>
      <w:bookmarkStart w:id="197" w:name="_Toc26668"/>
      <w:bookmarkStart w:id="198" w:name="_Toc20635"/>
      <w:bookmarkStart w:id="199" w:name="_Toc23853"/>
      <w:bookmarkStart w:id="200" w:name="_Toc203479473"/>
      <w:r>
        <w:rPr>
          <w:rFonts w:hint="eastAsia" w:ascii="楷体" w:hAnsi="楷体" w:eastAsia="黑体" w:cs="仿宋"/>
          <w:b w:val="0"/>
          <w:sz w:val="32"/>
          <w:szCs w:val="32"/>
          <w:lang w:eastAsia="zh-CN"/>
        </w:rPr>
        <w:t>附件2</w:t>
      </w:r>
      <w:bookmarkEnd w:id="195"/>
      <w:bookmarkEnd w:id="196"/>
      <w:bookmarkEnd w:id="197"/>
      <w:bookmarkEnd w:id="198"/>
      <w:bookmarkEnd w:id="199"/>
    </w:p>
    <w:p>
      <w:pPr>
        <w:pStyle w:val="64"/>
        <w:adjustRightInd w:val="0"/>
        <w:snapToGrid w:val="0"/>
        <w:spacing w:beforeLines="0" w:afterLines="0" w:line="560" w:lineRule="exact"/>
        <w:ind w:firstLine="0" w:firstLineChars="0"/>
        <w:jc w:val="left"/>
        <w:outlineLvl w:val="9"/>
        <w:rPr>
          <w:rFonts w:hint="eastAsia" w:ascii="楷体" w:hAnsi="楷体" w:eastAsia="黑体" w:cs="仿宋"/>
          <w:b w:val="0"/>
          <w:sz w:val="32"/>
          <w:szCs w:val="32"/>
          <w:lang w:eastAsia="zh-CN"/>
        </w:rPr>
      </w:pPr>
    </w:p>
    <w:p>
      <w:pPr>
        <w:pStyle w:val="64"/>
        <w:adjustRightInd w:val="0"/>
        <w:snapToGrid w:val="0"/>
        <w:spacing w:beforeLines="0" w:afterLines="0" w:line="560" w:lineRule="exact"/>
        <w:ind w:firstLine="0" w:firstLineChars="0"/>
        <w:jc w:val="center"/>
        <w:outlineLvl w:val="1"/>
        <w:rPr>
          <w:rFonts w:ascii="楷体" w:hAnsi="楷体" w:eastAsia="方正小标宋简体" w:cs="仿宋"/>
          <w:b w:val="0"/>
          <w:sz w:val="44"/>
          <w:szCs w:val="32"/>
        </w:rPr>
      </w:pPr>
      <w:bookmarkStart w:id="201" w:name="_Toc29458"/>
      <w:bookmarkStart w:id="202" w:name="_Toc12387"/>
      <w:bookmarkStart w:id="203" w:name="_Toc153"/>
      <w:bookmarkStart w:id="204" w:name="_Toc4846"/>
      <w:bookmarkStart w:id="205" w:name="_Toc21586"/>
      <w:r>
        <w:rPr>
          <w:rFonts w:ascii="楷体" w:hAnsi="楷体" w:eastAsia="方正小标宋简体" w:cs="仿宋"/>
          <w:b w:val="0"/>
          <w:sz w:val="44"/>
          <w:szCs w:val="32"/>
        </w:rPr>
        <w:t>基金发行概况</w:t>
      </w:r>
      <w:r>
        <w:rPr>
          <w:rFonts w:hint="eastAsia" w:ascii="楷体" w:hAnsi="楷体" w:eastAsia="方正小标宋简体" w:cs="仿宋"/>
          <w:b w:val="0"/>
          <w:sz w:val="44"/>
          <w:szCs w:val="32"/>
        </w:rPr>
        <w:t>以及</w:t>
      </w:r>
      <w:r>
        <w:rPr>
          <w:rFonts w:ascii="楷体" w:hAnsi="楷体" w:eastAsia="方正小标宋简体" w:cs="仿宋"/>
          <w:b w:val="0"/>
          <w:sz w:val="44"/>
          <w:szCs w:val="32"/>
        </w:rPr>
        <w:t>本次发行的中介机构</w:t>
      </w:r>
    </w:p>
    <w:p>
      <w:pPr>
        <w:pStyle w:val="64"/>
        <w:adjustRightInd w:val="0"/>
        <w:snapToGrid w:val="0"/>
        <w:spacing w:beforeLines="0" w:afterLines="0" w:line="560" w:lineRule="exact"/>
        <w:ind w:firstLine="0" w:firstLineChars="0"/>
        <w:jc w:val="center"/>
        <w:outlineLvl w:val="1"/>
        <w:rPr>
          <w:rFonts w:ascii="楷体" w:hAnsi="楷体" w:eastAsia="方正小标宋简体" w:cs="仿宋"/>
          <w:b w:val="0"/>
          <w:sz w:val="44"/>
          <w:szCs w:val="32"/>
        </w:rPr>
      </w:pPr>
      <w:r>
        <w:rPr>
          <w:rFonts w:ascii="楷体" w:hAnsi="楷体" w:eastAsia="方正小标宋简体" w:cs="仿宋"/>
          <w:b w:val="0"/>
          <w:sz w:val="44"/>
          <w:szCs w:val="32"/>
        </w:rPr>
        <w:t>基本情况表</w:t>
      </w:r>
      <w:bookmarkEnd w:id="200"/>
      <w:bookmarkEnd w:id="201"/>
      <w:bookmarkEnd w:id="202"/>
      <w:bookmarkEnd w:id="203"/>
      <w:bookmarkEnd w:id="204"/>
      <w:bookmarkEnd w:id="205"/>
    </w:p>
    <w:p>
      <w:pPr>
        <w:pStyle w:val="2"/>
        <w:adjustRightInd w:val="0"/>
        <w:snapToGrid w:val="0"/>
        <w:spacing w:beforeLines="0" w:afterLines="0" w:line="560" w:lineRule="exact"/>
        <w:ind w:left="641" w:firstLine="640"/>
        <w:rPr>
          <w:rFonts w:hint="eastAsia" w:ascii="仿宋" w:hAnsi="仿宋" w:eastAsia="仿宋" w:cs="仿宋"/>
          <w:sz w:val="32"/>
          <w:szCs w:val="32"/>
        </w:rPr>
      </w:pPr>
    </w:p>
    <w:tbl>
      <w:tblPr>
        <w:tblStyle w:val="26"/>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4743"/>
        <w:gridCol w:w="43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9061" w:type="dxa"/>
            <w:gridSpan w:val="2"/>
            <w:shd w:val="clear" w:color="auto" w:fill="auto"/>
            <w:vAlign w:val="center"/>
          </w:tcPr>
          <w:p>
            <w:pPr>
              <w:widowControl/>
              <w:adjustRightInd w:val="0"/>
              <w:snapToGrid w:val="0"/>
              <w:spacing w:beforeLines="0" w:afterLines="0" w:line="360" w:lineRule="exact"/>
              <w:ind w:firstLine="0"/>
              <w:jc w:val="center"/>
              <w:rPr>
                <w:rFonts w:hint="eastAsia" w:ascii="宋体" w:hAnsi="宋体" w:eastAsia="宋体" w:cs="宋体"/>
                <w:b/>
                <w:kern w:val="0"/>
                <w:sz w:val="21"/>
                <w:szCs w:val="24"/>
              </w:rPr>
            </w:pPr>
            <w:r>
              <w:rPr>
                <w:rFonts w:hint="eastAsia" w:ascii="宋体" w:hAnsi="宋体" w:eastAsia="宋体" w:cs="宋体"/>
                <w:b/>
                <w:kern w:val="0"/>
                <w:sz w:val="21"/>
                <w:szCs w:val="24"/>
              </w:rPr>
              <w:t>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基金名称</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专项计划名称</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不动产项目业态</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基金投资标的</w:t>
            </w:r>
          </w:p>
        </w:tc>
        <w:tc>
          <w:tcPr>
            <w:tcW w:w="4318" w:type="dxa"/>
            <w:shd w:val="clear" w:color="auto" w:fill="auto"/>
            <w:vAlign w:val="center"/>
          </w:tcPr>
          <w:p>
            <w:pPr>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基金存续期限</w:t>
            </w:r>
          </w:p>
        </w:tc>
        <w:tc>
          <w:tcPr>
            <w:tcW w:w="4318" w:type="dxa"/>
            <w:shd w:val="clear" w:color="auto" w:fill="auto"/>
            <w:vAlign w:val="center"/>
          </w:tcPr>
          <w:p>
            <w:pPr>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专项计划期限</w:t>
            </w:r>
          </w:p>
        </w:tc>
        <w:tc>
          <w:tcPr>
            <w:tcW w:w="4318" w:type="dxa"/>
            <w:shd w:val="clear" w:color="auto" w:fill="auto"/>
            <w:vAlign w:val="center"/>
          </w:tcPr>
          <w:p>
            <w:pPr>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bookmarkStart w:id="206" w:name="_Hlk198802004"/>
            <w:r>
              <w:rPr>
                <w:rFonts w:hint="eastAsia" w:ascii="宋体" w:hAnsi="宋体" w:eastAsia="宋体" w:cs="宋体"/>
                <w:b/>
                <w:bCs/>
                <w:kern w:val="0"/>
                <w:sz w:val="21"/>
                <w:szCs w:val="24"/>
              </w:rPr>
              <w:t>预计基金募集份额（亿份）</w:t>
            </w:r>
            <w:bookmarkEnd w:id="206"/>
          </w:p>
        </w:tc>
        <w:tc>
          <w:tcPr>
            <w:tcW w:w="4318" w:type="dxa"/>
            <w:shd w:val="clear" w:color="auto" w:fill="auto"/>
            <w:vAlign w:val="center"/>
          </w:tcPr>
          <w:p>
            <w:pPr>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预计募集规模（亿元）</w:t>
            </w:r>
          </w:p>
        </w:tc>
        <w:tc>
          <w:tcPr>
            <w:tcW w:w="4318" w:type="dxa"/>
            <w:shd w:val="clear" w:color="auto" w:fill="auto"/>
            <w:vAlign w:val="center"/>
          </w:tcPr>
          <w:p>
            <w:pPr>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不动产项目估值（亿元）</w:t>
            </w:r>
          </w:p>
        </w:tc>
        <w:tc>
          <w:tcPr>
            <w:tcW w:w="4318" w:type="dxa"/>
            <w:shd w:val="clear" w:color="auto" w:fill="auto"/>
            <w:vAlign w:val="center"/>
          </w:tcPr>
          <w:p>
            <w:pPr>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净现金流分派率/IRR</w:t>
            </w:r>
          </w:p>
        </w:tc>
        <w:tc>
          <w:tcPr>
            <w:tcW w:w="4318" w:type="dxa"/>
            <w:shd w:val="clear" w:color="auto" w:fill="auto"/>
            <w:vAlign w:val="center"/>
          </w:tcPr>
          <w:p>
            <w:pPr>
              <w:adjustRightInd w:val="0"/>
              <w:snapToGrid w:val="0"/>
              <w:spacing w:beforeLines="0" w:afterLines="0" w:line="360" w:lineRule="exact"/>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基金收益预计分配频率和分配比例</w:t>
            </w:r>
          </w:p>
        </w:tc>
        <w:tc>
          <w:tcPr>
            <w:tcW w:w="4318" w:type="dxa"/>
            <w:shd w:val="clear" w:color="auto" w:fill="auto"/>
            <w:vAlign w:val="center"/>
          </w:tcPr>
          <w:p>
            <w:pPr>
              <w:adjustRightInd w:val="0"/>
              <w:snapToGrid w:val="0"/>
              <w:spacing w:beforeLines="0" w:afterLines="0" w:line="360" w:lineRule="exact"/>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回收资金用途</w:t>
            </w:r>
          </w:p>
        </w:tc>
        <w:tc>
          <w:tcPr>
            <w:tcW w:w="4318" w:type="dxa"/>
            <w:shd w:val="clear" w:color="auto" w:fill="auto"/>
            <w:vAlign w:val="center"/>
          </w:tcPr>
          <w:p>
            <w:pPr>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原始权益人及其同一控制下关联方拟持战配比例</w:t>
            </w:r>
          </w:p>
        </w:tc>
        <w:tc>
          <w:tcPr>
            <w:tcW w:w="4318" w:type="dxa"/>
            <w:shd w:val="clear" w:color="auto" w:fill="auto"/>
            <w:vAlign w:val="center"/>
          </w:tcPr>
          <w:p>
            <w:pPr>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预计是否出表</w:t>
            </w:r>
          </w:p>
        </w:tc>
        <w:tc>
          <w:tcPr>
            <w:tcW w:w="4318" w:type="dxa"/>
            <w:shd w:val="clear" w:color="auto" w:fill="auto"/>
            <w:vAlign w:val="center"/>
          </w:tcPr>
          <w:p>
            <w:pPr>
              <w:adjustRightInd w:val="0"/>
              <w:snapToGrid w:val="0"/>
              <w:spacing w:beforeLines="0" w:afterLines="0" w:line="360" w:lineRule="exact"/>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特殊条款（如有）</w:t>
            </w:r>
          </w:p>
        </w:tc>
        <w:tc>
          <w:tcPr>
            <w:tcW w:w="4318" w:type="dxa"/>
            <w:shd w:val="clear" w:color="auto" w:fill="auto"/>
            <w:vAlign w:val="center"/>
          </w:tcPr>
          <w:p>
            <w:pPr>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9061" w:type="dxa"/>
            <w:gridSpan w:val="2"/>
            <w:shd w:val="clear" w:color="auto" w:fill="auto"/>
            <w:vAlign w:val="center"/>
          </w:tcPr>
          <w:p>
            <w:pPr>
              <w:widowControl/>
              <w:adjustRightInd w:val="0"/>
              <w:snapToGrid w:val="0"/>
              <w:spacing w:beforeLines="0" w:afterLines="0" w:line="360" w:lineRule="exact"/>
              <w:ind w:firstLine="0"/>
              <w:jc w:val="center"/>
              <w:rPr>
                <w:rFonts w:hint="eastAsia" w:ascii="宋体" w:hAnsi="宋体" w:eastAsia="宋体" w:cs="宋体"/>
                <w:b/>
                <w:kern w:val="0"/>
                <w:sz w:val="21"/>
                <w:szCs w:val="24"/>
              </w:rPr>
            </w:pPr>
            <w:r>
              <w:rPr>
                <w:rFonts w:hint="eastAsia" w:ascii="宋体" w:hAnsi="宋体" w:eastAsia="宋体" w:cs="宋体"/>
                <w:b/>
                <w:kern w:val="0"/>
                <w:sz w:val="21"/>
                <w:szCs w:val="24"/>
              </w:rPr>
              <w:t>参与人概况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基金管理人</w:t>
            </w:r>
          </w:p>
        </w:tc>
        <w:tc>
          <w:tcPr>
            <w:tcW w:w="4318" w:type="dxa"/>
            <w:shd w:val="clear" w:color="auto" w:fill="auto"/>
            <w:vAlign w:val="center"/>
          </w:tcPr>
          <w:p>
            <w:pPr>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专项计划管理人</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托管人</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财务顾问（如有）</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原始权益人</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原始权益人企业性质</w:t>
            </w:r>
          </w:p>
        </w:tc>
        <w:tc>
          <w:tcPr>
            <w:tcW w:w="4318"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原始权益人所属行业</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原始权益人注册地</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原始权益人控股股东和持股比例</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原始权益人实控人</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原始权益人上市地点和股票代码（如有）</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运营管理机构</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运营管理机构注册地</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运营管理机构经营地</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重要现金流提供方（如有）</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资产评估机构</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基金法律顾问</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专项计划法律顾问</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审计不动产项目财务情况的会计师事务所</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审阅基金可供分配金额测算报告的会计师事务所</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现金流测算机构</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474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kern w:val="0"/>
                <w:sz w:val="21"/>
                <w:szCs w:val="24"/>
              </w:rPr>
            </w:pPr>
            <w:r>
              <w:rPr>
                <w:rFonts w:hint="eastAsia" w:ascii="宋体" w:hAnsi="宋体" w:eastAsia="宋体" w:cs="宋体"/>
                <w:b/>
                <w:bCs/>
                <w:kern w:val="0"/>
                <w:sz w:val="21"/>
                <w:szCs w:val="24"/>
              </w:rPr>
              <w:t>流动性服务商</w:t>
            </w:r>
          </w:p>
        </w:tc>
        <w:tc>
          <w:tcPr>
            <w:tcW w:w="4318" w:type="dxa"/>
            <w:shd w:val="clear" w:color="auto" w:fill="auto"/>
            <w:vAlign w:val="center"/>
          </w:tcPr>
          <w:p>
            <w:pPr>
              <w:widowControl/>
              <w:adjustRightInd w:val="0"/>
              <w:snapToGrid w:val="0"/>
              <w:spacing w:beforeLines="0" w:afterLines="0" w:line="360" w:lineRule="exact"/>
              <w:ind w:firstLine="0"/>
              <w:jc w:val="left"/>
              <w:rPr>
                <w:rFonts w:hint="eastAsia" w:ascii="宋体" w:hAnsi="宋体" w:eastAsia="宋体" w:cs="宋体"/>
                <w:kern w:val="0"/>
                <w:sz w:val="21"/>
                <w:szCs w:val="24"/>
              </w:rPr>
            </w:pPr>
          </w:p>
        </w:tc>
      </w:tr>
    </w:tbl>
    <w:p>
      <w:pPr>
        <w:widowControl/>
        <w:adjustRightInd w:val="0"/>
        <w:snapToGrid w:val="0"/>
        <w:spacing w:beforeLines="0" w:afterLines="0" w:line="560" w:lineRule="exact"/>
        <w:ind w:left="641"/>
        <w:jc w:val="left"/>
        <w:rPr>
          <w:rFonts w:ascii="仿宋" w:hAnsi="仿宋" w:eastAsia="仿宋" w:cs="仿宋"/>
          <w:sz w:val="32"/>
          <w:szCs w:val="32"/>
        </w:rPr>
      </w:pPr>
      <w:r>
        <w:rPr>
          <w:rFonts w:ascii="仿宋" w:hAnsi="仿宋" w:eastAsia="仿宋" w:cs="仿宋"/>
          <w:sz w:val="32"/>
          <w:szCs w:val="32"/>
        </w:rPr>
        <w:br w:type="page"/>
      </w:r>
    </w:p>
    <w:p>
      <w:pPr>
        <w:pStyle w:val="64"/>
        <w:adjustRightInd w:val="0"/>
        <w:snapToGrid w:val="0"/>
        <w:spacing w:beforeLines="0" w:afterLines="0" w:line="560" w:lineRule="exact"/>
        <w:ind w:firstLine="0" w:firstLineChars="0"/>
        <w:jc w:val="left"/>
        <w:outlineLvl w:val="0"/>
        <w:rPr>
          <w:rFonts w:hint="eastAsia" w:ascii="楷体" w:hAnsi="楷体" w:eastAsia="黑体" w:cs="仿宋"/>
          <w:b w:val="0"/>
          <w:sz w:val="32"/>
          <w:szCs w:val="32"/>
          <w:lang w:eastAsia="zh-CN"/>
        </w:rPr>
      </w:pPr>
      <w:bookmarkStart w:id="207" w:name="_Toc13901"/>
      <w:bookmarkStart w:id="208" w:name="_Toc11269"/>
      <w:bookmarkStart w:id="209" w:name="_Toc4105"/>
      <w:bookmarkStart w:id="210" w:name="_Toc12976"/>
      <w:bookmarkStart w:id="211" w:name="_Toc32032"/>
      <w:bookmarkStart w:id="212" w:name="_Toc203479474"/>
      <w:r>
        <w:rPr>
          <w:rFonts w:hint="eastAsia" w:ascii="楷体" w:hAnsi="楷体" w:eastAsia="黑体" w:cs="仿宋"/>
          <w:b w:val="0"/>
          <w:sz w:val="32"/>
          <w:szCs w:val="32"/>
          <w:lang w:eastAsia="zh-CN"/>
        </w:rPr>
        <w:t>附件3</w:t>
      </w:r>
      <w:bookmarkEnd w:id="207"/>
      <w:bookmarkEnd w:id="208"/>
      <w:bookmarkEnd w:id="209"/>
      <w:bookmarkEnd w:id="210"/>
      <w:bookmarkEnd w:id="211"/>
    </w:p>
    <w:p>
      <w:pPr>
        <w:pStyle w:val="64"/>
        <w:adjustRightInd w:val="0"/>
        <w:snapToGrid w:val="0"/>
        <w:spacing w:beforeLines="0" w:afterLines="0" w:line="560" w:lineRule="exact"/>
        <w:ind w:firstLine="0" w:firstLineChars="0"/>
        <w:jc w:val="left"/>
        <w:outlineLvl w:val="9"/>
        <w:rPr>
          <w:rFonts w:hint="eastAsia" w:ascii="楷体" w:hAnsi="楷体" w:eastAsia="黑体" w:cs="仿宋"/>
          <w:b w:val="0"/>
          <w:sz w:val="32"/>
          <w:szCs w:val="32"/>
          <w:lang w:eastAsia="zh-CN"/>
        </w:rPr>
      </w:pPr>
    </w:p>
    <w:p>
      <w:pPr>
        <w:pStyle w:val="64"/>
        <w:adjustRightInd w:val="0"/>
        <w:snapToGrid w:val="0"/>
        <w:spacing w:beforeLines="0" w:afterLines="0" w:line="560" w:lineRule="exact"/>
        <w:ind w:firstLine="0" w:firstLineChars="0"/>
        <w:jc w:val="center"/>
        <w:outlineLvl w:val="1"/>
        <w:rPr>
          <w:rFonts w:ascii="楷体" w:hAnsi="楷体" w:eastAsia="方正小标宋简体" w:cs="仿宋"/>
          <w:b w:val="0"/>
          <w:sz w:val="44"/>
          <w:szCs w:val="32"/>
        </w:rPr>
      </w:pPr>
      <w:bookmarkStart w:id="213" w:name="_Toc14043"/>
      <w:bookmarkStart w:id="214" w:name="_Toc20805"/>
      <w:bookmarkStart w:id="215" w:name="_Toc4607"/>
      <w:bookmarkStart w:id="216" w:name="_Toc910"/>
      <w:bookmarkStart w:id="217" w:name="_Toc23055"/>
      <w:r>
        <w:rPr>
          <w:rFonts w:ascii="楷体" w:hAnsi="楷体" w:eastAsia="方正小标宋简体" w:cs="仿宋"/>
          <w:b w:val="0"/>
          <w:sz w:val="44"/>
          <w:szCs w:val="32"/>
        </w:rPr>
        <w:t>不动产项目概况表</w:t>
      </w:r>
      <w:bookmarkEnd w:id="212"/>
      <w:bookmarkEnd w:id="213"/>
      <w:bookmarkEnd w:id="214"/>
      <w:bookmarkEnd w:id="215"/>
      <w:bookmarkEnd w:id="216"/>
      <w:bookmarkEnd w:id="217"/>
    </w:p>
    <w:p>
      <w:pPr>
        <w:adjustRightInd w:val="0"/>
        <w:snapToGrid w:val="0"/>
        <w:spacing w:beforeLines="0" w:afterLines="0" w:line="560" w:lineRule="exact"/>
        <w:ind w:left="641" w:firstLine="641"/>
        <w:rPr>
          <w:rFonts w:hint="eastAsia" w:ascii="仿宋" w:hAnsi="仿宋" w:eastAsia="仿宋" w:cs="仿宋"/>
          <w:sz w:val="32"/>
          <w:szCs w:val="32"/>
        </w:rPr>
      </w:pPr>
    </w:p>
    <w:tbl>
      <w:tblPr>
        <w:tblStyle w:val="26"/>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2707"/>
        <w:gridCol w:w="2717"/>
        <w:gridCol w:w="2776"/>
        <w:gridCol w:w="8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jc w:val="center"/>
              <w:rPr>
                <w:rFonts w:hint="eastAsia" w:ascii="宋体" w:hAnsi="宋体" w:eastAsia="宋体" w:cs="宋体"/>
                <w:b/>
                <w:kern w:val="0"/>
                <w:sz w:val="21"/>
                <w:szCs w:val="24"/>
              </w:rPr>
            </w:pPr>
            <w:r>
              <w:rPr>
                <w:rFonts w:hint="eastAsia" w:ascii="宋体" w:hAnsi="宋体" w:eastAsia="宋体" w:cs="宋体"/>
                <w:b/>
                <w:kern w:val="0"/>
                <w:sz w:val="21"/>
                <w:szCs w:val="24"/>
              </w:rPr>
              <w:t>项目</w:t>
            </w:r>
          </w:p>
        </w:tc>
        <w:tc>
          <w:tcPr>
            <w:tcW w:w="2487" w:type="dxa"/>
            <w:shd w:val="clear" w:color="auto" w:fill="auto"/>
            <w:vAlign w:val="center"/>
          </w:tcPr>
          <w:p>
            <w:pPr>
              <w:adjustRightInd w:val="0"/>
              <w:snapToGrid w:val="0"/>
              <w:spacing w:beforeLines="0" w:afterLines="0" w:line="360" w:lineRule="exact"/>
              <w:jc w:val="center"/>
              <w:rPr>
                <w:rFonts w:hint="eastAsia" w:ascii="宋体" w:hAnsi="宋体" w:eastAsia="宋体" w:cs="宋体"/>
                <w:b/>
                <w:kern w:val="0"/>
                <w:sz w:val="21"/>
                <w:szCs w:val="24"/>
              </w:rPr>
            </w:pPr>
            <w:r>
              <w:rPr>
                <w:rFonts w:hint="eastAsia" w:ascii="宋体" w:hAnsi="宋体" w:eastAsia="宋体" w:cs="宋体"/>
                <w:b/>
                <w:kern w:val="0"/>
                <w:sz w:val="21"/>
                <w:szCs w:val="24"/>
              </w:rPr>
              <w:t>项目一</w:t>
            </w:r>
          </w:p>
        </w:tc>
        <w:tc>
          <w:tcPr>
            <w:tcW w:w="2542" w:type="dxa"/>
            <w:shd w:val="clear" w:color="auto" w:fill="auto"/>
            <w:vAlign w:val="center"/>
          </w:tcPr>
          <w:p>
            <w:pPr>
              <w:adjustRightInd w:val="0"/>
              <w:snapToGrid w:val="0"/>
              <w:spacing w:beforeLines="0" w:afterLines="0" w:line="360" w:lineRule="exact"/>
              <w:jc w:val="center"/>
              <w:rPr>
                <w:rFonts w:hint="eastAsia" w:ascii="宋体" w:hAnsi="宋体" w:eastAsia="宋体" w:cs="宋体"/>
                <w:b/>
                <w:kern w:val="0"/>
                <w:sz w:val="21"/>
                <w:szCs w:val="24"/>
              </w:rPr>
            </w:pPr>
            <w:r>
              <w:rPr>
                <w:rFonts w:hint="eastAsia" w:ascii="宋体" w:hAnsi="宋体" w:eastAsia="宋体" w:cs="宋体"/>
                <w:b/>
                <w:kern w:val="0"/>
                <w:sz w:val="21"/>
                <w:szCs w:val="24"/>
              </w:rPr>
              <w:t>项目二</w:t>
            </w:r>
          </w:p>
        </w:tc>
        <w:tc>
          <w:tcPr>
            <w:tcW w:w="789" w:type="dxa"/>
            <w:shd w:val="clear" w:color="auto" w:fill="auto"/>
            <w:vAlign w:val="center"/>
          </w:tcPr>
          <w:p>
            <w:pPr>
              <w:adjustRightInd w:val="0"/>
              <w:snapToGrid w:val="0"/>
              <w:spacing w:beforeLines="0" w:afterLines="0" w:line="360" w:lineRule="exact"/>
              <w:jc w:val="center"/>
              <w:rPr>
                <w:rFonts w:hint="eastAsia" w:ascii="宋体" w:hAnsi="宋体" w:eastAsia="宋体" w:cs="宋体"/>
                <w:b/>
                <w:kern w:val="0"/>
                <w:sz w:val="21"/>
                <w:szCs w:val="24"/>
              </w:rPr>
            </w:pPr>
            <w:r>
              <w:rPr>
                <w:rFonts w:hint="eastAsia" w:ascii="宋体" w:hAnsi="宋体" w:eastAsia="宋体" w:cs="宋体"/>
                <w:b/>
                <w:kern w:val="0"/>
                <w:sz w:val="21"/>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不动产项目名称</w:t>
            </w:r>
          </w:p>
        </w:tc>
        <w:tc>
          <w:tcPr>
            <w:tcW w:w="2487"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r>
              <w:rPr>
                <w:rFonts w:hint="eastAsia" w:ascii="宋体" w:hAnsi="宋体" w:eastAsia="宋体" w:cs="宋体"/>
                <w:kern w:val="0"/>
                <w:sz w:val="21"/>
                <w:szCs w:val="24"/>
              </w:rPr>
              <w:t>XX高速公路XX段</w:t>
            </w:r>
          </w:p>
        </w:tc>
        <w:tc>
          <w:tcPr>
            <w:tcW w:w="2542"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r>
              <w:rPr>
                <w:rFonts w:hint="eastAsia" w:ascii="宋体" w:hAnsi="宋体" w:eastAsia="宋体" w:cs="宋体"/>
                <w:kern w:val="0"/>
                <w:sz w:val="21"/>
                <w:szCs w:val="24"/>
              </w:rPr>
              <w:t>XX产业园</w:t>
            </w:r>
          </w:p>
        </w:tc>
        <w:tc>
          <w:tcPr>
            <w:tcW w:w="789"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不动产项目业态</w:t>
            </w:r>
          </w:p>
        </w:tc>
        <w:tc>
          <w:tcPr>
            <w:tcW w:w="2487"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r>
              <w:rPr>
                <w:rFonts w:hint="eastAsia" w:ascii="宋体" w:hAnsi="宋体" w:eastAsia="宋体" w:cs="宋体"/>
                <w:kern w:val="0"/>
                <w:sz w:val="21"/>
                <w:szCs w:val="24"/>
              </w:rPr>
              <w:t>高速公路</w:t>
            </w:r>
          </w:p>
        </w:tc>
        <w:tc>
          <w:tcPr>
            <w:tcW w:w="2542"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r>
              <w:rPr>
                <w:rFonts w:hint="eastAsia" w:ascii="宋体" w:hAnsi="宋体" w:eastAsia="宋体" w:cs="宋体"/>
                <w:kern w:val="0"/>
                <w:sz w:val="21"/>
                <w:szCs w:val="24"/>
              </w:rPr>
              <w:t>产业园</w:t>
            </w:r>
          </w:p>
        </w:tc>
        <w:tc>
          <w:tcPr>
            <w:tcW w:w="789"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项目所在地</w:t>
            </w:r>
          </w:p>
        </w:tc>
        <w:tc>
          <w:tcPr>
            <w:tcW w:w="2487"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2542"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789"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资产范围</w:t>
            </w:r>
          </w:p>
        </w:tc>
        <w:tc>
          <w:tcPr>
            <w:tcW w:w="2487"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2542"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789"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建设内容和规模</w:t>
            </w:r>
          </w:p>
        </w:tc>
        <w:tc>
          <w:tcPr>
            <w:tcW w:w="2487"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2542"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789"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建筑面积和可供出租或者经营使用面积（如有）</w:t>
            </w:r>
          </w:p>
        </w:tc>
        <w:tc>
          <w:tcPr>
            <w:tcW w:w="2487"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2542"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789"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开竣工时间以及投入运营时间</w:t>
            </w:r>
          </w:p>
        </w:tc>
        <w:tc>
          <w:tcPr>
            <w:tcW w:w="2487"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2542"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789"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使用期限</w:t>
            </w:r>
          </w:p>
        </w:tc>
        <w:tc>
          <w:tcPr>
            <w:tcW w:w="2487"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2542"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789"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剩余年限</w:t>
            </w:r>
          </w:p>
        </w:tc>
        <w:tc>
          <w:tcPr>
            <w:tcW w:w="2487"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2542"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789"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用地性质</w:t>
            </w:r>
          </w:p>
        </w:tc>
        <w:tc>
          <w:tcPr>
            <w:tcW w:w="2487"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2542"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789"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可供分配金额测算</w:t>
            </w:r>
          </w:p>
        </w:tc>
        <w:tc>
          <w:tcPr>
            <w:tcW w:w="2487"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2542"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789"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投保情况（投保险种投保金额、投保期限）</w:t>
            </w:r>
          </w:p>
        </w:tc>
        <w:tc>
          <w:tcPr>
            <w:tcW w:w="2487"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2542"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789"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项目权属</w:t>
            </w:r>
          </w:p>
        </w:tc>
        <w:tc>
          <w:tcPr>
            <w:tcW w:w="2487"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2542"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789"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478"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他项权利（如有）</w:t>
            </w:r>
          </w:p>
        </w:tc>
        <w:tc>
          <w:tcPr>
            <w:tcW w:w="2487"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2542"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c>
          <w:tcPr>
            <w:tcW w:w="789" w:type="dxa"/>
            <w:shd w:val="clear" w:color="auto" w:fill="auto"/>
            <w:vAlign w:val="center"/>
          </w:tcPr>
          <w:p>
            <w:pPr>
              <w:adjustRightInd w:val="0"/>
              <w:snapToGrid w:val="0"/>
              <w:spacing w:beforeLines="0" w:afterLines="0" w:line="360" w:lineRule="exact"/>
              <w:rPr>
                <w:rFonts w:hint="eastAsia" w:ascii="宋体" w:hAnsi="宋体" w:eastAsia="宋体" w:cs="宋体"/>
                <w:kern w:val="0"/>
                <w:sz w:val="21"/>
                <w:szCs w:val="24"/>
              </w:rPr>
            </w:pPr>
          </w:p>
        </w:tc>
      </w:tr>
    </w:tbl>
    <w:p>
      <w:pPr>
        <w:widowControl/>
        <w:adjustRightInd w:val="0"/>
        <w:snapToGrid w:val="0"/>
        <w:spacing w:beforeLines="0" w:afterLines="0" w:line="560" w:lineRule="exact"/>
        <w:ind w:left="641"/>
        <w:jc w:val="left"/>
        <w:rPr>
          <w:rFonts w:ascii="仿宋" w:hAnsi="仿宋" w:eastAsia="仿宋" w:cs="仿宋"/>
          <w:sz w:val="32"/>
          <w:szCs w:val="32"/>
        </w:rPr>
      </w:pPr>
    </w:p>
    <w:p>
      <w:pPr>
        <w:widowControl/>
        <w:adjustRightInd w:val="0"/>
        <w:snapToGrid w:val="0"/>
        <w:spacing w:beforeLines="0" w:afterLines="0" w:line="560" w:lineRule="exact"/>
        <w:ind w:left="641"/>
        <w:jc w:val="left"/>
        <w:rPr>
          <w:rFonts w:ascii="仿宋" w:hAnsi="仿宋" w:eastAsia="仿宋" w:cs="仿宋"/>
          <w:sz w:val="32"/>
          <w:szCs w:val="32"/>
        </w:rPr>
      </w:pPr>
      <w:r>
        <w:rPr>
          <w:rFonts w:ascii="仿宋" w:hAnsi="仿宋" w:eastAsia="仿宋" w:cs="仿宋"/>
          <w:sz w:val="32"/>
          <w:szCs w:val="32"/>
        </w:rPr>
        <w:br w:type="page"/>
      </w:r>
    </w:p>
    <w:p>
      <w:pPr>
        <w:pStyle w:val="64"/>
        <w:adjustRightInd w:val="0"/>
        <w:snapToGrid w:val="0"/>
        <w:spacing w:beforeLines="0" w:afterLines="0" w:line="560" w:lineRule="exact"/>
        <w:ind w:firstLine="0" w:firstLineChars="0"/>
        <w:jc w:val="left"/>
        <w:outlineLvl w:val="0"/>
        <w:rPr>
          <w:rFonts w:hint="eastAsia" w:ascii="楷体" w:hAnsi="楷体" w:eastAsia="黑体" w:cs="仿宋"/>
          <w:b w:val="0"/>
          <w:sz w:val="32"/>
          <w:szCs w:val="32"/>
          <w:lang w:eastAsia="zh-CN"/>
        </w:rPr>
      </w:pPr>
      <w:bookmarkStart w:id="218" w:name="_Toc8745"/>
      <w:bookmarkStart w:id="219" w:name="_Toc17046"/>
      <w:bookmarkStart w:id="220" w:name="_Toc12462"/>
      <w:bookmarkStart w:id="221" w:name="_Toc28990"/>
      <w:bookmarkStart w:id="222" w:name="_Toc14222"/>
      <w:bookmarkStart w:id="223" w:name="_Toc203479475"/>
      <w:r>
        <w:rPr>
          <w:rFonts w:hint="eastAsia" w:ascii="楷体" w:hAnsi="楷体" w:eastAsia="黑体" w:cs="仿宋"/>
          <w:b w:val="0"/>
          <w:sz w:val="32"/>
          <w:szCs w:val="32"/>
          <w:lang w:eastAsia="zh-CN"/>
        </w:rPr>
        <w:t>附件4</w:t>
      </w:r>
      <w:bookmarkEnd w:id="218"/>
      <w:bookmarkEnd w:id="219"/>
      <w:bookmarkEnd w:id="220"/>
      <w:bookmarkEnd w:id="221"/>
      <w:bookmarkEnd w:id="222"/>
    </w:p>
    <w:p>
      <w:pPr>
        <w:pStyle w:val="64"/>
        <w:adjustRightInd w:val="0"/>
        <w:snapToGrid w:val="0"/>
        <w:spacing w:beforeLines="0" w:afterLines="0" w:line="560" w:lineRule="exact"/>
        <w:ind w:firstLine="0" w:firstLineChars="0"/>
        <w:jc w:val="left"/>
        <w:outlineLvl w:val="9"/>
        <w:rPr>
          <w:rFonts w:ascii="楷体" w:hAnsi="楷体" w:eastAsia="黑体" w:cs="仿宋"/>
          <w:b w:val="0"/>
          <w:sz w:val="32"/>
          <w:szCs w:val="32"/>
        </w:rPr>
      </w:pPr>
    </w:p>
    <w:p>
      <w:pPr>
        <w:pStyle w:val="64"/>
        <w:adjustRightInd w:val="0"/>
        <w:snapToGrid w:val="0"/>
        <w:spacing w:beforeLines="0" w:afterLines="0" w:line="560" w:lineRule="exact"/>
        <w:ind w:firstLine="0" w:firstLineChars="0"/>
        <w:jc w:val="center"/>
        <w:outlineLvl w:val="1"/>
        <w:rPr>
          <w:rFonts w:ascii="楷体" w:hAnsi="楷体" w:eastAsia="方正小标宋简体" w:cs="仿宋"/>
          <w:b w:val="0"/>
          <w:sz w:val="44"/>
          <w:szCs w:val="32"/>
        </w:rPr>
      </w:pPr>
      <w:bookmarkStart w:id="224" w:name="_Toc21831"/>
      <w:bookmarkStart w:id="225" w:name="_Toc23051"/>
      <w:bookmarkStart w:id="226" w:name="_Toc32148"/>
      <w:bookmarkStart w:id="227" w:name="_Toc24370"/>
      <w:bookmarkStart w:id="228" w:name="_Toc2048"/>
      <w:r>
        <w:rPr>
          <w:rFonts w:ascii="楷体" w:hAnsi="楷体" w:eastAsia="方正小标宋简体" w:cs="仿宋"/>
          <w:b w:val="0"/>
          <w:sz w:val="44"/>
          <w:szCs w:val="32"/>
        </w:rPr>
        <w:t>不动产项目主要财务经营情况表</w:t>
      </w:r>
      <w:bookmarkEnd w:id="223"/>
      <w:bookmarkEnd w:id="224"/>
      <w:bookmarkEnd w:id="225"/>
      <w:bookmarkEnd w:id="226"/>
      <w:bookmarkEnd w:id="227"/>
      <w:bookmarkEnd w:id="228"/>
    </w:p>
    <w:p>
      <w:pPr>
        <w:tabs>
          <w:tab w:val="left" w:pos="3327"/>
        </w:tabs>
        <w:topLinePunct/>
        <w:adjustRightInd w:val="0"/>
        <w:snapToGrid w:val="0"/>
        <w:spacing w:beforeLines="0" w:afterLines="0" w:line="560" w:lineRule="exact"/>
        <w:ind w:left="641"/>
        <w:rPr>
          <w:rFonts w:ascii="仿宋" w:hAnsi="仿宋" w:eastAsia="仿宋" w:cs="仿宋"/>
          <w:sz w:val="32"/>
          <w:szCs w:val="32"/>
        </w:rPr>
      </w:pPr>
    </w:p>
    <w:p>
      <w:pPr>
        <w:tabs>
          <w:tab w:val="left" w:pos="3327"/>
        </w:tabs>
        <w:topLinePunct/>
        <w:adjustRightInd w:val="0"/>
        <w:snapToGrid w:val="0"/>
        <w:spacing w:beforeLines="0" w:afterLines="0" w:line="560" w:lineRule="exact"/>
        <w:ind w:left="641"/>
        <w:rPr>
          <w:rFonts w:hint="eastAsia" w:ascii="仿宋" w:hAnsi="仿宋" w:eastAsia="仿宋" w:cs="仿宋"/>
          <w:sz w:val="32"/>
          <w:szCs w:val="32"/>
        </w:rPr>
      </w:pPr>
      <w:r>
        <w:rPr>
          <w:rFonts w:ascii="仿宋" w:hAnsi="仿宋" w:eastAsia="仿宋" w:cs="仿宋"/>
          <w:sz w:val="32"/>
          <w:szCs w:val="32"/>
        </w:rPr>
        <w:t>1.报告期不动产项目主要财务指标</w:t>
      </w:r>
    </w:p>
    <w:tbl>
      <w:tblPr>
        <w:tblStyle w:val="26"/>
        <w:tblW w:w="546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3409"/>
        <w:gridCol w:w="1539"/>
        <w:gridCol w:w="1549"/>
        <w:gridCol w:w="1864"/>
        <w:gridCol w:w="15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3121" w:type="dxa"/>
            <w:shd w:val="clear" w:color="auto" w:fill="auto"/>
            <w:vAlign w:val="center"/>
          </w:tcPr>
          <w:p>
            <w:pPr>
              <w:adjustRightInd w:val="0"/>
              <w:snapToGrid w:val="0"/>
              <w:spacing w:beforeLines="0" w:afterLines="0" w:line="360" w:lineRule="exact"/>
              <w:jc w:val="center"/>
              <w:rPr>
                <w:rFonts w:hint="eastAsia" w:ascii="宋体" w:hAnsi="宋体" w:eastAsia="宋体" w:cs="宋体"/>
                <w:b/>
                <w:kern w:val="0"/>
                <w:sz w:val="21"/>
                <w:szCs w:val="24"/>
              </w:rPr>
            </w:pPr>
            <w:r>
              <w:rPr>
                <w:rFonts w:hint="eastAsia" w:ascii="宋体" w:hAnsi="宋体" w:eastAsia="宋体" w:cs="宋体"/>
                <w:b/>
                <w:kern w:val="0"/>
                <w:sz w:val="21"/>
                <w:szCs w:val="24"/>
              </w:rPr>
              <w:t>项目财务指标</w:t>
            </w:r>
          </w:p>
        </w:tc>
        <w:tc>
          <w:tcPr>
            <w:tcW w:w="1410" w:type="dxa"/>
            <w:shd w:val="clear" w:color="auto" w:fill="auto"/>
            <w:vAlign w:val="center"/>
          </w:tcPr>
          <w:p>
            <w:pPr>
              <w:adjustRightInd w:val="0"/>
              <w:snapToGrid w:val="0"/>
              <w:spacing w:beforeLines="0" w:afterLines="0" w:line="360" w:lineRule="exact"/>
              <w:jc w:val="center"/>
              <w:rPr>
                <w:rFonts w:hint="eastAsia" w:ascii="宋体" w:hAnsi="宋体" w:eastAsia="宋体" w:cs="宋体"/>
                <w:b/>
                <w:kern w:val="0"/>
                <w:sz w:val="21"/>
                <w:szCs w:val="24"/>
              </w:rPr>
            </w:pPr>
            <w:r>
              <w:rPr>
                <w:rFonts w:hint="eastAsia" w:ascii="宋体" w:hAnsi="宋体" w:eastAsia="宋体" w:cs="宋体"/>
                <w:b/>
                <w:color w:val="000000"/>
                <w:kern w:val="0"/>
                <w:sz w:val="21"/>
                <w:szCs w:val="24"/>
              </w:rPr>
              <w:t>最近一期</w:t>
            </w:r>
          </w:p>
        </w:tc>
        <w:tc>
          <w:tcPr>
            <w:tcW w:w="1418" w:type="dxa"/>
            <w:shd w:val="clear" w:color="auto" w:fill="auto"/>
            <w:vAlign w:val="center"/>
          </w:tcPr>
          <w:p>
            <w:pPr>
              <w:adjustRightInd w:val="0"/>
              <w:snapToGrid w:val="0"/>
              <w:spacing w:beforeLines="0" w:afterLines="0" w:line="360" w:lineRule="exact"/>
              <w:jc w:val="center"/>
              <w:rPr>
                <w:rFonts w:hint="eastAsia" w:ascii="宋体" w:hAnsi="宋体" w:eastAsia="宋体" w:cs="宋体"/>
                <w:b/>
                <w:kern w:val="0"/>
                <w:sz w:val="21"/>
                <w:szCs w:val="24"/>
              </w:rPr>
            </w:pPr>
            <w:r>
              <w:rPr>
                <w:rFonts w:hint="eastAsia" w:ascii="宋体" w:hAnsi="宋体" w:eastAsia="宋体" w:cs="宋体"/>
                <w:b/>
                <w:color w:val="000000"/>
                <w:kern w:val="0"/>
                <w:sz w:val="21"/>
                <w:szCs w:val="24"/>
              </w:rPr>
              <w:t>年末/度</w:t>
            </w:r>
          </w:p>
        </w:tc>
        <w:tc>
          <w:tcPr>
            <w:tcW w:w="1707" w:type="dxa"/>
            <w:shd w:val="clear" w:color="auto" w:fill="auto"/>
            <w:vAlign w:val="center"/>
          </w:tcPr>
          <w:p>
            <w:pPr>
              <w:adjustRightInd w:val="0"/>
              <w:snapToGrid w:val="0"/>
              <w:spacing w:beforeLines="0" w:afterLines="0" w:line="360" w:lineRule="exact"/>
              <w:jc w:val="center"/>
              <w:rPr>
                <w:rFonts w:hint="eastAsia" w:ascii="宋体" w:hAnsi="宋体" w:eastAsia="宋体" w:cs="宋体"/>
                <w:b/>
                <w:kern w:val="0"/>
                <w:sz w:val="21"/>
                <w:szCs w:val="24"/>
              </w:rPr>
            </w:pPr>
            <w:r>
              <w:rPr>
                <w:rFonts w:hint="eastAsia" w:ascii="宋体" w:hAnsi="宋体" w:eastAsia="宋体" w:cs="宋体"/>
                <w:b/>
                <w:color w:val="000000"/>
                <w:kern w:val="0"/>
                <w:sz w:val="21"/>
                <w:szCs w:val="24"/>
              </w:rPr>
              <w:t>年末/度</w:t>
            </w:r>
          </w:p>
        </w:tc>
        <w:tc>
          <w:tcPr>
            <w:tcW w:w="1417" w:type="dxa"/>
            <w:shd w:val="clear" w:color="auto" w:fill="auto"/>
          </w:tcPr>
          <w:p>
            <w:pPr>
              <w:adjustRightInd w:val="0"/>
              <w:snapToGrid w:val="0"/>
              <w:spacing w:beforeLines="0" w:afterLines="0" w:line="360" w:lineRule="exact"/>
              <w:jc w:val="center"/>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年末/度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3121" w:type="dxa"/>
            <w:shd w:val="clear" w:color="auto" w:fill="auto"/>
            <w:vAlign w:val="center"/>
          </w:tcPr>
          <w:p>
            <w:pPr>
              <w:adjustRightInd w:val="0"/>
              <w:snapToGrid w:val="0"/>
              <w:spacing w:beforeLines="0" w:afterLines="0" w:line="360" w:lineRule="exact"/>
              <w:jc w:val="left"/>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总资产（亿元）</w:t>
            </w:r>
          </w:p>
        </w:tc>
        <w:tc>
          <w:tcPr>
            <w:tcW w:w="1410"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8"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707"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7" w:type="dxa"/>
            <w:shd w:val="clear" w:color="auto" w:fill="auto"/>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3121" w:type="dxa"/>
            <w:shd w:val="clear" w:color="auto" w:fill="auto"/>
            <w:vAlign w:val="center"/>
          </w:tcPr>
          <w:p>
            <w:pPr>
              <w:adjustRightInd w:val="0"/>
              <w:snapToGrid w:val="0"/>
              <w:spacing w:beforeLines="0" w:afterLines="0" w:line="360" w:lineRule="exact"/>
              <w:jc w:val="left"/>
              <w:rPr>
                <w:rFonts w:hint="eastAsia" w:ascii="宋体" w:hAnsi="宋体" w:eastAsia="宋体" w:cs="宋体"/>
                <w:b/>
                <w:kern w:val="0"/>
                <w:sz w:val="21"/>
                <w:szCs w:val="24"/>
              </w:rPr>
            </w:pPr>
            <w:r>
              <w:rPr>
                <w:rFonts w:hint="eastAsia" w:ascii="宋体" w:hAnsi="宋体" w:eastAsia="宋体" w:cs="宋体"/>
                <w:b/>
                <w:color w:val="000000"/>
                <w:kern w:val="0"/>
                <w:sz w:val="21"/>
                <w:szCs w:val="24"/>
              </w:rPr>
              <w:t>资产负债率（%）</w:t>
            </w:r>
          </w:p>
        </w:tc>
        <w:tc>
          <w:tcPr>
            <w:tcW w:w="1410"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8"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707"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7" w:type="dxa"/>
            <w:shd w:val="clear" w:color="auto" w:fill="auto"/>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121" w:type="dxa"/>
            <w:shd w:val="clear" w:color="auto" w:fill="auto"/>
            <w:vAlign w:val="center"/>
          </w:tcPr>
          <w:p>
            <w:pPr>
              <w:adjustRightInd w:val="0"/>
              <w:snapToGrid w:val="0"/>
              <w:spacing w:beforeLines="0" w:afterLines="0" w:line="360" w:lineRule="exact"/>
              <w:jc w:val="left"/>
              <w:rPr>
                <w:rFonts w:hint="eastAsia" w:ascii="宋体" w:hAnsi="宋体" w:eastAsia="宋体" w:cs="宋体"/>
                <w:b/>
                <w:color w:val="000000"/>
                <w:kern w:val="0"/>
                <w:sz w:val="21"/>
                <w:szCs w:val="24"/>
              </w:rPr>
            </w:pPr>
            <w:r>
              <w:rPr>
                <w:rFonts w:hint="eastAsia" w:ascii="宋体" w:hAnsi="宋体" w:eastAsia="宋体" w:cs="宋体"/>
                <w:b/>
                <w:kern w:val="0"/>
                <w:sz w:val="21"/>
                <w:szCs w:val="24"/>
              </w:rPr>
              <w:t>营业毛利率（%）</w:t>
            </w:r>
          </w:p>
        </w:tc>
        <w:tc>
          <w:tcPr>
            <w:tcW w:w="1410"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8"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707"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7" w:type="dxa"/>
            <w:shd w:val="clear" w:color="auto" w:fill="auto"/>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121" w:type="dxa"/>
            <w:shd w:val="clear" w:color="auto" w:fill="auto"/>
            <w:vAlign w:val="center"/>
          </w:tcPr>
          <w:p>
            <w:pPr>
              <w:adjustRightInd w:val="0"/>
              <w:snapToGrid w:val="0"/>
              <w:spacing w:beforeLines="0" w:afterLines="0" w:line="360" w:lineRule="exact"/>
              <w:jc w:val="left"/>
              <w:rPr>
                <w:rFonts w:hint="eastAsia" w:ascii="宋体" w:hAnsi="宋体" w:eastAsia="宋体" w:cs="宋体"/>
                <w:b/>
                <w:color w:val="000000"/>
                <w:kern w:val="0"/>
                <w:sz w:val="21"/>
                <w:szCs w:val="24"/>
              </w:rPr>
            </w:pPr>
            <w:r>
              <w:rPr>
                <w:rFonts w:hint="eastAsia" w:ascii="宋体" w:hAnsi="宋体" w:eastAsia="宋体" w:cs="宋体"/>
                <w:b/>
                <w:kern w:val="0"/>
                <w:sz w:val="21"/>
                <w:szCs w:val="24"/>
              </w:rPr>
              <w:t>营业收入（</w:t>
            </w:r>
            <w:r>
              <w:rPr>
                <w:rFonts w:hint="eastAsia" w:ascii="宋体" w:hAnsi="宋体" w:eastAsia="宋体" w:cs="宋体"/>
                <w:b/>
                <w:color w:val="000000"/>
                <w:kern w:val="0"/>
                <w:sz w:val="21"/>
                <w:szCs w:val="24"/>
              </w:rPr>
              <w:t>亿</w:t>
            </w:r>
            <w:r>
              <w:rPr>
                <w:rFonts w:hint="eastAsia" w:ascii="宋体" w:hAnsi="宋体" w:eastAsia="宋体" w:cs="宋体"/>
                <w:b/>
                <w:kern w:val="0"/>
                <w:sz w:val="21"/>
                <w:szCs w:val="24"/>
              </w:rPr>
              <w:t>元）</w:t>
            </w:r>
          </w:p>
        </w:tc>
        <w:tc>
          <w:tcPr>
            <w:tcW w:w="1410"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8"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707"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7" w:type="dxa"/>
            <w:shd w:val="clear" w:color="auto" w:fill="auto"/>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121" w:type="dxa"/>
            <w:shd w:val="clear" w:color="auto" w:fill="auto"/>
            <w:vAlign w:val="center"/>
          </w:tcPr>
          <w:p>
            <w:pPr>
              <w:adjustRightInd w:val="0"/>
              <w:snapToGrid w:val="0"/>
              <w:spacing w:beforeLines="0" w:afterLines="0" w:line="360" w:lineRule="exact"/>
              <w:jc w:val="left"/>
              <w:rPr>
                <w:rFonts w:hint="eastAsia" w:ascii="宋体" w:hAnsi="宋体" w:eastAsia="宋体" w:cs="宋体"/>
                <w:b/>
                <w:color w:val="000000"/>
                <w:kern w:val="0"/>
                <w:sz w:val="21"/>
                <w:szCs w:val="24"/>
              </w:rPr>
            </w:pPr>
            <w:r>
              <w:rPr>
                <w:rFonts w:hint="eastAsia" w:ascii="宋体" w:hAnsi="宋体" w:eastAsia="宋体" w:cs="宋体"/>
                <w:b/>
                <w:kern w:val="0"/>
                <w:sz w:val="21"/>
                <w:szCs w:val="24"/>
              </w:rPr>
              <w:t>净利润（</w:t>
            </w:r>
            <w:r>
              <w:rPr>
                <w:rFonts w:hint="eastAsia" w:ascii="宋体" w:hAnsi="宋体" w:eastAsia="宋体" w:cs="宋体"/>
                <w:b/>
                <w:color w:val="000000"/>
                <w:kern w:val="0"/>
                <w:sz w:val="21"/>
                <w:szCs w:val="24"/>
              </w:rPr>
              <w:t>亿</w:t>
            </w:r>
            <w:r>
              <w:rPr>
                <w:rFonts w:hint="eastAsia" w:ascii="宋体" w:hAnsi="宋体" w:eastAsia="宋体" w:cs="宋体"/>
                <w:b/>
                <w:kern w:val="0"/>
                <w:sz w:val="21"/>
                <w:szCs w:val="24"/>
              </w:rPr>
              <w:t>元）</w:t>
            </w:r>
          </w:p>
        </w:tc>
        <w:tc>
          <w:tcPr>
            <w:tcW w:w="1410"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8"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707"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7" w:type="dxa"/>
            <w:shd w:val="clear" w:color="auto" w:fill="auto"/>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121" w:type="dxa"/>
            <w:shd w:val="clear" w:color="auto" w:fill="auto"/>
            <w:vAlign w:val="center"/>
          </w:tcPr>
          <w:p>
            <w:pPr>
              <w:adjustRightInd w:val="0"/>
              <w:snapToGrid w:val="0"/>
              <w:spacing w:beforeLines="0" w:afterLines="0" w:line="360" w:lineRule="exact"/>
              <w:jc w:val="left"/>
              <w:rPr>
                <w:rFonts w:hint="eastAsia" w:ascii="宋体" w:hAnsi="宋体" w:eastAsia="宋体" w:cs="宋体"/>
                <w:b/>
                <w:color w:val="000000"/>
                <w:kern w:val="0"/>
                <w:sz w:val="21"/>
                <w:szCs w:val="24"/>
              </w:rPr>
            </w:pPr>
            <w:r>
              <w:rPr>
                <w:rFonts w:hint="eastAsia" w:ascii="宋体" w:hAnsi="宋体" w:eastAsia="宋体" w:cs="宋体"/>
                <w:b/>
                <w:kern w:val="0"/>
                <w:sz w:val="21"/>
                <w:szCs w:val="24"/>
              </w:rPr>
              <w:t>经营活动产生的现金流量净额（亿元）</w:t>
            </w:r>
          </w:p>
        </w:tc>
        <w:tc>
          <w:tcPr>
            <w:tcW w:w="1410"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8"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707"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7" w:type="dxa"/>
            <w:shd w:val="clear" w:color="auto" w:fill="auto"/>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121" w:type="dxa"/>
            <w:shd w:val="clear" w:color="auto" w:fill="auto"/>
            <w:vAlign w:val="center"/>
          </w:tcPr>
          <w:p>
            <w:pPr>
              <w:adjustRightInd w:val="0"/>
              <w:snapToGrid w:val="0"/>
              <w:spacing w:beforeLines="0" w:afterLines="0" w:line="360" w:lineRule="exact"/>
              <w:jc w:val="left"/>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EBITDA（亿元）</w:t>
            </w:r>
          </w:p>
        </w:tc>
        <w:tc>
          <w:tcPr>
            <w:tcW w:w="1410"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8"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707"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7" w:type="dxa"/>
            <w:shd w:val="clear" w:color="auto" w:fill="auto"/>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121" w:type="dxa"/>
            <w:shd w:val="clear" w:color="auto" w:fill="auto"/>
            <w:vAlign w:val="center"/>
          </w:tcPr>
          <w:p>
            <w:pPr>
              <w:adjustRightInd w:val="0"/>
              <w:snapToGrid w:val="0"/>
              <w:spacing w:beforeLines="0" w:afterLines="0" w:line="360" w:lineRule="exact"/>
              <w:jc w:val="left"/>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大幅波动/持续为负等异常情况（如有）</w:t>
            </w:r>
          </w:p>
        </w:tc>
        <w:tc>
          <w:tcPr>
            <w:tcW w:w="1410"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8"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707"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c>
          <w:tcPr>
            <w:tcW w:w="1417" w:type="dxa"/>
            <w:shd w:val="clear" w:color="auto" w:fill="auto"/>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r>
    </w:tbl>
    <w:p>
      <w:pPr>
        <w:tabs>
          <w:tab w:val="left" w:pos="3327"/>
        </w:tabs>
        <w:topLinePunct/>
        <w:adjustRightInd w:val="0"/>
        <w:snapToGrid w:val="0"/>
        <w:spacing w:beforeLines="0" w:afterLines="0" w:line="560" w:lineRule="exact"/>
        <w:ind w:left="641"/>
        <w:rPr>
          <w:rFonts w:hint="eastAsia" w:ascii="仿宋" w:hAnsi="仿宋" w:eastAsia="仿宋" w:cs="仿宋"/>
          <w:sz w:val="32"/>
          <w:szCs w:val="32"/>
        </w:rPr>
      </w:pPr>
      <w:r>
        <w:rPr>
          <w:rFonts w:ascii="仿宋" w:hAnsi="仿宋" w:eastAsia="仿宋" w:cs="仿宋"/>
          <w:sz w:val="32"/>
          <w:szCs w:val="32"/>
        </w:rPr>
        <w:t>2.报告期</w:t>
      </w:r>
      <w:r>
        <w:rPr>
          <w:rFonts w:hint="eastAsia" w:ascii="仿宋" w:hAnsi="仿宋" w:eastAsia="仿宋" w:cs="仿宋"/>
          <w:sz w:val="32"/>
          <w:szCs w:val="32"/>
        </w:rPr>
        <w:t>不动产</w:t>
      </w:r>
      <w:r>
        <w:rPr>
          <w:rFonts w:ascii="仿宋" w:hAnsi="仿宋" w:eastAsia="仿宋" w:cs="仿宋"/>
          <w:sz w:val="32"/>
          <w:szCs w:val="32"/>
        </w:rPr>
        <w:t>项目</w:t>
      </w:r>
      <w:r>
        <w:rPr>
          <w:rFonts w:hint="eastAsia" w:ascii="仿宋" w:hAnsi="仿宋" w:eastAsia="仿宋" w:cs="仿宋"/>
          <w:sz w:val="32"/>
          <w:szCs w:val="32"/>
        </w:rPr>
        <w:t>主要</w:t>
      </w:r>
      <w:r>
        <w:rPr>
          <w:rFonts w:ascii="仿宋" w:hAnsi="仿宋" w:eastAsia="仿宋" w:cs="仿宋"/>
          <w:sz w:val="32"/>
          <w:szCs w:val="32"/>
        </w:rPr>
        <w:t>经营指标</w:t>
      </w:r>
    </w:p>
    <w:tbl>
      <w:tblPr>
        <w:tblStyle w:val="26"/>
        <w:tblpPr w:leftFromText="180" w:rightFromText="180" w:vertAnchor="text" w:horzAnchor="margin" w:tblpXSpec="center" w:tblpY="177"/>
        <w:tblOverlap w:val="never"/>
        <w:tblW w:w="982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2703"/>
        <w:gridCol w:w="1500"/>
        <w:gridCol w:w="1218"/>
        <w:gridCol w:w="1266"/>
        <w:gridCol w:w="1266"/>
        <w:gridCol w:w="562"/>
        <w:gridCol w:w="131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tblHeader/>
          <w:jc w:val="center"/>
        </w:trPr>
        <w:tc>
          <w:tcPr>
            <w:tcW w:w="2703" w:type="dxa"/>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项目经营指标</w:t>
            </w:r>
          </w:p>
        </w:tc>
        <w:tc>
          <w:tcPr>
            <w:tcW w:w="1500" w:type="dxa"/>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最近一期</w:t>
            </w:r>
          </w:p>
        </w:tc>
        <w:tc>
          <w:tcPr>
            <w:tcW w:w="1218" w:type="dxa"/>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年末/度</w:t>
            </w:r>
          </w:p>
        </w:tc>
        <w:tc>
          <w:tcPr>
            <w:tcW w:w="1266" w:type="dxa"/>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年末/度</w:t>
            </w:r>
          </w:p>
        </w:tc>
        <w:tc>
          <w:tcPr>
            <w:tcW w:w="1266" w:type="dxa"/>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年末/度</w:t>
            </w:r>
          </w:p>
        </w:tc>
        <w:tc>
          <w:tcPr>
            <w:tcW w:w="562" w:type="dxa"/>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w:t>
            </w:r>
          </w:p>
        </w:tc>
        <w:tc>
          <w:tcPr>
            <w:tcW w:w="1310" w:type="dxa"/>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703" w:type="dxa"/>
            <w:shd w:val="clear" w:color="auto" w:fill="auto"/>
            <w:vAlign w:val="center"/>
          </w:tcPr>
          <w:p>
            <w:pPr>
              <w:widowControl/>
              <w:adjustRightInd w:val="0"/>
              <w:snapToGrid w:val="0"/>
              <w:spacing w:beforeLines="0" w:afterLines="0" w:line="360" w:lineRule="exact"/>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出租率</w:t>
            </w:r>
            <w:r>
              <w:rPr>
                <w:rFonts w:hint="eastAsia" w:ascii="宋体" w:hAnsi="宋体" w:eastAsia="宋体" w:cs="宋体"/>
                <w:b/>
                <w:color w:val="000000"/>
                <w:kern w:val="0"/>
                <w:sz w:val="21"/>
                <w:szCs w:val="24"/>
                <w:lang w:bidi="ar"/>
              </w:rPr>
              <w:t>（%）</w:t>
            </w:r>
          </w:p>
        </w:tc>
        <w:tc>
          <w:tcPr>
            <w:tcW w:w="150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18"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562"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31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703" w:type="dxa"/>
            <w:shd w:val="clear" w:color="auto" w:fill="auto"/>
            <w:vAlign w:val="center"/>
          </w:tcPr>
          <w:p>
            <w:pPr>
              <w:widowControl/>
              <w:adjustRightInd w:val="0"/>
              <w:snapToGrid w:val="0"/>
              <w:spacing w:beforeLines="0" w:afterLines="0" w:line="360" w:lineRule="exact"/>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租金单价</w:t>
            </w:r>
          </w:p>
        </w:tc>
        <w:tc>
          <w:tcPr>
            <w:tcW w:w="150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18"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562"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31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703" w:type="dxa"/>
            <w:shd w:val="clear" w:color="auto" w:fill="auto"/>
            <w:vAlign w:val="center"/>
          </w:tcPr>
          <w:p>
            <w:pPr>
              <w:widowControl/>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租金增长率</w:t>
            </w:r>
            <w:r>
              <w:rPr>
                <w:rFonts w:hint="eastAsia" w:ascii="宋体" w:hAnsi="宋体" w:eastAsia="宋体" w:cs="宋体"/>
                <w:b/>
                <w:color w:val="000000"/>
                <w:kern w:val="0"/>
                <w:sz w:val="21"/>
                <w:szCs w:val="24"/>
              </w:rPr>
              <w:t>（%）</w:t>
            </w:r>
          </w:p>
        </w:tc>
        <w:tc>
          <w:tcPr>
            <w:tcW w:w="150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18"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562"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31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703" w:type="dxa"/>
            <w:shd w:val="clear" w:color="auto" w:fill="auto"/>
            <w:vAlign w:val="center"/>
          </w:tcPr>
          <w:p>
            <w:pPr>
              <w:widowControl/>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color w:val="000000"/>
                <w:kern w:val="0"/>
                <w:sz w:val="21"/>
                <w:szCs w:val="24"/>
                <w:lang w:bidi="ar"/>
              </w:rPr>
              <w:t>租金收缴率（%）</w:t>
            </w:r>
          </w:p>
        </w:tc>
        <w:tc>
          <w:tcPr>
            <w:tcW w:w="150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18"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562"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31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703" w:type="dxa"/>
            <w:shd w:val="clear" w:color="auto" w:fill="auto"/>
            <w:vAlign w:val="center"/>
          </w:tcPr>
          <w:p>
            <w:pPr>
              <w:widowControl/>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租赁合同期限分布</w:t>
            </w:r>
          </w:p>
        </w:tc>
        <w:tc>
          <w:tcPr>
            <w:tcW w:w="150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18"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562"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31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703" w:type="dxa"/>
            <w:shd w:val="clear" w:color="auto" w:fill="auto"/>
            <w:vAlign w:val="center"/>
          </w:tcPr>
          <w:p>
            <w:pPr>
              <w:widowControl/>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货客比</w:t>
            </w:r>
          </w:p>
        </w:tc>
        <w:tc>
          <w:tcPr>
            <w:tcW w:w="1500" w:type="dxa"/>
            <w:shd w:val="clear" w:color="auto" w:fill="auto"/>
            <w:vAlign w:val="center"/>
          </w:tcPr>
          <w:p>
            <w:pPr>
              <w:widowControl/>
              <w:adjustRightInd w:val="0"/>
              <w:snapToGrid w:val="0"/>
              <w:spacing w:beforeLines="0" w:afterLines="0" w:line="360" w:lineRule="exact"/>
              <w:ind w:firstLine="0"/>
              <w:jc w:val="right"/>
              <w:rPr>
                <w:rFonts w:hint="eastAsia" w:ascii="宋体" w:hAnsi="宋体" w:eastAsia="宋体" w:cs="宋体"/>
                <w:color w:val="000000"/>
                <w:kern w:val="0"/>
                <w:sz w:val="21"/>
                <w:szCs w:val="24"/>
              </w:rPr>
            </w:pPr>
          </w:p>
        </w:tc>
        <w:tc>
          <w:tcPr>
            <w:tcW w:w="1218" w:type="dxa"/>
            <w:shd w:val="clear" w:color="auto" w:fill="auto"/>
            <w:vAlign w:val="center"/>
          </w:tcPr>
          <w:p>
            <w:pPr>
              <w:widowControl/>
              <w:adjustRightInd w:val="0"/>
              <w:snapToGrid w:val="0"/>
              <w:spacing w:beforeLines="0" w:afterLines="0" w:line="360" w:lineRule="exact"/>
              <w:ind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firstLine="0"/>
              <w:jc w:val="right"/>
              <w:rPr>
                <w:rFonts w:hint="eastAsia" w:ascii="宋体" w:hAnsi="宋体" w:eastAsia="宋体" w:cs="宋体"/>
                <w:color w:val="000000"/>
                <w:kern w:val="0"/>
                <w:sz w:val="21"/>
                <w:szCs w:val="24"/>
              </w:rPr>
            </w:pPr>
          </w:p>
        </w:tc>
        <w:tc>
          <w:tcPr>
            <w:tcW w:w="562" w:type="dxa"/>
            <w:shd w:val="clear" w:color="auto" w:fill="auto"/>
            <w:vAlign w:val="center"/>
          </w:tcPr>
          <w:p>
            <w:pPr>
              <w:widowControl/>
              <w:adjustRightInd w:val="0"/>
              <w:snapToGrid w:val="0"/>
              <w:spacing w:beforeLines="0" w:afterLines="0" w:line="360" w:lineRule="exact"/>
              <w:ind w:firstLine="0"/>
              <w:jc w:val="right"/>
              <w:rPr>
                <w:rFonts w:hint="eastAsia" w:ascii="宋体" w:hAnsi="宋体" w:eastAsia="宋体" w:cs="宋体"/>
                <w:color w:val="000000"/>
                <w:kern w:val="0"/>
                <w:sz w:val="21"/>
                <w:szCs w:val="24"/>
              </w:rPr>
            </w:pPr>
          </w:p>
        </w:tc>
        <w:tc>
          <w:tcPr>
            <w:tcW w:w="1310" w:type="dxa"/>
            <w:shd w:val="clear" w:color="auto" w:fill="auto"/>
            <w:vAlign w:val="center"/>
          </w:tcPr>
          <w:p>
            <w:pPr>
              <w:widowControl/>
              <w:adjustRightInd w:val="0"/>
              <w:snapToGrid w:val="0"/>
              <w:spacing w:beforeLines="0" w:afterLines="0" w:line="360" w:lineRule="exact"/>
              <w:ind w:firstLine="0"/>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703" w:type="dxa"/>
            <w:shd w:val="clear" w:color="auto" w:fill="auto"/>
            <w:vAlign w:val="center"/>
          </w:tcPr>
          <w:p>
            <w:pPr>
              <w:widowControl/>
              <w:adjustRightInd w:val="0"/>
              <w:snapToGrid w:val="0"/>
              <w:spacing w:beforeLines="0" w:afterLines="0" w:line="360" w:lineRule="exact"/>
              <w:rPr>
                <w:rFonts w:hint="eastAsia" w:ascii="宋体" w:hAnsi="宋体" w:eastAsia="宋体" w:cs="宋体"/>
                <w:b/>
                <w:color w:val="000000"/>
                <w:kern w:val="0"/>
                <w:sz w:val="21"/>
                <w:szCs w:val="24"/>
              </w:rPr>
            </w:pPr>
            <w:r>
              <w:rPr>
                <w:rFonts w:hint="eastAsia" w:ascii="宋体" w:hAnsi="宋体" w:eastAsia="宋体" w:cs="宋体"/>
                <w:b/>
                <w:kern w:val="0"/>
                <w:sz w:val="21"/>
                <w:szCs w:val="24"/>
              </w:rPr>
              <w:t>车流量增长率</w:t>
            </w:r>
          </w:p>
        </w:tc>
        <w:tc>
          <w:tcPr>
            <w:tcW w:w="150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18"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562"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31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703" w:type="dxa"/>
            <w:shd w:val="clear" w:color="auto" w:fill="auto"/>
            <w:vAlign w:val="center"/>
          </w:tcPr>
          <w:p>
            <w:pPr>
              <w:widowControl/>
              <w:adjustRightInd w:val="0"/>
              <w:snapToGrid w:val="0"/>
              <w:spacing w:beforeLines="0" w:afterLines="0" w:line="360" w:lineRule="exact"/>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通行费收入</w:t>
            </w:r>
          </w:p>
        </w:tc>
        <w:tc>
          <w:tcPr>
            <w:tcW w:w="150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18"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562"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31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703" w:type="dxa"/>
            <w:shd w:val="clear" w:color="auto" w:fill="auto"/>
            <w:vAlign w:val="center"/>
          </w:tcPr>
          <w:p>
            <w:pPr>
              <w:widowControl/>
              <w:adjustRightInd w:val="0"/>
              <w:snapToGrid w:val="0"/>
              <w:spacing w:beforeLines="0" w:afterLines="0" w:line="360" w:lineRule="exact"/>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产能利用率</w:t>
            </w:r>
            <w:r>
              <w:rPr>
                <w:rFonts w:hint="eastAsia" w:ascii="宋体" w:hAnsi="宋体" w:eastAsia="宋体" w:cs="宋体"/>
                <w:b/>
                <w:color w:val="000000"/>
                <w:kern w:val="0"/>
                <w:sz w:val="21"/>
                <w:szCs w:val="24"/>
                <w:lang w:bidi="ar"/>
              </w:rPr>
              <w:t>（%）</w:t>
            </w:r>
          </w:p>
        </w:tc>
        <w:tc>
          <w:tcPr>
            <w:tcW w:w="150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18"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562"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31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703" w:type="dxa"/>
            <w:shd w:val="clear" w:color="auto" w:fill="auto"/>
            <w:vAlign w:val="center"/>
          </w:tcPr>
          <w:p>
            <w:pPr>
              <w:widowControl/>
              <w:adjustRightInd w:val="0"/>
              <w:snapToGrid w:val="0"/>
              <w:spacing w:beforeLines="0" w:afterLines="0" w:line="360" w:lineRule="exact"/>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使用率</w:t>
            </w:r>
            <w:r>
              <w:rPr>
                <w:rFonts w:hint="eastAsia" w:ascii="宋体" w:hAnsi="宋体" w:eastAsia="宋体" w:cs="宋体"/>
                <w:b/>
                <w:color w:val="000000"/>
                <w:kern w:val="0"/>
                <w:sz w:val="21"/>
                <w:szCs w:val="24"/>
                <w:lang w:bidi="ar"/>
              </w:rPr>
              <w:t>（%）</w:t>
            </w:r>
          </w:p>
        </w:tc>
        <w:tc>
          <w:tcPr>
            <w:tcW w:w="150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18"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562"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31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703" w:type="dxa"/>
            <w:shd w:val="clear" w:color="auto" w:fill="auto"/>
            <w:vAlign w:val="center"/>
          </w:tcPr>
          <w:p>
            <w:pPr>
              <w:widowControl/>
              <w:adjustRightInd w:val="0"/>
              <w:snapToGrid w:val="0"/>
              <w:spacing w:beforeLines="0" w:afterLines="0" w:line="360" w:lineRule="exact"/>
              <w:rPr>
                <w:rFonts w:hint="eastAsia" w:ascii="宋体" w:hAnsi="宋体" w:eastAsia="宋体" w:cs="宋体"/>
                <w:b/>
                <w:color w:val="000000"/>
                <w:kern w:val="0"/>
                <w:sz w:val="21"/>
                <w:szCs w:val="24"/>
              </w:rPr>
            </w:pPr>
            <w:r>
              <w:rPr>
                <w:rFonts w:hint="eastAsia" w:ascii="宋体" w:hAnsi="宋体" w:eastAsia="宋体" w:cs="宋体"/>
                <w:b/>
                <w:color w:val="000000"/>
                <w:kern w:val="0"/>
                <w:sz w:val="21"/>
                <w:szCs w:val="24"/>
              </w:rPr>
              <w:t>......</w:t>
            </w:r>
          </w:p>
        </w:tc>
        <w:tc>
          <w:tcPr>
            <w:tcW w:w="150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18"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266"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562"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c>
          <w:tcPr>
            <w:tcW w:w="1310" w:type="dxa"/>
            <w:shd w:val="clear" w:color="auto" w:fill="auto"/>
            <w:vAlign w:val="center"/>
          </w:tcPr>
          <w:p>
            <w:pPr>
              <w:widowControl/>
              <w:adjustRightInd w:val="0"/>
              <w:snapToGrid w:val="0"/>
              <w:spacing w:beforeLines="0" w:afterLines="0" w:line="360" w:lineRule="exact"/>
              <w:ind w:right="110" w:firstLine="0"/>
              <w:jc w:val="right"/>
              <w:rPr>
                <w:rFonts w:hint="eastAsia" w:ascii="宋体" w:hAnsi="宋体" w:eastAsia="宋体" w:cs="宋体"/>
                <w:color w:val="000000"/>
                <w:kern w:val="0"/>
                <w:sz w:val="21"/>
                <w:szCs w:val="24"/>
              </w:rPr>
            </w:pPr>
          </w:p>
        </w:tc>
      </w:tr>
    </w:tbl>
    <w:p>
      <w:pPr>
        <w:widowControl/>
        <w:adjustRightInd w:val="0"/>
        <w:snapToGrid w:val="0"/>
        <w:spacing w:beforeLines="0" w:afterLines="0" w:line="560" w:lineRule="exact"/>
        <w:ind w:left="641"/>
        <w:jc w:val="left"/>
        <w:rPr>
          <w:rFonts w:ascii="仿宋" w:hAnsi="仿宋" w:eastAsia="仿宋" w:cs="仿宋"/>
          <w:sz w:val="32"/>
          <w:szCs w:val="32"/>
        </w:rPr>
      </w:pPr>
      <w:r>
        <w:rPr>
          <w:rFonts w:ascii="仿宋" w:hAnsi="仿宋" w:eastAsia="仿宋" w:cs="仿宋"/>
          <w:sz w:val="32"/>
          <w:szCs w:val="32"/>
        </w:rPr>
        <w:br w:type="page"/>
      </w:r>
    </w:p>
    <w:p>
      <w:pPr>
        <w:pStyle w:val="64"/>
        <w:adjustRightInd w:val="0"/>
        <w:snapToGrid w:val="0"/>
        <w:spacing w:beforeLines="0" w:afterLines="0" w:line="560" w:lineRule="exact"/>
        <w:ind w:firstLine="0" w:firstLineChars="0"/>
        <w:jc w:val="left"/>
        <w:outlineLvl w:val="0"/>
        <w:rPr>
          <w:rFonts w:hint="eastAsia" w:ascii="楷体" w:hAnsi="楷体" w:eastAsia="黑体" w:cs="仿宋"/>
          <w:b w:val="0"/>
          <w:sz w:val="32"/>
          <w:szCs w:val="32"/>
          <w:lang w:eastAsia="zh-CN"/>
        </w:rPr>
      </w:pPr>
      <w:bookmarkStart w:id="229" w:name="_Toc14850"/>
      <w:bookmarkStart w:id="230" w:name="_Toc29095"/>
      <w:bookmarkStart w:id="231" w:name="_Toc385"/>
      <w:bookmarkStart w:id="232" w:name="_Toc2857"/>
      <w:bookmarkStart w:id="233" w:name="_Toc8533"/>
      <w:bookmarkStart w:id="234" w:name="_Toc203479476"/>
      <w:r>
        <w:rPr>
          <w:rFonts w:hint="eastAsia" w:ascii="楷体" w:hAnsi="楷体" w:eastAsia="黑体" w:cs="仿宋"/>
          <w:b w:val="0"/>
          <w:sz w:val="32"/>
          <w:szCs w:val="32"/>
          <w:lang w:eastAsia="zh-CN"/>
        </w:rPr>
        <w:t>附件5</w:t>
      </w:r>
      <w:bookmarkEnd w:id="229"/>
      <w:bookmarkEnd w:id="230"/>
      <w:bookmarkEnd w:id="231"/>
      <w:bookmarkEnd w:id="232"/>
      <w:bookmarkEnd w:id="233"/>
    </w:p>
    <w:p>
      <w:pPr>
        <w:pStyle w:val="64"/>
        <w:adjustRightInd w:val="0"/>
        <w:snapToGrid w:val="0"/>
        <w:spacing w:beforeLines="0" w:afterLines="0" w:line="560" w:lineRule="exact"/>
        <w:ind w:firstLine="0" w:firstLineChars="0"/>
        <w:jc w:val="left"/>
        <w:outlineLvl w:val="9"/>
        <w:rPr>
          <w:rFonts w:ascii="楷体" w:hAnsi="楷体" w:eastAsia="黑体" w:cs="仿宋"/>
          <w:b w:val="0"/>
          <w:sz w:val="32"/>
          <w:szCs w:val="32"/>
        </w:rPr>
      </w:pPr>
    </w:p>
    <w:p>
      <w:pPr>
        <w:pStyle w:val="64"/>
        <w:adjustRightInd w:val="0"/>
        <w:snapToGrid w:val="0"/>
        <w:spacing w:beforeLines="0" w:afterLines="0" w:line="560" w:lineRule="exact"/>
        <w:ind w:firstLine="0" w:firstLineChars="0"/>
        <w:jc w:val="center"/>
        <w:outlineLvl w:val="1"/>
        <w:rPr>
          <w:rFonts w:ascii="楷体" w:hAnsi="楷体" w:eastAsia="方正小标宋简体" w:cs="仿宋"/>
          <w:b w:val="0"/>
          <w:sz w:val="44"/>
          <w:szCs w:val="32"/>
        </w:rPr>
      </w:pPr>
      <w:bookmarkStart w:id="235" w:name="_Toc10395"/>
      <w:bookmarkStart w:id="236" w:name="_Toc13820"/>
      <w:bookmarkStart w:id="237" w:name="_Toc262"/>
      <w:bookmarkStart w:id="238" w:name="_Toc5422"/>
      <w:bookmarkStart w:id="239" w:name="_Toc13599"/>
      <w:r>
        <w:rPr>
          <w:rFonts w:ascii="楷体" w:hAnsi="楷体" w:eastAsia="方正小标宋简体" w:cs="仿宋"/>
          <w:b w:val="0"/>
          <w:sz w:val="44"/>
          <w:szCs w:val="32"/>
        </w:rPr>
        <w:t>不动产项目资产评估、现金流预测</w:t>
      </w:r>
      <w:r>
        <w:rPr>
          <w:rFonts w:hint="eastAsia" w:ascii="楷体" w:hAnsi="楷体" w:eastAsia="方正小标宋简体" w:cs="仿宋"/>
          <w:b w:val="0"/>
          <w:sz w:val="44"/>
          <w:szCs w:val="32"/>
        </w:rPr>
        <w:t>和</w:t>
      </w:r>
      <w:r>
        <w:rPr>
          <w:rFonts w:ascii="楷体" w:hAnsi="楷体" w:eastAsia="方正小标宋简体" w:cs="仿宋"/>
          <w:b w:val="0"/>
          <w:sz w:val="44"/>
          <w:szCs w:val="32"/>
        </w:rPr>
        <w:t>压力测试情况表</w:t>
      </w:r>
      <w:bookmarkEnd w:id="234"/>
      <w:bookmarkEnd w:id="235"/>
      <w:bookmarkEnd w:id="236"/>
      <w:bookmarkEnd w:id="237"/>
      <w:bookmarkEnd w:id="238"/>
      <w:bookmarkEnd w:id="239"/>
    </w:p>
    <w:p>
      <w:pPr>
        <w:adjustRightInd w:val="0"/>
        <w:snapToGrid w:val="0"/>
        <w:spacing w:beforeLines="0" w:afterLines="0" w:line="560" w:lineRule="exact"/>
        <w:ind w:firstLine="640" w:firstLineChars="200"/>
        <w:rPr>
          <w:rFonts w:ascii="仿宋" w:hAnsi="仿宋" w:eastAsia="仿宋" w:cs="仿宋"/>
          <w:sz w:val="32"/>
          <w:szCs w:val="32"/>
        </w:rPr>
      </w:pPr>
    </w:p>
    <w:p>
      <w:pPr>
        <w:adjustRightInd w:val="0"/>
        <w:snapToGrid w:val="0"/>
        <w:spacing w:beforeLines="0" w:afterLines="0" w:line="560" w:lineRule="exact"/>
        <w:ind w:firstLine="640" w:firstLineChars="200"/>
        <w:rPr>
          <w:rFonts w:hint="eastAsia" w:ascii="仿宋" w:hAnsi="仿宋" w:eastAsia="仿宋" w:cs="仿宋"/>
          <w:sz w:val="32"/>
          <w:szCs w:val="32"/>
        </w:rPr>
      </w:pPr>
      <w:r>
        <w:rPr>
          <w:rFonts w:ascii="仿宋" w:hAnsi="仿宋" w:eastAsia="仿宋" w:cs="仿宋"/>
          <w:sz w:val="32"/>
          <w:szCs w:val="32"/>
        </w:rPr>
        <w:t>1.不动产项目资产评估</w:t>
      </w:r>
      <w:r>
        <w:rPr>
          <w:rFonts w:hint="eastAsia" w:ascii="仿宋" w:hAnsi="仿宋" w:eastAsia="仿宋" w:cs="仿宋"/>
          <w:sz w:val="32"/>
          <w:szCs w:val="32"/>
        </w:rPr>
        <w:t>和</w:t>
      </w:r>
      <w:r>
        <w:rPr>
          <w:rFonts w:ascii="仿宋" w:hAnsi="仿宋" w:eastAsia="仿宋" w:cs="仿宋"/>
          <w:sz w:val="32"/>
          <w:szCs w:val="32"/>
        </w:rPr>
        <w:t>现金流预测表</w:t>
      </w:r>
    </w:p>
    <w:tbl>
      <w:tblPr>
        <w:tblStyle w:val="26"/>
        <w:tblW w:w="902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3835"/>
        <w:gridCol w:w="51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3835" w:type="dxa"/>
            <w:shd w:val="clear" w:color="auto" w:fill="auto"/>
          </w:tcPr>
          <w:p>
            <w:pPr>
              <w:widowControl/>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项目</w:t>
            </w:r>
          </w:p>
        </w:tc>
        <w:tc>
          <w:tcPr>
            <w:tcW w:w="5185" w:type="dxa"/>
            <w:shd w:val="clear" w:color="auto" w:fill="auto"/>
          </w:tcPr>
          <w:p>
            <w:pPr>
              <w:widowControl/>
              <w:adjustRightInd w:val="0"/>
              <w:snapToGrid w:val="0"/>
              <w:spacing w:beforeLines="0" w:afterLines="0" w:line="360" w:lineRule="exact"/>
              <w:ind w:firstLine="0" w:firstLineChars="0"/>
              <w:rPr>
                <w:rFonts w:hint="eastAsia" w:ascii="宋体" w:hAnsi="宋体" w:eastAsia="宋体" w:cs="宋体"/>
                <w:b/>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835" w:type="dxa"/>
            <w:shd w:val="clear" w:color="auto" w:fill="auto"/>
          </w:tcPr>
          <w:p>
            <w:pPr>
              <w:adjustRightInd w:val="0"/>
              <w:snapToGrid w:val="0"/>
              <w:spacing w:beforeLines="0" w:afterLines="0" w:line="360" w:lineRule="exact"/>
              <w:jc w:val="left"/>
              <w:rPr>
                <w:rFonts w:hint="eastAsia" w:ascii="宋体" w:hAnsi="宋体" w:eastAsia="宋体" w:cs="宋体"/>
                <w:b/>
                <w:kern w:val="0"/>
                <w:sz w:val="21"/>
                <w:szCs w:val="24"/>
              </w:rPr>
            </w:pPr>
            <w:r>
              <w:rPr>
                <w:rFonts w:hint="eastAsia" w:ascii="宋体" w:hAnsi="宋体" w:eastAsia="宋体" w:cs="宋体"/>
                <w:b/>
                <w:kern w:val="0"/>
                <w:sz w:val="21"/>
                <w:szCs w:val="24"/>
              </w:rPr>
              <w:t>收益年限</w:t>
            </w:r>
          </w:p>
        </w:tc>
        <w:tc>
          <w:tcPr>
            <w:tcW w:w="5185" w:type="dxa"/>
            <w:shd w:val="clear" w:color="auto" w:fill="auto"/>
          </w:tcPr>
          <w:p>
            <w:pPr>
              <w:adjustRightInd w:val="0"/>
              <w:snapToGrid w:val="0"/>
              <w:spacing w:beforeLines="0" w:afterLines="0" w:line="360" w:lineRule="exact"/>
              <w:ind w:firstLine="0"/>
              <w:jc w:val="center"/>
              <w:rPr>
                <w:rFonts w:hint="eastAsia" w:ascii="宋体" w:hAnsi="宋体" w:eastAsia="宋体" w:cs="宋体"/>
                <w:b/>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835"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lang w:eastAsia="zh-CN"/>
              </w:rPr>
            </w:pPr>
            <w:r>
              <w:rPr>
                <w:rFonts w:hint="eastAsia" w:ascii="宋体" w:hAnsi="宋体" w:eastAsia="宋体" w:cs="宋体"/>
                <w:b/>
                <w:kern w:val="0"/>
                <w:sz w:val="21"/>
                <w:szCs w:val="24"/>
                <w:lang w:eastAsia="zh-CN"/>
              </w:rPr>
              <w:t>评估方法</w:t>
            </w:r>
          </w:p>
        </w:tc>
        <w:tc>
          <w:tcPr>
            <w:tcW w:w="518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835"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估值规模</w:t>
            </w:r>
          </w:p>
        </w:tc>
        <w:tc>
          <w:tcPr>
            <w:tcW w:w="518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835"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评估增值率</w:t>
            </w:r>
          </w:p>
        </w:tc>
        <w:tc>
          <w:tcPr>
            <w:tcW w:w="518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835"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预测现金流年复合增长率</w:t>
            </w:r>
          </w:p>
        </w:tc>
        <w:tc>
          <w:tcPr>
            <w:tcW w:w="518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835"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折现率</w:t>
            </w:r>
          </w:p>
        </w:tc>
        <w:tc>
          <w:tcPr>
            <w:tcW w:w="518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3835" w:type="dxa"/>
            <w:shd w:val="clear" w:color="auto" w:fill="auto"/>
            <w:vAlign w:val="center"/>
          </w:tcPr>
          <w:p>
            <w:pPr>
              <w:adjustRightInd w:val="0"/>
              <w:snapToGrid w:val="0"/>
              <w:spacing w:beforeLines="0" w:afterLines="0" w:line="360" w:lineRule="exact"/>
              <w:rPr>
                <w:rFonts w:hint="eastAsia" w:ascii="宋体" w:hAnsi="宋体" w:eastAsia="宋体" w:cs="宋体"/>
                <w:b/>
                <w:kern w:val="0"/>
                <w:sz w:val="21"/>
                <w:szCs w:val="24"/>
              </w:rPr>
            </w:pPr>
            <w:r>
              <w:rPr>
                <w:rFonts w:hint="eastAsia" w:ascii="宋体" w:hAnsi="宋体" w:eastAsia="宋体" w:cs="宋体"/>
                <w:b/>
                <w:kern w:val="0"/>
                <w:sz w:val="21"/>
                <w:szCs w:val="24"/>
              </w:rPr>
              <w:t>Cap rate/IRR</w:t>
            </w:r>
          </w:p>
        </w:tc>
        <w:tc>
          <w:tcPr>
            <w:tcW w:w="5185" w:type="dxa"/>
            <w:shd w:val="clear" w:color="auto" w:fill="auto"/>
            <w:vAlign w:val="center"/>
          </w:tcPr>
          <w:p>
            <w:pPr>
              <w:adjustRightInd w:val="0"/>
              <w:snapToGrid w:val="0"/>
              <w:spacing w:beforeLines="0" w:afterLines="0" w:line="360" w:lineRule="exact"/>
              <w:ind w:firstLine="0"/>
              <w:jc w:val="center"/>
              <w:rPr>
                <w:rFonts w:hint="eastAsia" w:ascii="宋体" w:hAnsi="宋体" w:eastAsia="宋体" w:cs="宋体"/>
                <w:kern w:val="0"/>
                <w:sz w:val="21"/>
                <w:szCs w:val="24"/>
              </w:rPr>
            </w:pPr>
          </w:p>
        </w:tc>
      </w:tr>
    </w:tbl>
    <w:p>
      <w:pPr>
        <w:adjustRightInd w:val="0"/>
        <w:snapToGrid w:val="0"/>
        <w:spacing w:beforeLines="0" w:afterLines="0" w:line="560" w:lineRule="exact"/>
        <w:ind w:firstLine="640" w:firstLineChars="200"/>
        <w:rPr>
          <w:rFonts w:hint="eastAsia" w:ascii="仿宋" w:hAnsi="仿宋" w:eastAsia="仿宋" w:cs="仿宋"/>
          <w:sz w:val="32"/>
          <w:szCs w:val="32"/>
        </w:rPr>
      </w:pPr>
      <w:r>
        <w:rPr>
          <w:rFonts w:ascii="仿宋" w:hAnsi="仿宋" w:eastAsia="仿宋" w:cs="仿宋"/>
          <w:sz w:val="32"/>
          <w:szCs w:val="32"/>
        </w:rPr>
        <w:t>2.压力测试情况表</w:t>
      </w:r>
    </w:p>
    <w:tbl>
      <w:tblPr>
        <w:tblStyle w:val="27"/>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3014"/>
        <w:gridCol w:w="3028"/>
        <w:gridCol w:w="30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1663" w:type="pct"/>
            <w:vMerge w:val="restart"/>
            <w:shd w:val="clear" w:color="auto" w:fill="auto"/>
            <w:vAlign w:val="center"/>
          </w:tcPr>
          <w:p>
            <w:pPr>
              <w:adjustRightInd w:val="0"/>
              <w:snapToGrid w:val="0"/>
              <w:spacing w:beforeLines="0" w:afterLines="0" w:line="360" w:lineRule="exact"/>
              <w:jc w:val="center"/>
              <w:rPr>
                <w:rFonts w:hint="eastAsia" w:ascii="宋体" w:hAnsi="宋体" w:eastAsia="宋体" w:cs="宋体"/>
                <w:b/>
                <w:color w:val="000000"/>
                <w:sz w:val="21"/>
                <w:szCs w:val="24"/>
              </w:rPr>
            </w:pPr>
            <w:r>
              <w:rPr>
                <w:rFonts w:hint="eastAsia" w:ascii="宋体" w:hAnsi="宋体" w:eastAsia="宋体" w:cs="宋体"/>
                <w:b/>
                <w:color w:val="000000"/>
                <w:sz w:val="21"/>
                <w:szCs w:val="24"/>
              </w:rPr>
              <w:t>【估值参数】变化比例</w:t>
            </w:r>
          </w:p>
        </w:tc>
        <w:tc>
          <w:tcPr>
            <w:tcW w:w="3337" w:type="pct"/>
            <w:gridSpan w:val="2"/>
            <w:shd w:val="clear" w:color="auto" w:fill="auto"/>
            <w:vAlign w:val="center"/>
          </w:tcPr>
          <w:p>
            <w:pPr>
              <w:adjustRightInd w:val="0"/>
              <w:snapToGrid w:val="0"/>
              <w:spacing w:beforeLines="0" w:afterLines="0" w:line="360" w:lineRule="exact"/>
              <w:jc w:val="center"/>
              <w:rPr>
                <w:rFonts w:hint="eastAsia" w:ascii="宋体" w:hAnsi="宋体" w:eastAsia="宋体" w:cs="宋体"/>
                <w:b/>
                <w:color w:val="000000"/>
                <w:sz w:val="21"/>
                <w:szCs w:val="24"/>
              </w:rPr>
            </w:pPr>
            <w:r>
              <w:rPr>
                <w:rFonts w:hint="eastAsia" w:ascii="宋体" w:hAnsi="宋体" w:eastAsia="宋体" w:cs="宋体"/>
                <w:b/>
                <w:color w:val="000000"/>
                <w:sz w:val="21"/>
                <w:szCs w:val="24"/>
              </w:rPr>
              <w:t>基准日估值：【】亿元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1663" w:type="pct"/>
            <w:vMerge w:val="continue"/>
            <w:shd w:val="clear" w:color="auto" w:fill="auto"/>
            <w:vAlign w:val="center"/>
          </w:tcPr>
          <w:p>
            <w:pPr>
              <w:adjustRightInd w:val="0"/>
              <w:snapToGrid w:val="0"/>
              <w:spacing w:beforeLines="0" w:afterLines="0" w:line="360" w:lineRule="exact"/>
              <w:jc w:val="center"/>
              <w:rPr>
                <w:rFonts w:hint="eastAsia" w:ascii="宋体" w:hAnsi="宋体" w:eastAsia="宋体" w:cs="宋体"/>
                <w:b/>
                <w:color w:val="000000"/>
                <w:sz w:val="21"/>
                <w:szCs w:val="24"/>
              </w:rPr>
            </w:pPr>
          </w:p>
        </w:tc>
        <w:tc>
          <w:tcPr>
            <w:tcW w:w="1671" w:type="pct"/>
            <w:shd w:val="clear" w:color="auto" w:fill="auto"/>
            <w:vAlign w:val="center"/>
          </w:tcPr>
          <w:p>
            <w:pPr>
              <w:adjustRightInd w:val="0"/>
              <w:snapToGrid w:val="0"/>
              <w:spacing w:beforeLines="0" w:afterLines="0" w:line="360" w:lineRule="exact"/>
              <w:jc w:val="center"/>
              <w:rPr>
                <w:rFonts w:hint="eastAsia" w:ascii="宋体" w:hAnsi="宋体" w:eastAsia="宋体" w:cs="宋体"/>
                <w:b/>
                <w:color w:val="000000"/>
                <w:sz w:val="21"/>
                <w:szCs w:val="24"/>
              </w:rPr>
            </w:pPr>
            <w:r>
              <w:rPr>
                <w:rFonts w:hint="eastAsia" w:ascii="宋体" w:hAnsi="宋体" w:eastAsia="宋体" w:cs="宋体"/>
                <w:b/>
                <w:color w:val="000000"/>
                <w:sz w:val="21"/>
                <w:szCs w:val="24"/>
              </w:rPr>
              <w:t>情境下估值（亿元）</w:t>
            </w:r>
          </w:p>
        </w:tc>
        <w:tc>
          <w:tcPr>
            <w:tcW w:w="1666" w:type="pct"/>
            <w:shd w:val="clear" w:color="auto" w:fill="auto"/>
            <w:vAlign w:val="center"/>
          </w:tcPr>
          <w:p>
            <w:pPr>
              <w:adjustRightInd w:val="0"/>
              <w:snapToGrid w:val="0"/>
              <w:spacing w:beforeLines="0" w:afterLines="0" w:line="360" w:lineRule="exact"/>
              <w:jc w:val="center"/>
              <w:rPr>
                <w:rFonts w:hint="eastAsia" w:ascii="宋体" w:hAnsi="宋体" w:eastAsia="宋体" w:cs="宋体"/>
                <w:b/>
                <w:color w:val="000000"/>
                <w:sz w:val="21"/>
                <w:szCs w:val="24"/>
              </w:rPr>
            </w:pPr>
            <w:r>
              <w:rPr>
                <w:rFonts w:hint="eastAsia" w:ascii="宋体" w:hAnsi="宋体" w:eastAsia="宋体" w:cs="宋体"/>
                <w:b/>
                <w:color w:val="000000"/>
                <w:sz w:val="21"/>
                <w:szCs w:val="24"/>
              </w:rPr>
              <w:t>估值变化比例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1663"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r>
              <w:rPr>
                <w:rFonts w:hint="eastAsia" w:ascii="宋体" w:hAnsi="宋体" w:eastAsia="宋体" w:cs="宋体"/>
                <w:color w:val="000000"/>
                <w:sz w:val="21"/>
                <w:szCs w:val="24"/>
              </w:rPr>
              <w:t>下降【】%</w:t>
            </w:r>
          </w:p>
        </w:tc>
        <w:tc>
          <w:tcPr>
            <w:tcW w:w="1671"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p>
        </w:tc>
        <w:tc>
          <w:tcPr>
            <w:tcW w:w="1666"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1663"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r>
              <w:rPr>
                <w:rFonts w:hint="eastAsia" w:ascii="宋体" w:hAnsi="宋体" w:eastAsia="宋体" w:cs="宋体"/>
                <w:color w:val="000000"/>
                <w:sz w:val="21"/>
                <w:szCs w:val="24"/>
              </w:rPr>
              <w:t>下降【】%</w:t>
            </w:r>
          </w:p>
        </w:tc>
        <w:tc>
          <w:tcPr>
            <w:tcW w:w="1671"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p>
        </w:tc>
        <w:tc>
          <w:tcPr>
            <w:tcW w:w="1666"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1663"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r>
              <w:rPr>
                <w:rFonts w:hint="eastAsia" w:ascii="宋体" w:hAnsi="宋体" w:eastAsia="宋体" w:cs="宋体"/>
                <w:color w:val="000000"/>
                <w:sz w:val="21"/>
                <w:szCs w:val="24"/>
              </w:rPr>
              <w:t>基准</w:t>
            </w:r>
            <w:bookmarkStart w:id="298" w:name="_GoBack"/>
            <w:bookmarkEnd w:id="298"/>
          </w:p>
        </w:tc>
        <w:tc>
          <w:tcPr>
            <w:tcW w:w="1671"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p>
        </w:tc>
        <w:tc>
          <w:tcPr>
            <w:tcW w:w="1666"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1663"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r>
              <w:rPr>
                <w:rFonts w:hint="eastAsia" w:ascii="宋体" w:hAnsi="宋体" w:eastAsia="宋体" w:cs="宋体"/>
                <w:color w:val="000000"/>
                <w:sz w:val="21"/>
                <w:szCs w:val="24"/>
              </w:rPr>
              <w:t>增长【】%</w:t>
            </w:r>
          </w:p>
        </w:tc>
        <w:tc>
          <w:tcPr>
            <w:tcW w:w="1671"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p>
        </w:tc>
        <w:tc>
          <w:tcPr>
            <w:tcW w:w="1666"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1663"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r>
              <w:rPr>
                <w:rFonts w:hint="eastAsia" w:ascii="宋体" w:hAnsi="宋体" w:eastAsia="宋体" w:cs="宋体"/>
                <w:color w:val="000000"/>
                <w:sz w:val="21"/>
                <w:szCs w:val="24"/>
              </w:rPr>
              <w:t>增长【】%</w:t>
            </w:r>
          </w:p>
        </w:tc>
        <w:tc>
          <w:tcPr>
            <w:tcW w:w="1671"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p>
        </w:tc>
        <w:tc>
          <w:tcPr>
            <w:tcW w:w="1666" w:type="pct"/>
            <w:shd w:val="clear" w:color="auto" w:fill="auto"/>
            <w:vAlign w:val="center"/>
          </w:tcPr>
          <w:p>
            <w:pPr>
              <w:adjustRightInd w:val="0"/>
              <w:snapToGrid w:val="0"/>
              <w:spacing w:beforeLines="0" w:afterLines="0" w:line="360" w:lineRule="exact"/>
              <w:jc w:val="center"/>
              <w:rPr>
                <w:rFonts w:hint="eastAsia" w:ascii="宋体" w:hAnsi="宋体" w:eastAsia="宋体" w:cs="宋体"/>
                <w:color w:val="000000"/>
                <w:sz w:val="21"/>
                <w:szCs w:val="24"/>
              </w:rPr>
            </w:pPr>
          </w:p>
        </w:tc>
      </w:tr>
    </w:tbl>
    <w:p>
      <w:pPr>
        <w:widowControl/>
        <w:adjustRightInd w:val="0"/>
        <w:snapToGrid w:val="0"/>
        <w:spacing w:beforeLines="0" w:afterLines="0" w:line="560" w:lineRule="exact"/>
        <w:ind w:left="641"/>
        <w:jc w:val="left"/>
        <w:rPr>
          <w:rFonts w:ascii="仿宋" w:hAnsi="仿宋" w:eastAsia="仿宋" w:cs="仿宋"/>
          <w:sz w:val="32"/>
          <w:szCs w:val="32"/>
        </w:rPr>
      </w:pPr>
      <w:r>
        <w:rPr>
          <w:rFonts w:ascii="仿宋" w:hAnsi="仿宋" w:eastAsia="仿宋" w:cs="仿宋"/>
          <w:sz w:val="32"/>
          <w:szCs w:val="32"/>
        </w:rPr>
        <w:br w:type="page"/>
      </w:r>
    </w:p>
    <w:p>
      <w:pPr>
        <w:pStyle w:val="64"/>
        <w:topLinePunct/>
        <w:adjustRightInd w:val="0"/>
        <w:snapToGrid w:val="0"/>
        <w:spacing w:beforeLines="0" w:afterLines="0" w:line="560" w:lineRule="exact"/>
        <w:ind w:firstLine="0" w:firstLineChars="0"/>
        <w:jc w:val="left"/>
        <w:outlineLvl w:val="0"/>
        <w:rPr>
          <w:rFonts w:hint="eastAsia" w:ascii="楷体" w:hAnsi="楷体" w:eastAsia="黑体" w:cs="仿宋"/>
          <w:b w:val="0"/>
          <w:sz w:val="32"/>
          <w:szCs w:val="32"/>
          <w:lang w:eastAsia="zh-CN"/>
        </w:rPr>
      </w:pPr>
      <w:bookmarkStart w:id="240" w:name="_Toc15874"/>
      <w:bookmarkStart w:id="241" w:name="_Toc32692"/>
      <w:bookmarkStart w:id="242" w:name="_Toc20890"/>
      <w:bookmarkStart w:id="243" w:name="_Toc13215"/>
      <w:bookmarkStart w:id="244" w:name="_Toc28692"/>
      <w:bookmarkStart w:id="245" w:name="_Toc203479477"/>
      <w:bookmarkStart w:id="246" w:name="_Hlk202877101"/>
      <w:r>
        <w:rPr>
          <w:rFonts w:hint="eastAsia" w:ascii="楷体" w:hAnsi="楷体" w:eastAsia="黑体" w:cs="仿宋"/>
          <w:b w:val="0"/>
          <w:sz w:val="32"/>
          <w:szCs w:val="32"/>
          <w:lang w:eastAsia="zh-CN"/>
        </w:rPr>
        <w:t>附件6</w:t>
      </w:r>
      <w:bookmarkEnd w:id="240"/>
      <w:bookmarkEnd w:id="241"/>
      <w:bookmarkEnd w:id="242"/>
      <w:bookmarkEnd w:id="243"/>
      <w:bookmarkEnd w:id="244"/>
    </w:p>
    <w:p>
      <w:pPr>
        <w:pStyle w:val="64"/>
        <w:topLinePunct/>
        <w:adjustRightInd w:val="0"/>
        <w:snapToGrid w:val="0"/>
        <w:spacing w:beforeLines="0" w:afterLines="0" w:line="560" w:lineRule="exact"/>
        <w:ind w:firstLine="0" w:firstLineChars="0"/>
        <w:jc w:val="left"/>
        <w:outlineLvl w:val="9"/>
        <w:rPr>
          <w:rFonts w:ascii="楷体" w:hAnsi="楷体" w:eastAsia="黑体" w:cs="仿宋"/>
          <w:b w:val="0"/>
          <w:sz w:val="32"/>
          <w:szCs w:val="32"/>
        </w:rPr>
      </w:pPr>
    </w:p>
    <w:p>
      <w:pPr>
        <w:pStyle w:val="64"/>
        <w:adjustRightInd w:val="0"/>
        <w:snapToGrid w:val="0"/>
        <w:spacing w:beforeLines="0" w:afterLines="0" w:line="560" w:lineRule="exact"/>
        <w:ind w:firstLine="0" w:firstLineChars="0"/>
        <w:jc w:val="center"/>
        <w:outlineLvl w:val="1"/>
        <w:rPr>
          <w:rFonts w:ascii="楷体" w:hAnsi="楷体" w:eastAsia="楷体" w:cs="仿宋"/>
          <w:b/>
          <w:sz w:val="32"/>
          <w:szCs w:val="32"/>
        </w:rPr>
      </w:pPr>
      <w:bookmarkStart w:id="247" w:name="_Toc19569"/>
      <w:bookmarkStart w:id="248" w:name="_Toc5863"/>
      <w:bookmarkStart w:id="249" w:name="_Toc16083"/>
      <w:bookmarkStart w:id="250" w:name="_Toc12076"/>
      <w:bookmarkStart w:id="251" w:name="_Toc686"/>
      <w:r>
        <w:rPr>
          <w:rFonts w:ascii="楷体" w:hAnsi="楷体" w:eastAsia="方正小标宋简体" w:cs="仿宋"/>
          <w:b w:val="0"/>
          <w:sz w:val="44"/>
          <w:szCs w:val="32"/>
        </w:rPr>
        <w:t>可供分配金额测算表</w:t>
      </w:r>
      <w:bookmarkEnd w:id="245"/>
      <w:bookmarkEnd w:id="247"/>
      <w:bookmarkEnd w:id="248"/>
      <w:bookmarkEnd w:id="249"/>
      <w:bookmarkEnd w:id="250"/>
      <w:bookmarkEnd w:id="251"/>
    </w:p>
    <w:p>
      <w:pPr>
        <w:pStyle w:val="64"/>
        <w:topLinePunct/>
        <w:adjustRightInd w:val="0"/>
        <w:snapToGrid w:val="0"/>
        <w:spacing w:beforeLines="0" w:afterLines="0" w:line="560" w:lineRule="exact"/>
        <w:ind w:firstLine="0" w:firstLineChars="0"/>
        <w:jc w:val="both"/>
        <w:outlineLvl w:val="9"/>
        <w:rPr>
          <w:rFonts w:hint="eastAsia" w:ascii="仿宋" w:hAnsi="仿宋" w:eastAsia="仿宋" w:cs="仿宋"/>
          <w:b/>
          <w:sz w:val="32"/>
          <w:szCs w:val="32"/>
        </w:rPr>
      </w:pPr>
    </w:p>
    <w:tbl>
      <w:tblPr>
        <w:tblStyle w:val="26"/>
        <w:tblW w:w="919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5670"/>
        <w:gridCol w:w="1688"/>
        <w:gridCol w:w="18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567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Lines="0" w:afterLines="0" w:line="240" w:lineRule="auto"/>
              <w:jc w:val="center"/>
              <w:textAlignment w:val="auto"/>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项目</w:t>
            </w:r>
          </w:p>
        </w:tc>
        <w:tc>
          <w:tcPr>
            <w:tcW w:w="168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Lines="0" w:afterLines="0" w:line="240" w:lineRule="auto"/>
              <w:jc w:val="center"/>
              <w:textAlignment w:val="auto"/>
              <w:rPr>
                <w:rFonts w:hint="eastAsia" w:ascii="宋体" w:hAnsi="宋体" w:eastAsia="宋体" w:cs="宋体"/>
                <w:b/>
                <w:bCs/>
                <w:color w:val="000000"/>
                <w:kern w:val="0"/>
                <w:sz w:val="21"/>
                <w:szCs w:val="24"/>
                <w:lang w:eastAsia="zh-CN"/>
              </w:rPr>
            </w:pPr>
            <w:r>
              <w:rPr>
                <w:rFonts w:hint="eastAsia" w:ascii="宋体" w:hAnsi="宋体" w:eastAsia="宋体" w:cs="宋体"/>
                <w:b/>
                <w:bCs/>
                <w:color w:val="000000"/>
                <w:kern w:val="0"/>
                <w:sz w:val="21"/>
                <w:szCs w:val="24"/>
              </w:rPr>
              <w:t>【第一年】</w:t>
            </w:r>
          </w:p>
          <w:p>
            <w:pPr>
              <w:keepNext w:val="0"/>
              <w:keepLines w:val="0"/>
              <w:pageBreakBefore w:val="0"/>
              <w:widowControl/>
              <w:kinsoku/>
              <w:wordWrap/>
              <w:overflowPunct/>
              <w:topLinePunct w:val="0"/>
              <w:autoSpaceDE/>
              <w:autoSpaceDN/>
              <w:bidi w:val="0"/>
              <w:adjustRightInd w:val="0"/>
              <w:snapToGrid w:val="0"/>
              <w:spacing w:beforeLines="0" w:afterLines="0" w:line="240" w:lineRule="auto"/>
              <w:jc w:val="center"/>
              <w:textAlignment w:val="auto"/>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预测</w:t>
            </w:r>
          </w:p>
        </w:tc>
        <w:tc>
          <w:tcPr>
            <w:tcW w:w="183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Lines="0" w:afterLines="0" w:line="240" w:lineRule="auto"/>
              <w:jc w:val="center"/>
              <w:textAlignment w:val="auto"/>
              <w:rPr>
                <w:rFonts w:hint="eastAsia" w:ascii="宋体" w:hAnsi="宋体" w:eastAsia="宋体" w:cs="宋体"/>
                <w:b/>
                <w:bCs/>
                <w:color w:val="000000"/>
                <w:kern w:val="0"/>
                <w:sz w:val="21"/>
                <w:szCs w:val="24"/>
                <w:lang w:eastAsia="zh-CN"/>
              </w:rPr>
            </w:pPr>
            <w:r>
              <w:rPr>
                <w:rFonts w:hint="eastAsia" w:ascii="宋体" w:hAnsi="宋体" w:eastAsia="宋体" w:cs="宋体"/>
                <w:b/>
                <w:bCs/>
                <w:color w:val="000000"/>
                <w:kern w:val="0"/>
                <w:sz w:val="21"/>
                <w:szCs w:val="24"/>
              </w:rPr>
              <w:t>【第二年】</w:t>
            </w:r>
          </w:p>
          <w:p>
            <w:pPr>
              <w:keepNext w:val="0"/>
              <w:keepLines w:val="0"/>
              <w:pageBreakBefore w:val="0"/>
              <w:widowControl/>
              <w:kinsoku/>
              <w:wordWrap/>
              <w:overflowPunct/>
              <w:topLinePunct w:val="0"/>
              <w:autoSpaceDE/>
              <w:autoSpaceDN/>
              <w:bidi w:val="0"/>
              <w:adjustRightInd w:val="0"/>
              <w:snapToGrid w:val="0"/>
              <w:spacing w:beforeLines="0" w:afterLines="0" w:line="240" w:lineRule="auto"/>
              <w:jc w:val="center"/>
              <w:textAlignment w:val="auto"/>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预测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一、合并净利润</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二、将合并净利润调整为息税折旧及摊销前利润（EBITDA）</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折旧和摊销</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利息支出</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所得税费用</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三、其他调整</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当期购买不动产项目等资本性支出</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不动产项目资产的公允价值变动损益（包括处置当年转回以前年度累计调整的公允价值变动损益）</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不动产项目资产减值准备的变动</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不动产项目资产的处置利得或损失</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支付的利息和所得税费用</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应收和应付项目的变动</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未来合理相关支出预留，包括重大资本性支出（例如固定资产正常更新、大修、改造等）、未来合理期间内的债务利息、运营费用等</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其他可能的调整项，例如不动产基金发行份额募集的资金、处置不动产项目资产取得的现金、金融资产相关调整、期初现金余额等</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5670" w:type="dxa"/>
            <w:shd w:val="clear" w:color="auto" w:fill="auto"/>
            <w:noWrap/>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四、可供分配金额</w:t>
            </w:r>
          </w:p>
        </w:tc>
        <w:tc>
          <w:tcPr>
            <w:tcW w:w="1688"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c>
          <w:tcPr>
            <w:tcW w:w="1834" w:type="dxa"/>
            <w:shd w:val="clear" w:color="auto" w:fill="auto"/>
            <w:noWrap/>
            <w:vAlign w:val="center"/>
          </w:tcPr>
          <w:p>
            <w:pPr>
              <w:widowControl/>
              <w:adjustRightInd w:val="0"/>
              <w:snapToGrid w:val="0"/>
              <w:spacing w:beforeLines="0" w:afterLines="0" w:line="360" w:lineRule="exact"/>
              <w:jc w:val="right"/>
              <w:rPr>
                <w:rFonts w:hint="eastAsia" w:ascii="宋体" w:hAnsi="宋体" w:eastAsia="宋体" w:cs="宋体"/>
                <w:color w:val="000000"/>
                <w:kern w:val="0"/>
                <w:sz w:val="21"/>
                <w:szCs w:val="24"/>
              </w:rPr>
            </w:pPr>
          </w:p>
        </w:tc>
      </w:tr>
    </w:tbl>
    <w:p>
      <w:pPr>
        <w:widowControl/>
        <w:adjustRightInd w:val="0"/>
        <w:snapToGrid w:val="0"/>
        <w:spacing w:beforeLines="0" w:afterLines="0" w:line="560" w:lineRule="exact"/>
        <w:ind w:left="641"/>
        <w:jc w:val="left"/>
        <w:rPr>
          <w:rFonts w:ascii="仿宋" w:hAnsi="仿宋" w:eastAsia="仿宋" w:cs="仿宋"/>
          <w:sz w:val="32"/>
          <w:szCs w:val="32"/>
        </w:rPr>
      </w:pPr>
      <w:r>
        <w:rPr>
          <w:rFonts w:ascii="仿宋" w:hAnsi="仿宋" w:eastAsia="仿宋" w:cs="仿宋"/>
          <w:sz w:val="32"/>
          <w:szCs w:val="32"/>
        </w:rPr>
        <w:br w:type="page"/>
      </w:r>
    </w:p>
    <w:bookmarkEnd w:id="246"/>
    <w:p>
      <w:pPr>
        <w:pStyle w:val="64"/>
        <w:adjustRightInd w:val="0"/>
        <w:snapToGrid w:val="0"/>
        <w:spacing w:beforeLines="0" w:afterLines="0" w:line="560" w:lineRule="exact"/>
        <w:ind w:firstLine="0" w:firstLineChars="0"/>
        <w:jc w:val="left"/>
        <w:outlineLvl w:val="0"/>
        <w:rPr>
          <w:rFonts w:hint="eastAsia" w:ascii="楷体" w:hAnsi="楷体" w:eastAsia="黑体" w:cs="仿宋"/>
          <w:b w:val="0"/>
          <w:sz w:val="32"/>
          <w:szCs w:val="32"/>
          <w:lang w:eastAsia="zh-CN"/>
        </w:rPr>
      </w:pPr>
      <w:bookmarkStart w:id="252" w:name="_Toc27182"/>
      <w:bookmarkStart w:id="253" w:name="_Toc21091"/>
      <w:bookmarkStart w:id="254" w:name="_Toc9422"/>
      <w:bookmarkStart w:id="255" w:name="_Toc10330"/>
      <w:bookmarkStart w:id="256" w:name="_Toc29844"/>
      <w:bookmarkStart w:id="257" w:name="_Toc203479478"/>
      <w:r>
        <w:rPr>
          <w:rFonts w:hint="eastAsia" w:ascii="楷体" w:hAnsi="楷体" w:eastAsia="黑体" w:cs="仿宋"/>
          <w:b w:val="0"/>
          <w:sz w:val="32"/>
          <w:szCs w:val="32"/>
          <w:lang w:eastAsia="zh-CN"/>
        </w:rPr>
        <w:t>附件7</w:t>
      </w:r>
      <w:bookmarkEnd w:id="252"/>
      <w:bookmarkEnd w:id="253"/>
      <w:bookmarkEnd w:id="254"/>
      <w:bookmarkEnd w:id="255"/>
      <w:bookmarkEnd w:id="256"/>
    </w:p>
    <w:p>
      <w:pPr>
        <w:pStyle w:val="64"/>
        <w:adjustRightInd w:val="0"/>
        <w:snapToGrid w:val="0"/>
        <w:spacing w:beforeLines="0" w:afterLines="0" w:line="560" w:lineRule="exact"/>
        <w:ind w:firstLine="0" w:firstLineChars="0"/>
        <w:jc w:val="left"/>
        <w:outlineLvl w:val="9"/>
        <w:rPr>
          <w:rFonts w:ascii="楷体" w:hAnsi="楷体" w:eastAsia="黑体" w:cs="仿宋"/>
          <w:b w:val="0"/>
          <w:sz w:val="32"/>
          <w:szCs w:val="32"/>
        </w:rPr>
      </w:pPr>
    </w:p>
    <w:p>
      <w:pPr>
        <w:pStyle w:val="64"/>
        <w:adjustRightInd w:val="0"/>
        <w:snapToGrid w:val="0"/>
        <w:spacing w:beforeLines="0" w:afterLines="0" w:line="560" w:lineRule="exact"/>
        <w:ind w:firstLine="0" w:firstLineChars="0"/>
        <w:jc w:val="center"/>
        <w:outlineLvl w:val="1"/>
        <w:rPr>
          <w:rFonts w:hint="eastAsia" w:ascii="方正小标宋简体" w:hAnsi="方正小标宋简体" w:eastAsia="方正小标宋简体" w:cs="方正小标宋简体"/>
          <w:b w:val="0"/>
          <w:sz w:val="44"/>
          <w:szCs w:val="32"/>
        </w:rPr>
      </w:pPr>
      <w:bookmarkStart w:id="258" w:name="_Toc18302"/>
      <w:bookmarkStart w:id="259" w:name="_Toc11842"/>
      <w:bookmarkStart w:id="260" w:name="_Toc14620"/>
      <w:bookmarkStart w:id="261" w:name="_Toc22801"/>
      <w:bookmarkStart w:id="262" w:name="_Toc18696"/>
      <w:r>
        <w:rPr>
          <w:rFonts w:hint="eastAsia" w:ascii="方正小标宋简体" w:hAnsi="方正小标宋简体" w:eastAsia="方正小标宋简体" w:cs="方正小标宋简体"/>
          <w:b w:val="0"/>
          <w:sz w:val="44"/>
          <w:szCs w:val="32"/>
        </w:rPr>
        <w:t>REITs治理架构表</w:t>
      </w:r>
      <w:bookmarkEnd w:id="257"/>
      <w:bookmarkEnd w:id="258"/>
      <w:bookmarkEnd w:id="259"/>
      <w:bookmarkEnd w:id="260"/>
      <w:bookmarkEnd w:id="261"/>
      <w:bookmarkEnd w:id="262"/>
    </w:p>
    <w:p>
      <w:pPr>
        <w:widowControl/>
        <w:adjustRightInd w:val="0"/>
        <w:snapToGrid w:val="0"/>
        <w:spacing w:beforeLines="0" w:afterLines="0" w:line="560" w:lineRule="exact"/>
        <w:ind w:left="641"/>
        <w:jc w:val="left"/>
        <w:rPr>
          <w:rFonts w:hint="eastAsia" w:ascii="仿宋" w:hAnsi="仿宋" w:eastAsia="仿宋" w:cs="仿宋"/>
          <w:sz w:val="32"/>
          <w:szCs w:val="32"/>
        </w:rPr>
      </w:pPr>
    </w:p>
    <w:tbl>
      <w:tblPr>
        <w:tblStyle w:val="26"/>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2150"/>
        <w:gridCol w:w="69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022" w:type="dxa"/>
            <w:shd w:val="clear" w:color="auto" w:fill="auto"/>
          </w:tcPr>
          <w:p>
            <w:pPr>
              <w:topLinePunct/>
              <w:adjustRightInd w:val="0"/>
              <w:snapToGrid w:val="0"/>
              <w:spacing w:beforeLines="0" w:afterLines="0" w:line="360" w:lineRule="exact"/>
              <w:jc w:val="center"/>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层级</w:t>
            </w:r>
          </w:p>
        </w:tc>
        <w:tc>
          <w:tcPr>
            <w:tcW w:w="6500" w:type="dxa"/>
            <w:shd w:val="clear" w:color="auto" w:fill="auto"/>
          </w:tcPr>
          <w:p>
            <w:pPr>
              <w:topLinePunct/>
              <w:adjustRightInd w:val="0"/>
              <w:snapToGrid w:val="0"/>
              <w:spacing w:beforeLines="0" w:afterLines="0" w:line="360" w:lineRule="exact"/>
              <w:jc w:val="center"/>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机制设计要点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022" w:type="dxa"/>
            <w:shd w:val="clear" w:color="auto" w:fill="auto"/>
            <w:vAlign w:val="center"/>
          </w:tcPr>
          <w:p>
            <w:pPr>
              <w:topLinePunct/>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持有人大会</w:t>
            </w:r>
          </w:p>
        </w:tc>
        <w:tc>
          <w:tcPr>
            <w:tcW w:w="6500" w:type="dxa"/>
            <w:shd w:val="clear" w:color="auto" w:fill="auto"/>
          </w:tcPr>
          <w:p>
            <w:pPr>
              <w:topLinePunct/>
              <w:adjustRightInd w:val="0"/>
              <w:snapToGrid w:val="0"/>
              <w:spacing w:beforeLines="0" w:afterLines="0" w:line="360" w:lineRule="exac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022" w:type="dxa"/>
            <w:shd w:val="clear" w:color="auto" w:fill="auto"/>
            <w:vAlign w:val="center"/>
          </w:tcPr>
          <w:p>
            <w:pPr>
              <w:topLinePunct/>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基金管理人</w:t>
            </w:r>
          </w:p>
        </w:tc>
        <w:tc>
          <w:tcPr>
            <w:tcW w:w="6500" w:type="dxa"/>
            <w:shd w:val="clear" w:color="auto" w:fill="auto"/>
          </w:tcPr>
          <w:p>
            <w:pPr>
              <w:adjustRightInd w:val="0"/>
              <w:snapToGrid w:val="0"/>
              <w:spacing w:beforeLines="0" w:afterLines="0" w:line="360" w:lineRule="exact"/>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披露基金管理人的内部决策机构架构，例如：</w:t>
            </w:r>
            <w:r>
              <w:rPr>
                <w:rFonts w:hint="eastAsia" w:ascii="宋体" w:hAnsi="宋体" w:eastAsia="宋体" w:cs="宋体"/>
                <w:kern w:val="0"/>
                <w:sz w:val="21"/>
                <w:szCs w:val="24"/>
              </w:rPr>
              <w:t>基金管理人层面设置运营管理委员会，共XX人，其中基金管理人XX人，原始权益人及其关联方XX人。运营管理委员会表决机制等</w:t>
            </w:r>
          </w:p>
          <w:p>
            <w:pPr>
              <w:adjustRightInd w:val="0"/>
              <w:snapToGrid w:val="0"/>
              <w:spacing w:beforeLines="0" w:afterLines="0" w:line="360" w:lineRule="exact"/>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022" w:type="dxa"/>
            <w:shd w:val="clear" w:color="auto" w:fill="auto"/>
            <w:vAlign w:val="center"/>
          </w:tcPr>
          <w:p>
            <w:pPr>
              <w:topLinePunct/>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拟任基金经理情况</w:t>
            </w:r>
          </w:p>
        </w:tc>
        <w:tc>
          <w:tcPr>
            <w:tcW w:w="6500" w:type="dxa"/>
            <w:shd w:val="clear" w:color="auto" w:fill="auto"/>
          </w:tcPr>
          <w:p>
            <w:pPr>
              <w:tabs>
                <w:tab w:val="left" w:pos="312"/>
              </w:tabs>
              <w:adjustRightInd w:val="0"/>
              <w:snapToGrid w:val="0"/>
              <w:spacing w:beforeLines="0" w:afterLines="0" w:line="360" w:lineRule="exact"/>
              <w:rPr>
                <w:rFonts w:hint="eastAsia" w:ascii="宋体" w:hAnsi="宋体" w:eastAsia="宋体" w:cs="宋体"/>
                <w:kern w:val="0"/>
                <w:sz w:val="21"/>
                <w:szCs w:val="24"/>
              </w:rPr>
            </w:pPr>
            <w:r>
              <w:rPr>
                <w:rFonts w:hint="eastAsia" w:ascii="宋体" w:hAnsi="宋体" w:eastAsia="宋体" w:cs="宋体"/>
                <w:kern w:val="0"/>
                <w:sz w:val="21"/>
                <w:szCs w:val="24"/>
              </w:rPr>
              <w:t>1.拟任基金经理基本情况</w:t>
            </w:r>
          </w:p>
          <w:p>
            <w:pPr>
              <w:tabs>
                <w:tab w:val="left" w:pos="312"/>
              </w:tabs>
              <w:adjustRightInd w:val="0"/>
              <w:snapToGrid w:val="0"/>
              <w:spacing w:beforeLines="0" w:afterLines="0" w:line="360" w:lineRule="exact"/>
              <w:rPr>
                <w:rFonts w:hint="eastAsia" w:ascii="宋体" w:hAnsi="宋体" w:eastAsia="宋体" w:cs="宋体"/>
                <w:kern w:val="0"/>
                <w:sz w:val="21"/>
                <w:szCs w:val="24"/>
              </w:rPr>
            </w:pPr>
            <w:r>
              <w:rPr>
                <w:rFonts w:hint="eastAsia" w:ascii="宋体" w:hAnsi="宋体" w:eastAsia="宋体" w:cs="宋体"/>
                <w:kern w:val="0"/>
                <w:sz w:val="21"/>
                <w:szCs w:val="24"/>
              </w:rPr>
              <w:t>2.是否符合兼任等有关要求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022"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kern w:val="0"/>
                <w:sz w:val="21"/>
                <w:szCs w:val="24"/>
              </w:rPr>
            </w:pPr>
            <w:r>
              <w:rPr>
                <w:rFonts w:hint="eastAsia" w:ascii="宋体" w:hAnsi="宋体" w:eastAsia="宋体" w:cs="宋体"/>
                <w:b/>
                <w:bCs/>
                <w:kern w:val="0"/>
                <w:sz w:val="21"/>
                <w:szCs w:val="24"/>
              </w:rPr>
              <w:t>专项计划管理人</w:t>
            </w:r>
          </w:p>
        </w:tc>
        <w:tc>
          <w:tcPr>
            <w:tcW w:w="6500" w:type="dxa"/>
            <w:shd w:val="clear" w:color="auto" w:fill="auto"/>
          </w:tcPr>
          <w:p>
            <w:pPr>
              <w:topLinePunct/>
              <w:adjustRightInd w:val="0"/>
              <w:snapToGrid w:val="0"/>
              <w:spacing w:beforeLines="0" w:afterLines="0" w:line="360" w:lineRule="exac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022"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kern w:val="0"/>
                <w:sz w:val="21"/>
                <w:szCs w:val="24"/>
              </w:rPr>
            </w:pPr>
            <w:r>
              <w:rPr>
                <w:rFonts w:hint="eastAsia" w:ascii="宋体" w:hAnsi="宋体" w:eastAsia="宋体" w:cs="宋体"/>
                <w:b/>
                <w:bCs/>
                <w:kern w:val="0"/>
                <w:sz w:val="21"/>
                <w:szCs w:val="24"/>
              </w:rPr>
              <w:t>项目公司</w:t>
            </w:r>
          </w:p>
        </w:tc>
        <w:tc>
          <w:tcPr>
            <w:tcW w:w="6500" w:type="dxa"/>
            <w:shd w:val="clear" w:color="auto" w:fill="auto"/>
          </w:tcPr>
          <w:p>
            <w:pPr>
              <w:topLinePunct/>
              <w:adjustRightInd w:val="0"/>
              <w:snapToGrid w:val="0"/>
              <w:spacing w:beforeLines="0" w:afterLines="0" w:line="360" w:lineRule="exact"/>
              <w:rPr>
                <w:rFonts w:hint="eastAsia" w:ascii="宋体" w:hAnsi="宋体" w:eastAsia="宋体" w:cs="宋体"/>
                <w:color w:val="000000"/>
                <w:kern w:val="0"/>
                <w:sz w:val="21"/>
                <w:szCs w:val="24"/>
                <w:lang w:eastAsia="zh-CN"/>
              </w:rPr>
            </w:pPr>
            <w:r>
              <w:rPr>
                <w:rFonts w:hint="eastAsia" w:ascii="宋体" w:hAnsi="宋体" w:eastAsia="宋体" w:cs="宋体"/>
                <w:color w:val="000000"/>
                <w:kern w:val="0"/>
                <w:sz w:val="21"/>
                <w:szCs w:val="24"/>
              </w:rPr>
              <w:t>例如：项目公司设置董事会（X人）、总经理（X人）、财务总监（X人），其中XX由XXX委派</w:t>
            </w:r>
          </w:p>
        </w:tc>
      </w:tr>
    </w:tbl>
    <w:p>
      <w:pPr>
        <w:widowControl/>
        <w:adjustRightInd w:val="0"/>
        <w:snapToGrid w:val="0"/>
        <w:spacing w:beforeLines="0" w:afterLines="0" w:line="560" w:lineRule="exact"/>
        <w:ind w:left="641"/>
        <w:jc w:val="left"/>
        <w:rPr>
          <w:rFonts w:ascii="仿宋" w:hAnsi="仿宋" w:eastAsia="仿宋" w:cs="仿宋"/>
          <w:sz w:val="32"/>
          <w:szCs w:val="32"/>
        </w:rPr>
      </w:pPr>
      <w:r>
        <w:rPr>
          <w:rFonts w:ascii="仿宋" w:hAnsi="仿宋" w:eastAsia="仿宋" w:cs="仿宋"/>
          <w:sz w:val="32"/>
          <w:szCs w:val="32"/>
        </w:rPr>
        <w:br w:type="page"/>
      </w:r>
    </w:p>
    <w:p>
      <w:pPr>
        <w:pStyle w:val="64"/>
        <w:topLinePunct/>
        <w:adjustRightInd w:val="0"/>
        <w:snapToGrid w:val="0"/>
        <w:spacing w:beforeLines="0" w:afterLines="0" w:line="560" w:lineRule="exact"/>
        <w:ind w:firstLine="0" w:firstLineChars="0"/>
        <w:jc w:val="left"/>
        <w:outlineLvl w:val="0"/>
        <w:rPr>
          <w:rFonts w:hint="eastAsia" w:ascii="楷体" w:hAnsi="楷体" w:eastAsia="黑体" w:cs="仿宋"/>
          <w:b w:val="0"/>
          <w:sz w:val="32"/>
          <w:szCs w:val="32"/>
          <w:lang w:eastAsia="zh-CN"/>
        </w:rPr>
      </w:pPr>
      <w:bookmarkStart w:id="263" w:name="_Toc29508"/>
      <w:bookmarkStart w:id="264" w:name="_Toc30692"/>
      <w:bookmarkStart w:id="265" w:name="_Toc21254"/>
      <w:bookmarkStart w:id="266" w:name="_Toc27871"/>
      <w:bookmarkStart w:id="267" w:name="_Toc3355"/>
      <w:bookmarkStart w:id="268" w:name="_Toc203479479"/>
      <w:r>
        <w:rPr>
          <w:rFonts w:hint="eastAsia" w:ascii="楷体" w:hAnsi="楷体" w:eastAsia="黑体" w:cs="仿宋"/>
          <w:b w:val="0"/>
          <w:sz w:val="32"/>
          <w:szCs w:val="32"/>
          <w:lang w:eastAsia="zh-CN"/>
        </w:rPr>
        <w:t>附件8</w:t>
      </w:r>
      <w:bookmarkEnd w:id="263"/>
      <w:bookmarkEnd w:id="264"/>
      <w:bookmarkEnd w:id="265"/>
      <w:bookmarkEnd w:id="266"/>
      <w:bookmarkEnd w:id="267"/>
    </w:p>
    <w:p>
      <w:pPr>
        <w:pStyle w:val="64"/>
        <w:topLinePunct/>
        <w:adjustRightInd w:val="0"/>
        <w:snapToGrid w:val="0"/>
        <w:spacing w:beforeLines="0" w:afterLines="0" w:line="560" w:lineRule="exact"/>
        <w:ind w:firstLine="0" w:firstLineChars="0"/>
        <w:jc w:val="left"/>
        <w:outlineLvl w:val="9"/>
        <w:rPr>
          <w:rFonts w:ascii="楷体" w:hAnsi="楷体" w:eastAsia="黑体" w:cs="仿宋"/>
          <w:b w:val="0"/>
          <w:sz w:val="32"/>
          <w:szCs w:val="32"/>
        </w:rPr>
      </w:pPr>
    </w:p>
    <w:p>
      <w:pPr>
        <w:pStyle w:val="64"/>
        <w:topLinePunct/>
        <w:adjustRightInd w:val="0"/>
        <w:snapToGrid w:val="0"/>
        <w:spacing w:beforeLines="0" w:afterLines="0" w:line="560" w:lineRule="exact"/>
        <w:ind w:firstLine="0" w:firstLineChars="0"/>
        <w:jc w:val="center"/>
        <w:outlineLvl w:val="1"/>
        <w:rPr>
          <w:rFonts w:ascii="楷体" w:hAnsi="楷体" w:eastAsia="方正小标宋简体" w:cs="仿宋"/>
          <w:b w:val="0"/>
          <w:sz w:val="44"/>
          <w:szCs w:val="32"/>
        </w:rPr>
      </w:pPr>
      <w:bookmarkStart w:id="269" w:name="_Toc24287"/>
      <w:bookmarkStart w:id="270" w:name="_Toc30337"/>
      <w:bookmarkStart w:id="271" w:name="_Toc15498"/>
      <w:bookmarkStart w:id="272" w:name="_Toc9598"/>
      <w:bookmarkStart w:id="273" w:name="_Toc29330"/>
      <w:r>
        <w:rPr>
          <w:rFonts w:ascii="楷体" w:hAnsi="楷体" w:eastAsia="方正小标宋简体" w:cs="仿宋"/>
          <w:b w:val="0"/>
          <w:sz w:val="44"/>
          <w:szCs w:val="32"/>
        </w:rPr>
        <w:t>运</w:t>
      </w:r>
      <w:r>
        <w:rPr>
          <w:rFonts w:hint="eastAsia" w:ascii="楷体" w:hAnsi="楷体" w:eastAsia="方正小标宋简体" w:cs="仿宋"/>
          <w:b w:val="0"/>
          <w:sz w:val="44"/>
          <w:szCs w:val="32"/>
        </w:rPr>
        <w:t>营</w:t>
      </w:r>
      <w:r>
        <w:rPr>
          <w:rFonts w:ascii="楷体" w:hAnsi="楷体" w:eastAsia="方正小标宋简体" w:cs="仿宋"/>
          <w:b w:val="0"/>
          <w:sz w:val="44"/>
          <w:szCs w:val="32"/>
        </w:rPr>
        <w:t>管</w:t>
      </w:r>
      <w:r>
        <w:rPr>
          <w:rFonts w:hint="eastAsia" w:ascii="楷体" w:hAnsi="楷体" w:eastAsia="方正小标宋简体" w:cs="仿宋"/>
          <w:b w:val="0"/>
          <w:sz w:val="44"/>
          <w:szCs w:val="32"/>
        </w:rPr>
        <w:t>理</w:t>
      </w:r>
      <w:r>
        <w:rPr>
          <w:rFonts w:ascii="楷体" w:hAnsi="楷体" w:eastAsia="方正小标宋简体" w:cs="仿宋"/>
          <w:b w:val="0"/>
          <w:sz w:val="44"/>
          <w:szCs w:val="32"/>
        </w:rPr>
        <w:t>安排表</w:t>
      </w:r>
      <w:bookmarkEnd w:id="268"/>
      <w:bookmarkEnd w:id="269"/>
      <w:bookmarkEnd w:id="270"/>
      <w:bookmarkEnd w:id="271"/>
      <w:bookmarkEnd w:id="272"/>
      <w:bookmarkEnd w:id="273"/>
    </w:p>
    <w:p>
      <w:pPr>
        <w:tabs>
          <w:tab w:val="left" w:pos="3327"/>
        </w:tabs>
        <w:topLinePunct/>
        <w:adjustRightInd w:val="0"/>
        <w:snapToGrid w:val="0"/>
        <w:spacing w:beforeLines="0" w:afterLines="0" w:line="560" w:lineRule="exact"/>
        <w:ind w:left="641"/>
        <w:rPr>
          <w:rFonts w:hint="eastAsia" w:ascii="仿宋" w:hAnsi="仿宋" w:eastAsia="仿宋" w:cs="仿宋"/>
          <w:sz w:val="32"/>
          <w:szCs w:val="32"/>
        </w:rPr>
      </w:pPr>
    </w:p>
    <w:tbl>
      <w:tblPr>
        <w:tblStyle w:val="26"/>
        <w:tblW w:w="827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2960"/>
        <w:gridCol w:w="531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96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kern w:val="0"/>
                <w:sz w:val="21"/>
                <w:szCs w:val="24"/>
              </w:rPr>
              <w:t>运营</w:t>
            </w:r>
            <w:r>
              <w:rPr>
                <w:rFonts w:hint="eastAsia" w:ascii="宋体" w:hAnsi="宋体" w:eastAsia="宋体" w:cs="宋体"/>
                <w:b/>
                <w:bCs/>
                <w:color w:val="000000"/>
                <w:kern w:val="0"/>
                <w:sz w:val="21"/>
                <w:szCs w:val="24"/>
              </w:rPr>
              <w:t>管理机构名称</w:t>
            </w:r>
          </w:p>
        </w:tc>
        <w:tc>
          <w:tcPr>
            <w:tcW w:w="5312" w:type="dxa"/>
            <w:shd w:val="clear" w:color="auto" w:fill="auto"/>
            <w:vAlign w:val="center"/>
          </w:tcPr>
          <w:p>
            <w:pPr>
              <w:widowControl/>
              <w:adjustRightInd w:val="0"/>
              <w:snapToGrid w:val="0"/>
              <w:spacing w:beforeLines="0" w:afterLines="0" w:line="360" w:lineRule="exact"/>
              <w:rPr>
                <w:rFonts w:hint="eastAsia" w:ascii="宋体" w:hAnsi="宋体" w:eastAsia="宋体" w:cs="宋体"/>
                <w:b/>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96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kern w:val="0"/>
                <w:sz w:val="21"/>
                <w:szCs w:val="24"/>
              </w:rPr>
              <w:t>运营</w:t>
            </w:r>
            <w:r>
              <w:rPr>
                <w:rFonts w:hint="eastAsia" w:ascii="宋体" w:hAnsi="宋体" w:eastAsia="宋体" w:cs="宋体"/>
                <w:b/>
                <w:bCs/>
                <w:color w:val="000000"/>
                <w:kern w:val="0"/>
                <w:sz w:val="21"/>
                <w:szCs w:val="24"/>
              </w:rPr>
              <w:t>管理机构企业性质</w:t>
            </w:r>
          </w:p>
        </w:tc>
        <w:tc>
          <w:tcPr>
            <w:tcW w:w="5312" w:type="dxa"/>
            <w:shd w:val="clear" w:color="auto" w:fill="auto"/>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96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kern w:val="0"/>
                <w:sz w:val="21"/>
                <w:szCs w:val="24"/>
              </w:rPr>
              <w:t>运营</w:t>
            </w:r>
            <w:r>
              <w:rPr>
                <w:rFonts w:hint="eastAsia" w:ascii="宋体" w:hAnsi="宋体" w:eastAsia="宋体" w:cs="宋体"/>
                <w:b/>
                <w:bCs/>
                <w:color w:val="000000"/>
                <w:kern w:val="0"/>
                <w:sz w:val="21"/>
                <w:szCs w:val="24"/>
              </w:rPr>
              <w:t>管理机构控股股东和持股比例</w:t>
            </w:r>
          </w:p>
        </w:tc>
        <w:tc>
          <w:tcPr>
            <w:tcW w:w="5312" w:type="dxa"/>
            <w:shd w:val="clear" w:color="auto" w:fill="auto"/>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控股股东全称，持股比例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96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kern w:val="0"/>
                <w:sz w:val="21"/>
                <w:szCs w:val="24"/>
              </w:rPr>
              <w:t>运营</w:t>
            </w:r>
            <w:r>
              <w:rPr>
                <w:rFonts w:hint="eastAsia" w:ascii="宋体" w:hAnsi="宋体" w:eastAsia="宋体" w:cs="宋体"/>
                <w:b/>
                <w:bCs/>
                <w:color w:val="000000"/>
                <w:kern w:val="0"/>
                <w:sz w:val="21"/>
                <w:szCs w:val="24"/>
              </w:rPr>
              <w:t>管理机构实际控制人</w:t>
            </w:r>
          </w:p>
        </w:tc>
        <w:tc>
          <w:tcPr>
            <w:tcW w:w="5312" w:type="dxa"/>
            <w:shd w:val="clear" w:color="auto" w:fill="auto"/>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96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kern w:val="0"/>
                <w:sz w:val="21"/>
                <w:szCs w:val="24"/>
              </w:rPr>
              <w:t>运营</w:t>
            </w:r>
            <w:r>
              <w:rPr>
                <w:rFonts w:hint="eastAsia" w:ascii="宋体" w:hAnsi="宋体" w:eastAsia="宋体" w:cs="宋体"/>
                <w:b/>
                <w:bCs/>
                <w:color w:val="000000"/>
                <w:kern w:val="0"/>
                <w:sz w:val="21"/>
                <w:szCs w:val="24"/>
              </w:rPr>
              <w:t>管理机构所属行业</w:t>
            </w:r>
          </w:p>
        </w:tc>
        <w:tc>
          <w:tcPr>
            <w:tcW w:w="5312" w:type="dxa"/>
            <w:shd w:val="clear" w:color="auto" w:fill="auto"/>
          </w:tcPr>
          <w:p>
            <w:pPr>
              <w:widowControl/>
              <w:adjustRightInd w:val="0"/>
              <w:snapToGrid w:val="0"/>
              <w:spacing w:beforeLines="0" w:afterLines="0" w:line="360" w:lineRule="exact"/>
              <w:ind w:right="-45"/>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96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kern w:val="0"/>
                <w:sz w:val="21"/>
                <w:szCs w:val="24"/>
              </w:rPr>
              <w:t>运营</w:t>
            </w:r>
            <w:r>
              <w:rPr>
                <w:rFonts w:hint="eastAsia" w:ascii="宋体" w:hAnsi="宋体" w:eastAsia="宋体" w:cs="宋体"/>
                <w:b/>
                <w:bCs/>
                <w:color w:val="000000"/>
                <w:kern w:val="0"/>
                <w:sz w:val="21"/>
                <w:szCs w:val="24"/>
              </w:rPr>
              <w:t>管理机构主营业务</w:t>
            </w:r>
          </w:p>
        </w:tc>
        <w:tc>
          <w:tcPr>
            <w:tcW w:w="5312" w:type="dxa"/>
            <w:shd w:val="clear" w:color="auto" w:fill="auto"/>
          </w:tcPr>
          <w:p>
            <w:pPr>
              <w:widowControl/>
              <w:adjustRightInd w:val="0"/>
              <w:snapToGrid w:val="0"/>
              <w:spacing w:beforeLines="0" w:afterLines="0" w:line="360" w:lineRule="exact"/>
              <w:ind w:right="-45"/>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主营业务、收入占比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96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不动产项目管理经验</w:t>
            </w:r>
          </w:p>
        </w:tc>
        <w:tc>
          <w:tcPr>
            <w:tcW w:w="5312" w:type="dxa"/>
            <w:shd w:val="clear" w:color="auto" w:fill="auto"/>
          </w:tcPr>
          <w:p>
            <w:pPr>
              <w:widowControl/>
              <w:adjustRightInd w:val="0"/>
              <w:snapToGrid w:val="0"/>
              <w:spacing w:beforeLines="0" w:afterLines="0" w:line="360" w:lineRule="exact"/>
              <w:ind w:right="-45"/>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960" w:type="dxa"/>
            <w:shd w:val="clear" w:color="auto" w:fill="auto"/>
            <w:vAlign w:val="center"/>
          </w:tcPr>
          <w:p>
            <w:pPr>
              <w:topLinePunct/>
              <w:adjustRightInd w:val="0"/>
              <w:snapToGrid w:val="0"/>
              <w:spacing w:beforeLines="0" w:afterLines="0" w:line="360" w:lineRule="exact"/>
              <w:jc w:val="left"/>
              <w:rPr>
                <w:rFonts w:hint="eastAsia" w:ascii="宋体" w:hAnsi="宋体" w:eastAsia="宋体" w:cs="宋体"/>
                <w:b/>
                <w:bCs/>
                <w:sz w:val="21"/>
                <w:szCs w:val="24"/>
              </w:rPr>
            </w:pPr>
            <w:r>
              <w:rPr>
                <w:rFonts w:hint="eastAsia" w:ascii="宋体" w:hAnsi="宋体" w:eastAsia="宋体" w:cs="宋体"/>
                <w:b/>
                <w:bCs/>
                <w:sz w:val="21"/>
                <w:szCs w:val="24"/>
              </w:rPr>
              <w:t>运管管理安排</w:t>
            </w:r>
          </w:p>
        </w:tc>
        <w:tc>
          <w:tcPr>
            <w:tcW w:w="5312" w:type="dxa"/>
            <w:shd w:val="clear" w:color="auto" w:fill="auto"/>
            <w:vAlign w:val="center"/>
          </w:tcPr>
          <w:p>
            <w:pPr>
              <w:topLinePunct/>
              <w:adjustRightInd w:val="0"/>
              <w:snapToGrid w:val="0"/>
              <w:spacing w:beforeLines="0" w:afterLines="0" w:line="360" w:lineRule="exact"/>
              <w:jc w:val="left"/>
              <w:rPr>
                <w:rFonts w:hint="eastAsia" w:ascii="宋体" w:hAnsi="宋体" w:eastAsia="宋体" w:cs="宋体"/>
                <w:sz w:val="21"/>
                <w:szCs w:val="24"/>
              </w:rPr>
            </w:pPr>
            <w:r>
              <w:rPr>
                <w:rFonts w:hint="eastAsia" w:ascii="宋体" w:hAnsi="宋体" w:eastAsia="宋体" w:cs="宋体"/>
                <w:sz w:val="21"/>
                <w:szCs w:val="24"/>
              </w:rPr>
              <w:t>运管管理协议、运管机制等主要核心安排，是否影响资产持续运营稳定等情况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960" w:type="dxa"/>
            <w:shd w:val="clear" w:color="auto" w:fill="auto"/>
            <w:vAlign w:val="center"/>
          </w:tcPr>
          <w:p>
            <w:pPr>
              <w:topLinePunct/>
              <w:adjustRightInd w:val="0"/>
              <w:snapToGrid w:val="0"/>
              <w:spacing w:beforeLines="0" w:afterLines="0" w:line="360" w:lineRule="exact"/>
              <w:jc w:val="left"/>
              <w:rPr>
                <w:rFonts w:hint="eastAsia" w:ascii="宋体" w:hAnsi="宋体" w:eastAsia="宋体" w:cs="宋体"/>
                <w:b/>
                <w:bCs/>
                <w:sz w:val="21"/>
                <w:szCs w:val="24"/>
              </w:rPr>
            </w:pPr>
            <w:r>
              <w:rPr>
                <w:rFonts w:hint="eastAsia" w:ascii="宋体" w:hAnsi="宋体" w:eastAsia="宋体" w:cs="宋体"/>
                <w:b/>
                <w:bCs/>
                <w:sz w:val="21"/>
                <w:szCs w:val="24"/>
              </w:rPr>
              <w:t>运营管理决策流程</w:t>
            </w:r>
          </w:p>
        </w:tc>
        <w:tc>
          <w:tcPr>
            <w:tcW w:w="5312" w:type="dxa"/>
            <w:shd w:val="clear" w:color="auto" w:fill="auto"/>
            <w:vAlign w:val="center"/>
          </w:tcPr>
          <w:p>
            <w:pPr>
              <w:topLinePunct/>
              <w:adjustRightInd w:val="0"/>
              <w:snapToGrid w:val="0"/>
              <w:spacing w:beforeLines="0" w:afterLines="0" w:line="360" w:lineRule="exact"/>
              <w:jc w:val="left"/>
              <w:rPr>
                <w:rFonts w:hint="eastAsia" w:ascii="宋体" w:hAnsi="宋体" w:eastAsia="宋体" w:cs="宋体"/>
                <w:sz w:val="21"/>
                <w:szCs w:val="24"/>
              </w:rPr>
            </w:pPr>
            <w:r>
              <w:rPr>
                <w:rFonts w:hint="eastAsia" w:ascii="宋体" w:hAnsi="宋体" w:eastAsia="宋体" w:cs="宋体"/>
                <w:sz w:val="21"/>
                <w:szCs w:val="24"/>
              </w:rPr>
              <w:t>运营管理机构、基金管理人、持有人大会等对关键事项的决策流程机制</w:t>
            </w:r>
          </w:p>
        </w:tc>
      </w:tr>
    </w:tbl>
    <w:p>
      <w:pPr>
        <w:widowControl/>
        <w:adjustRightInd w:val="0"/>
        <w:snapToGrid w:val="0"/>
        <w:spacing w:beforeLines="0" w:afterLines="0" w:line="560" w:lineRule="exact"/>
        <w:ind w:left="641"/>
        <w:jc w:val="left"/>
        <w:rPr>
          <w:rFonts w:ascii="仿宋" w:hAnsi="仿宋" w:eastAsia="仿宋" w:cs="仿宋"/>
          <w:sz w:val="32"/>
          <w:szCs w:val="32"/>
        </w:rPr>
      </w:pPr>
      <w:r>
        <w:rPr>
          <w:rFonts w:ascii="仿宋" w:hAnsi="仿宋" w:eastAsia="仿宋" w:cs="仿宋"/>
          <w:sz w:val="32"/>
          <w:szCs w:val="32"/>
        </w:rPr>
        <w:br w:type="page"/>
      </w:r>
    </w:p>
    <w:p>
      <w:pPr>
        <w:pStyle w:val="64"/>
        <w:topLinePunct/>
        <w:adjustRightInd w:val="0"/>
        <w:snapToGrid w:val="0"/>
        <w:spacing w:beforeLines="0" w:afterLines="0" w:line="560" w:lineRule="exact"/>
        <w:ind w:firstLine="0" w:firstLineChars="0"/>
        <w:jc w:val="left"/>
        <w:outlineLvl w:val="0"/>
        <w:rPr>
          <w:rFonts w:hint="eastAsia" w:ascii="楷体" w:hAnsi="楷体" w:eastAsia="黑体" w:cs="仿宋"/>
          <w:b w:val="0"/>
          <w:sz w:val="32"/>
          <w:szCs w:val="32"/>
          <w:lang w:eastAsia="zh-CN"/>
        </w:rPr>
      </w:pPr>
      <w:bookmarkStart w:id="274" w:name="_Toc3478"/>
      <w:bookmarkStart w:id="275" w:name="_Toc20666"/>
      <w:bookmarkStart w:id="276" w:name="_Toc8051"/>
      <w:bookmarkStart w:id="277" w:name="_Toc21025"/>
      <w:bookmarkStart w:id="278" w:name="_Toc32657"/>
      <w:bookmarkStart w:id="279" w:name="_Toc203479480"/>
      <w:bookmarkStart w:id="280" w:name="_Toc15142"/>
      <w:r>
        <w:rPr>
          <w:rFonts w:hint="eastAsia" w:ascii="楷体" w:hAnsi="楷体" w:eastAsia="黑体" w:cs="仿宋"/>
          <w:b w:val="0"/>
          <w:sz w:val="32"/>
          <w:szCs w:val="32"/>
          <w:lang w:eastAsia="zh-CN"/>
        </w:rPr>
        <w:t>附件9</w:t>
      </w:r>
      <w:bookmarkEnd w:id="274"/>
      <w:bookmarkEnd w:id="275"/>
      <w:bookmarkEnd w:id="276"/>
      <w:bookmarkEnd w:id="277"/>
      <w:bookmarkEnd w:id="278"/>
    </w:p>
    <w:p>
      <w:pPr>
        <w:pStyle w:val="64"/>
        <w:topLinePunct/>
        <w:adjustRightInd w:val="0"/>
        <w:snapToGrid w:val="0"/>
        <w:spacing w:beforeLines="0" w:afterLines="0" w:line="560" w:lineRule="exact"/>
        <w:ind w:firstLine="0" w:firstLineChars="0"/>
        <w:jc w:val="left"/>
        <w:outlineLvl w:val="9"/>
        <w:rPr>
          <w:rFonts w:ascii="楷体" w:hAnsi="楷体" w:eastAsia="黑体" w:cs="仿宋"/>
          <w:b w:val="0"/>
          <w:sz w:val="32"/>
          <w:szCs w:val="32"/>
        </w:rPr>
      </w:pPr>
    </w:p>
    <w:p>
      <w:pPr>
        <w:pStyle w:val="64"/>
        <w:adjustRightInd w:val="0"/>
        <w:snapToGrid w:val="0"/>
        <w:spacing w:beforeLines="0" w:afterLines="0" w:line="560" w:lineRule="exact"/>
        <w:ind w:firstLine="0" w:firstLineChars="0"/>
        <w:jc w:val="center"/>
        <w:outlineLvl w:val="1"/>
        <w:rPr>
          <w:rFonts w:ascii="楷体" w:hAnsi="楷体" w:eastAsia="楷体" w:cs="仿宋"/>
          <w:b/>
          <w:sz w:val="32"/>
          <w:szCs w:val="32"/>
        </w:rPr>
      </w:pPr>
      <w:bookmarkStart w:id="281" w:name="_Toc27404"/>
      <w:bookmarkStart w:id="282" w:name="_Toc2201"/>
      <w:bookmarkStart w:id="283" w:name="_Toc21867"/>
      <w:bookmarkStart w:id="284" w:name="_Toc1406"/>
      <w:bookmarkStart w:id="285" w:name="_Toc3094"/>
      <w:r>
        <w:rPr>
          <w:rFonts w:ascii="楷体" w:hAnsi="楷体" w:eastAsia="方正小标宋简体" w:cs="仿宋"/>
          <w:b w:val="0"/>
          <w:sz w:val="44"/>
          <w:szCs w:val="32"/>
        </w:rPr>
        <w:t>运营</w:t>
      </w:r>
      <w:r>
        <w:rPr>
          <w:rFonts w:hint="eastAsia" w:ascii="楷体" w:hAnsi="楷体" w:eastAsia="方正小标宋简体" w:cs="仿宋"/>
          <w:b w:val="0"/>
          <w:sz w:val="44"/>
          <w:szCs w:val="32"/>
        </w:rPr>
        <w:t>管理</w:t>
      </w:r>
      <w:r>
        <w:rPr>
          <w:rFonts w:ascii="楷体" w:hAnsi="楷体" w:eastAsia="方正小标宋简体" w:cs="仿宋"/>
          <w:b w:val="0"/>
          <w:sz w:val="44"/>
          <w:szCs w:val="32"/>
        </w:rPr>
        <w:t>费用表</w:t>
      </w:r>
      <w:bookmarkEnd w:id="279"/>
      <w:bookmarkEnd w:id="280"/>
      <w:bookmarkEnd w:id="281"/>
      <w:bookmarkEnd w:id="282"/>
      <w:bookmarkEnd w:id="283"/>
      <w:bookmarkEnd w:id="284"/>
      <w:bookmarkEnd w:id="285"/>
    </w:p>
    <w:p>
      <w:pPr>
        <w:adjustRightInd w:val="0"/>
        <w:snapToGrid w:val="0"/>
        <w:spacing w:beforeLines="0" w:afterLines="0" w:line="560" w:lineRule="exact"/>
        <w:ind w:left="0" w:firstLine="0"/>
        <w:rPr>
          <w:rFonts w:hint="eastAsia" w:ascii="仿宋" w:hAnsi="仿宋" w:eastAsia="仿宋" w:cs="仿宋"/>
          <w:sz w:val="32"/>
          <w:szCs w:val="32"/>
        </w:rPr>
      </w:pPr>
    </w:p>
    <w:tbl>
      <w:tblPr>
        <w:tblStyle w:val="26"/>
        <w:tblW w:w="5542"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698"/>
        <w:gridCol w:w="3402"/>
        <w:gridCol w:w="2167"/>
        <w:gridCol w:w="277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1698" w:type="dxa"/>
            <w:shd w:val="clear" w:color="auto" w:fill="auto"/>
            <w:vAlign w:val="center"/>
          </w:tcPr>
          <w:p>
            <w:pPr>
              <w:topLinePunct/>
              <w:adjustRightInd w:val="0"/>
              <w:snapToGrid w:val="0"/>
              <w:spacing w:beforeLines="0" w:afterLines="0" w:line="360" w:lineRule="exact"/>
              <w:jc w:val="center"/>
              <w:rPr>
                <w:rFonts w:hint="eastAsia" w:ascii="宋体" w:hAnsi="宋体" w:eastAsia="宋体" w:cs="宋体"/>
                <w:b/>
                <w:bCs/>
                <w:kern w:val="0"/>
                <w:sz w:val="21"/>
                <w:szCs w:val="24"/>
              </w:rPr>
            </w:pPr>
            <w:r>
              <w:rPr>
                <w:rFonts w:hint="eastAsia" w:ascii="宋体" w:hAnsi="宋体" w:eastAsia="宋体" w:cs="宋体"/>
                <w:b/>
                <w:bCs/>
                <w:kern w:val="0"/>
                <w:sz w:val="21"/>
                <w:szCs w:val="24"/>
              </w:rPr>
              <w:t>运营管理费用</w:t>
            </w:r>
          </w:p>
        </w:tc>
        <w:tc>
          <w:tcPr>
            <w:tcW w:w="3402" w:type="dxa"/>
            <w:shd w:val="clear" w:color="auto" w:fill="auto"/>
            <w:vAlign w:val="center"/>
          </w:tcPr>
          <w:p>
            <w:pPr>
              <w:topLinePunct/>
              <w:adjustRightInd w:val="0"/>
              <w:snapToGrid w:val="0"/>
              <w:spacing w:beforeLines="0" w:afterLines="0" w:line="360" w:lineRule="exact"/>
              <w:jc w:val="center"/>
              <w:rPr>
                <w:rFonts w:hint="eastAsia" w:ascii="宋体" w:hAnsi="宋体" w:eastAsia="宋体" w:cs="宋体"/>
                <w:b/>
                <w:bCs/>
                <w:kern w:val="0"/>
                <w:sz w:val="21"/>
                <w:szCs w:val="24"/>
              </w:rPr>
            </w:pPr>
            <w:r>
              <w:rPr>
                <w:rFonts w:hint="eastAsia" w:ascii="宋体" w:hAnsi="宋体" w:eastAsia="宋体" w:cs="宋体"/>
                <w:b/>
                <w:bCs/>
                <w:kern w:val="0"/>
                <w:sz w:val="21"/>
                <w:szCs w:val="24"/>
              </w:rPr>
              <w:t>计费基础</w:t>
            </w:r>
          </w:p>
        </w:tc>
        <w:tc>
          <w:tcPr>
            <w:tcW w:w="2167" w:type="dxa"/>
            <w:shd w:val="clear" w:color="auto" w:fill="auto"/>
            <w:vAlign w:val="center"/>
          </w:tcPr>
          <w:p>
            <w:pPr>
              <w:topLinePunct/>
              <w:adjustRightInd w:val="0"/>
              <w:snapToGrid w:val="0"/>
              <w:spacing w:beforeLines="0" w:afterLines="0" w:line="360" w:lineRule="exact"/>
              <w:jc w:val="center"/>
              <w:rPr>
                <w:rFonts w:hint="eastAsia" w:ascii="宋体" w:hAnsi="宋体" w:eastAsia="宋体" w:cs="宋体"/>
                <w:b/>
                <w:bCs/>
                <w:kern w:val="0"/>
                <w:sz w:val="21"/>
                <w:szCs w:val="24"/>
              </w:rPr>
            </w:pPr>
            <w:r>
              <w:rPr>
                <w:rFonts w:hint="eastAsia" w:ascii="宋体" w:hAnsi="宋体" w:eastAsia="宋体" w:cs="宋体"/>
                <w:b/>
                <w:bCs/>
                <w:sz w:val="21"/>
                <w:szCs w:val="24"/>
              </w:rPr>
              <w:t>具体</w:t>
            </w:r>
            <w:r>
              <w:rPr>
                <w:rFonts w:hint="eastAsia" w:ascii="宋体" w:hAnsi="宋体" w:eastAsia="宋体" w:cs="宋体"/>
                <w:b/>
                <w:bCs/>
                <w:kern w:val="0"/>
                <w:sz w:val="21"/>
                <w:szCs w:val="24"/>
              </w:rPr>
              <w:t>计算</w:t>
            </w:r>
            <w:r>
              <w:rPr>
                <w:rFonts w:hint="eastAsia" w:ascii="宋体" w:hAnsi="宋体" w:eastAsia="宋体" w:cs="宋体"/>
                <w:b/>
                <w:bCs/>
                <w:sz w:val="21"/>
                <w:szCs w:val="24"/>
              </w:rPr>
              <w:t>方式</w:t>
            </w:r>
          </w:p>
        </w:tc>
        <w:tc>
          <w:tcPr>
            <w:tcW w:w="2777" w:type="dxa"/>
            <w:shd w:val="clear" w:color="auto" w:fill="auto"/>
          </w:tcPr>
          <w:p>
            <w:pPr>
              <w:topLinePunct/>
              <w:adjustRightInd w:val="0"/>
              <w:snapToGrid w:val="0"/>
              <w:spacing w:beforeLines="0" w:afterLines="0" w:line="360" w:lineRule="exact"/>
              <w:jc w:val="center"/>
              <w:rPr>
                <w:rFonts w:hint="eastAsia" w:ascii="宋体" w:hAnsi="宋体" w:eastAsia="宋体" w:cs="宋体"/>
                <w:b/>
                <w:bCs/>
                <w:sz w:val="21"/>
                <w:szCs w:val="24"/>
              </w:rPr>
            </w:pPr>
            <w:r>
              <w:rPr>
                <w:rFonts w:hint="eastAsia" w:ascii="宋体" w:hAnsi="宋体" w:eastAsia="宋体" w:cs="宋体"/>
                <w:b/>
                <w:bCs/>
                <w:sz w:val="21"/>
                <w:szCs w:val="24"/>
              </w:rPr>
              <w:t>与本项目历史收取情况以及同行业可比项目的对比情况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1698" w:type="dxa"/>
            <w:vMerge w:val="restart"/>
            <w:shd w:val="clear" w:color="auto" w:fill="auto"/>
            <w:vAlign w:val="center"/>
          </w:tcPr>
          <w:p>
            <w:pPr>
              <w:topLinePunct/>
              <w:adjustRightInd w:val="0"/>
              <w:snapToGrid w:val="0"/>
              <w:spacing w:beforeLines="0" w:afterLines="0" w:line="360" w:lineRule="exact"/>
              <w:jc w:val="center"/>
              <w:rPr>
                <w:rFonts w:hint="eastAsia" w:ascii="宋体" w:hAnsi="宋体" w:eastAsia="宋体" w:cs="宋体"/>
                <w:b/>
                <w:bCs/>
                <w:sz w:val="21"/>
                <w:szCs w:val="24"/>
              </w:rPr>
            </w:pPr>
            <w:r>
              <w:rPr>
                <w:rFonts w:hint="eastAsia" w:ascii="宋体" w:hAnsi="宋体" w:eastAsia="宋体" w:cs="宋体"/>
                <w:b/>
                <w:bCs/>
                <w:sz w:val="21"/>
                <w:szCs w:val="24"/>
              </w:rPr>
              <w:t>基础管理费</w:t>
            </w:r>
          </w:p>
        </w:tc>
        <w:tc>
          <w:tcPr>
            <w:tcW w:w="3402" w:type="dxa"/>
            <w:shd w:val="clear" w:color="auto" w:fill="auto"/>
            <w:vAlign w:val="center"/>
          </w:tcPr>
          <w:p>
            <w:pPr>
              <w:topLinePunct/>
              <w:adjustRightInd w:val="0"/>
              <w:snapToGrid w:val="0"/>
              <w:spacing w:beforeLines="0" w:afterLines="0" w:line="360" w:lineRule="exact"/>
              <w:jc w:val="center"/>
              <w:rPr>
                <w:rFonts w:hint="eastAsia" w:ascii="宋体" w:hAnsi="宋体" w:eastAsia="宋体" w:cs="宋体"/>
                <w:sz w:val="21"/>
                <w:szCs w:val="24"/>
              </w:rPr>
            </w:pPr>
            <w:r>
              <w:rPr>
                <w:rFonts w:hint="eastAsia" w:ascii="宋体" w:hAnsi="宋体" w:eastAsia="宋体" w:cs="宋体"/>
                <w:sz w:val="21"/>
                <w:szCs w:val="24"/>
              </w:rPr>
              <w:t>项目运营指标（包括运营收入、NOI、EBITDA等）</w:t>
            </w:r>
          </w:p>
        </w:tc>
        <w:tc>
          <w:tcPr>
            <w:tcW w:w="2167" w:type="dxa"/>
            <w:shd w:val="clear" w:color="auto" w:fill="auto"/>
            <w:vAlign w:val="center"/>
          </w:tcPr>
          <w:p>
            <w:pPr>
              <w:topLinePunct/>
              <w:adjustRightInd w:val="0"/>
              <w:snapToGrid w:val="0"/>
              <w:spacing w:beforeLines="0" w:afterLines="0" w:line="360" w:lineRule="exact"/>
              <w:jc w:val="center"/>
              <w:rPr>
                <w:rFonts w:hint="eastAsia" w:ascii="宋体" w:hAnsi="宋体" w:eastAsia="宋体" w:cs="宋体"/>
                <w:sz w:val="21"/>
                <w:szCs w:val="24"/>
              </w:rPr>
            </w:pPr>
          </w:p>
        </w:tc>
        <w:tc>
          <w:tcPr>
            <w:tcW w:w="2777" w:type="dxa"/>
            <w:shd w:val="clear" w:color="auto" w:fill="auto"/>
          </w:tcPr>
          <w:p>
            <w:pPr>
              <w:topLinePunct/>
              <w:adjustRightInd w:val="0"/>
              <w:snapToGrid w:val="0"/>
              <w:spacing w:beforeLines="0" w:afterLines="0" w:line="360" w:lineRule="exact"/>
              <w:jc w:val="center"/>
              <w:rPr>
                <w:rFonts w:hint="eastAsia" w:ascii="宋体" w:hAnsi="宋体" w:eastAsia="宋体" w:cs="宋体"/>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284" w:hRule="atLeast"/>
          <w:jc w:val="center"/>
        </w:trPr>
        <w:tc>
          <w:tcPr>
            <w:tcW w:w="1698" w:type="dxa"/>
            <w:vMerge w:val="continue"/>
            <w:shd w:val="clear" w:color="auto" w:fill="auto"/>
            <w:vAlign w:val="center"/>
          </w:tcPr>
          <w:p>
            <w:pPr>
              <w:topLinePunct/>
              <w:adjustRightInd w:val="0"/>
              <w:snapToGrid w:val="0"/>
              <w:spacing w:beforeLines="0" w:afterLines="0" w:line="360" w:lineRule="exact"/>
              <w:jc w:val="center"/>
              <w:rPr>
                <w:rFonts w:hint="eastAsia" w:ascii="宋体" w:hAnsi="宋体" w:eastAsia="宋体" w:cs="宋体"/>
                <w:b/>
                <w:bCs/>
                <w:sz w:val="21"/>
                <w:szCs w:val="24"/>
              </w:rPr>
            </w:pPr>
          </w:p>
        </w:tc>
        <w:tc>
          <w:tcPr>
            <w:tcW w:w="3402" w:type="dxa"/>
            <w:shd w:val="clear" w:color="auto" w:fill="auto"/>
            <w:vAlign w:val="center"/>
          </w:tcPr>
          <w:p>
            <w:pPr>
              <w:topLinePunct/>
              <w:adjustRightInd w:val="0"/>
              <w:snapToGrid w:val="0"/>
              <w:spacing w:beforeLines="0" w:afterLines="0" w:line="360" w:lineRule="exact"/>
              <w:jc w:val="center"/>
              <w:rPr>
                <w:rFonts w:hint="eastAsia" w:ascii="宋体" w:hAnsi="宋体" w:eastAsia="宋体" w:cs="宋体"/>
                <w:sz w:val="21"/>
                <w:szCs w:val="24"/>
              </w:rPr>
            </w:pPr>
            <w:r>
              <w:rPr>
                <w:rFonts w:hint="eastAsia" w:ascii="宋体" w:hAnsi="宋体" w:eastAsia="宋体" w:cs="宋体"/>
                <w:sz w:val="21"/>
                <w:szCs w:val="24"/>
              </w:rPr>
              <w:t>付现成本</w:t>
            </w:r>
          </w:p>
        </w:tc>
        <w:tc>
          <w:tcPr>
            <w:tcW w:w="2167" w:type="dxa"/>
            <w:shd w:val="clear" w:color="auto" w:fill="auto"/>
            <w:vAlign w:val="center"/>
          </w:tcPr>
          <w:p>
            <w:pPr>
              <w:topLinePunct/>
              <w:adjustRightInd w:val="0"/>
              <w:snapToGrid w:val="0"/>
              <w:spacing w:beforeLines="0" w:afterLines="0" w:line="360" w:lineRule="exact"/>
              <w:jc w:val="center"/>
              <w:rPr>
                <w:rFonts w:hint="eastAsia" w:ascii="宋体" w:hAnsi="宋体" w:eastAsia="宋体" w:cs="宋体"/>
                <w:sz w:val="21"/>
                <w:szCs w:val="24"/>
              </w:rPr>
            </w:pPr>
          </w:p>
        </w:tc>
        <w:tc>
          <w:tcPr>
            <w:tcW w:w="2777" w:type="dxa"/>
            <w:shd w:val="clear" w:color="auto" w:fill="auto"/>
          </w:tcPr>
          <w:p>
            <w:pPr>
              <w:topLinePunct/>
              <w:adjustRightInd w:val="0"/>
              <w:snapToGrid w:val="0"/>
              <w:spacing w:beforeLines="0" w:afterLines="0" w:line="360" w:lineRule="exact"/>
              <w:jc w:val="center"/>
              <w:rPr>
                <w:rFonts w:hint="eastAsia" w:ascii="宋体" w:hAnsi="宋体" w:eastAsia="宋体" w:cs="宋体"/>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1698" w:type="dxa"/>
            <w:vMerge w:val="continue"/>
            <w:shd w:val="clear" w:color="auto" w:fill="auto"/>
            <w:vAlign w:val="center"/>
          </w:tcPr>
          <w:p>
            <w:pPr>
              <w:topLinePunct/>
              <w:adjustRightInd w:val="0"/>
              <w:snapToGrid w:val="0"/>
              <w:spacing w:beforeLines="0" w:afterLines="0" w:line="360" w:lineRule="exact"/>
              <w:jc w:val="center"/>
              <w:rPr>
                <w:rFonts w:hint="eastAsia" w:ascii="宋体" w:hAnsi="宋体" w:eastAsia="宋体" w:cs="宋体"/>
                <w:b/>
                <w:bCs/>
                <w:sz w:val="21"/>
                <w:szCs w:val="24"/>
              </w:rPr>
            </w:pPr>
          </w:p>
        </w:tc>
        <w:tc>
          <w:tcPr>
            <w:tcW w:w="3402" w:type="dxa"/>
            <w:shd w:val="clear" w:color="auto" w:fill="auto"/>
            <w:vAlign w:val="center"/>
          </w:tcPr>
          <w:p>
            <w:pPr>
              <w:topLinePunct/>
              <w:adjustRightInd w:val="0"/>
              <w:snapToGrid w:val="0"/>
              <w:spacing w:beforeLines="0" w:afterLines="0" w:line="360" w:lineRule="exact"/>
              <w:jc w:val="center"/>
              <w:rPr>
                <w:rFonts w:hint="eastAsia" w:ascii="宋体" w:hAnsi="宋体" w:eastAsia="宋体" w:cs="宋体"/>
                <w:sz w:val="21"/>
                <w:szCs w:val="24"/>
              </w:rPr>
            </w:pPr>
            <w:r>
              <w:rPr>
                <w:rFonts w:hint="eastAsia" w:ascii="宋体" w:hAnsi="宋体" w:eastAsia="宋体" w:cs="宋体"/>
                <w:sz w:val="21"/>
                <w:szCs w:val="24"/>
              </w:rPr>
              <w:t>其他（请具体说明，例如基金净资产、基金募集规模等）</w:t>
            </w:r>
          </w:p>
        </w:tc>
        <w:tc>
          <w:tcPr>
            <w:tcW w:w="2167" w:type="dxa"/>
            <w:shd w:val="clear" w:color="auto" w:fill="auto"/>
            <w:vAlign w:val="center"/>
          </w:tcPr>
          <w:p>
            <w:pPr>
              <w:topLinePunct/>
              <w:adjustRightInd w:val="0"/>
              <w:snapToGrid w:val="0"/>
              <w:spacing w:beforeLines="0" w:afterLines="0" w:line="360" w:lineRule="exact"/>
              <w:jc w:val="center"/>
              <w:rPr>
                <w:rFonts w:hint="eastAsia" w:ascii="宋体" w:hAnsi="宋体" w:eastAsia="宋体" w:cs="宋体"/>
                <w:sz w:val="21"/>
                <w:szCs w:val="24"/>
              </w:rPr>
            </w:pPr>
          </w:p>
        </w:tc>
        <w:tc>
          <w:tcPr>
            <w:tcW w:w="2777" w:type="dxa"/>
            <w:shd w:val="clear" w:color="auto" w:fill="auto"/>
          </w:tcPr>
          <w:p>
            <w:pPr>
              <w:topLinePunct/>
              <w:adjustRightInd w:val="0"/>
              <w:snapToGrid w:val="0"/>
              <w:spacing w:beforeLines="0" w:afterLines="0" w:line="360" w:lineRule="exact"/>
              <w:jc w:val="center"/>
              <w:rPr>
                <w:rFonts w:hint="eastAsia" w:ascii="宋体" w:hAnsi="宋体" w:eastAsia="宋体" w:cs="宋体"/>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1698" w:type="dxa"/>
            <w:vMerge w:val="restart"/>
            <w:shd w:val="clear" w:color="auto" w:fill="auto"/>
            <w:vAlign w:val="center"/>
          </w:tcPr>
          <w:p>
            <w:pPr>
              <w:topLinePunct/>
              <w:adjustRightInd w:val="0"/>
              <w:snapToGrid w:val="0"/>
              <w:spacing w:beforeLines="0" w:afterLines="0" w:line="360" w:lineRule="exact"/>
              <w:jc w:val="center"/>
              <w:rPr>
                <w:rFonts w:hint="eastAsia" w:ascii="宋体" w:hAnsi="宋体" w:eastAsia="宋体" w:cs="宋体"/>
                <w:b/>
                <w:bCs/>
                <w:sz w:val="21"/>
                <w:szCs w:val="24"/>
              </w:rPr>
            </w:pPr>
            <w:r>
              <w:rPr>
                <w:rFonts w:hint="eastAsia" w:ascii="宋体" w:hAnsi="宋体" w:eastAsia="宋体" w:cs="宋体"/>
                <w:b/>
                <w:bCs/>
                <w:sz w:val="21"/>
                <w:szCs w:val="24"/>
              </w:rPr>
              <w:t>浮动管理费</w:t>
            </w:r>
          </w:p>
        </w:tc>
        <w:tc>
          <w:tcPr>
            <w:tcW w:w="3402" w:type="dxa"/>
            <w:shd w:val="clear" w:color="auto" w:fill="auto"/>
            <w:vAlign w:val="center"/>
          </w:tcPr>
          <w:p>
            <w:pPr>
              <w:topLinePunct/>
              <w:adjustRightInd w:val="0"/>
              <w:snapToGrid w:val="0"/>
              <w:spacing w:beforeLines="0" w:afterLines="0" w:line="360" w:lineRule="exact"/>
              <w:jc w:val="center"/>
              <w:rPr>
                <w:rFonts w:hint="eastAsia" w:ascii="宋体" w:hAnsi="宋体" w:eastAsia="宋体" w:cs="宋体"/>
                <w:sz w:val="21"/>
                <w:szCs w:val="24"/>
              </w:rPr>
            </w:pPr>
            <w:r>
              <w:rPr>
                <w:rFonts w:hint="eastAsia" w:ascii="宋体" w:hAnsi="宋体" w:eastAsia="宋体" w:cs="宋体"/>
                <w:sz w:val="21"/>
                <w:szCs w:val="24"/>
              </w:rPr>
              <w:t>项目运营指标（包括运营收入、NOI、EBITDA等）</w:t>
            </w:r>
          </w:p>
        </w:tc>
        <w:tc>
          <w:tcPr>
            <w:tcW w:w="2167" w:type="dxa"/>
            <w:shd w:val="clear" w:color="auto" w:fill="auto"/>
            <w:vAlign w:val="center"/>
          </w:tcPr>
          <w:p>
            <w:pPr>
              <w:topLinePunct/>
              <w:adjustRightInd w:val="0"/>
              <w:snapToGrid w:val="0"/>
              <w:spacing w:beforeLines="0" w:afterLines="0" w:line="360" w:lineRule="exact"/>
              <w:jc w:val="center"/>
              <w:rPr>
                <w:rFonts w:hint="eastAsia" w:ascii="宋体" w:hAnsi="宋体" w:eastAsia="宋体" w:cs="宋体"/>
                <w:sz w:val="21"/>
                <w:szCs w:val="24"/>
              </w:rPr>
            </w:pPr>
          </w:p>
        </w:tc>
        <w:tc>
          <w:tcPr>
            <w:tcW w:w="2777" w:type="dxa"/>
            <w:shd w:val="clear" w:color="auto" w:fill="auto"/>
            <w:vAlign w:val="center"/>
          </w:tcPr>
          <w:p>
            <w:pPr>
              <w:topLinePunct/>
              <w:adjustRightInd w:val="0"/>
              <w:snapToGrid w:val="0"/>
              <w:spacing w:beforeLines="0" w:afterLines="0" w:line="360" w:lineRule="exact"/>
              <w:rPr>
                <w:rFonts w:hint="eastAsia" w:ascii="宋体" w:hAnsi="宋体" w:eastAsia="宋体" w:cs="宋体"/>
                <w:sz w:val="21"/>
                <w:szCs w:val="24"/>
              </w:rPr>
            </w:pPr>
            <w:r>
              <w:rPr>
                <w:rFonts w:hint="eastAsia" w:ascii="宋体" w:hAnsi="宋体" w:eastAsia="宋体" w:cs="宋体"/>
                <w:sz w:val="21"/>
                <w:szCs w:val="24"/>
              </w:rPr>
              <w:t>请说明浮动管理费是否对称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1698" w:type="dxa"/>
            <w:vMerge w:val="continue"/>
            <w:shd w:val="clear" w:color="auto" w:fill="auto"/>
            <w:vAlign w:val="center"/>
          </w:tcPr>
          <w:p>
            <w:pPr>
              <w:topLinePunct/>
              <w:adjustRightInd w:val="0"/>
              <w:snapToGrid w:val="0"/>
              <w:spacing w:beforeLines="0" w:afterLines="0" w:line="360" w:lineRule="exact"/>
              <w:jc w:val="center"/>
              <w:rPr>
                <w:rFonts w:hint="eastAsia" w:ascii="宋体" w:hAnsi="宋体" w:eastAsia="宋体" w:cs="宋体"/>
                <w:b/>
                <w:bCs/>
                <w:sz w:val="21"/>
                <w:szCs w:val="24"/>
              </w:rPr>
            </w:pPr>
          </w:p>
        </w:tc>
        <w:tc>
          <w:tcPr>
            <w:tcW w:w="3402" w:type="dxa"/>
            <w:shd w:val="clear" w:color="auto" w:fill="auto"/>
            <w:vAlign w:val="center"/>
          </w:tcPr>
          <w:p>
            <w:pPr>
              <w:topLinePunct/>
              <w:adjustRightInd w:val="0"/>
              <w:snapToGrid w:val="0"/>
              <w:spacing w:beforeLines="0" w:afterLines="0" w:line="360" w:lineRule="exact"/>
              <w:jc w:val="center"/>
              <w:rPr>
                <w:rFonts w:hint="eastAsia" w:ascii="宋体" w:hAnsi="宋体" w:eastAsia="宋体" w:cs="宋体"/>
                <w:sz w:val="21"/>
                <w:szCs w:val="24"/>
              </w:rPr>
            </w:pPr>
            <w:r>
              <w:rPr>
                <w:rFonts w:hint="eastAsia" w:ascii="宋体" w:hAnsi="宋体" w:eastAsia="宋体" w:cs="宋体"/>
                <w:sz w:val="21"/>
                <w:szCs w:val="24"/>
              </w:rPr>
              <w:t>其他（请具体说明）</w:t>
            </w:r>
          </w:p>
        </w:tc>
        <w:tc>
          <w:tcPr>
            <w:tcW w:w="2167" w:type="dxa"/>
            <w:shd w:val="clear" w:color="auto" w:fill="auto"/>
            <w:vAlign w:val="center"/>
          </w:tcPr>
          <w:p>
            <w:pPr>
              <w:topLinePunct/>
              <w:adjustRightInd w:val="0"/>
              <w:snapToGrid w:val="0"/>
              <w:spacing w:beforeLines="0" w:afterLines="0" w:line="360" w:lineRule="exact"/>
              <w:jc w:val="center"/>
              <w:rPr>
                <w:rFonts w:hint="eastAsia" w:ascii="宋体" w:hAnsi="宋体" w:eastAsia="宋体" w:cs="宋体"/>
                <w:sz w:val="21"/>
                <w:szCs w:val="24"/>
              </w:rPr>
            </w:pPr>
          </w:p>
        </w:tc>
        <w:tc>
          <w:tcPr>
            <w:tcW w:w="2777" w:type="dxa"/>
            <w:shd w:val="clear" w:color="auto" w:fill="auto"/>
            <w:vAlign w:val="center"/>
          </w:tcPr>
          <w:p>
            <w:pPr>
              <w:topLinePunct/>
              <w:adjustRightInd w:val="0"/>
              <w:snapToGrid w:val="0"/>
              <w:spacing w:beforeLines="0" w:afterLines="0" w:line="360" w:lineRule="exact"/>
              <w:rPr>
                <w:rFonts w:hint="eastAsia" w:ascii="宋体" w:hAnsi="宋体" w:eastAsia="宋体" w:cs="宋体"/>
                <w:sz w:val="21"/>
                <w:szCs w:val="24"/>
              </w:rPr>
            </w:pPr>
            <w:r>
              <w:rPr>
                <w:rFonts w:hint="eastAsia" w:ascii="宋体" w:hAnsi="宋体" w:eastAsia="宋体" w:cs="宋体"/>
                <w:sz w:val="21"/>
                <w:szCs w:val="24"/>
              </w:rPr>
              <w:t>请说明浮动管理费是否对称</w:t>
            </w:r>
          </w:p>
        </w:tc>
      </w:tr>
    </w:tbl>
    <w:p>
      <w:pPr>
        <w:widowControl/>
        <w:adjustRightInd w:val="0"/>
        <w:snapToGrid w:val="0"/>
        <w:spacing w:beforeLines="0" w:afterLines="0" w:line="560" w:lineRule="exact"/>
        <w:ind w:left="641"/>
        <w:jc w:val="left"/>
        <w:rPr>
          <w:rFonts w:ascii="仿宋" w:hAnsi="仿宋" w:eastAsia="仿宋" w:cs="仿宋"/>
          <w:sz w:val="32"/>
          <w:szCs w:val="32"/>
        </w:rPr>
      </w:pPr>
      <w:r>
        <w:rPr>
          <w:rFonts w:ascii="仿宋" w:hAnsi="仿宋" w:eastAsia="仿宋" w:cs="仿宋"/>
          <w:sz w:val="32"/>
          <w:szCs w:val="32"/>
        </w:rPr>
        <w:br w:type="page"/>
      </w:r>
    </w:p>
    <w:p>
      <w:pPr>
        <w:pStyle w:val="64"/>
        <w:topLinePunct/>
        <w:adjustRightInd w:val="0"/>
        <w:snapToGrid w:val="0"/>
        <w:spacing w:beforeLines="0" w:afterLines="0" w:line="560" w:lineRule="exact"/>
        <w:ind w:firstLine="0" w:firstLineChars="0"/>
        <w:jc w:val="left"/>
        <w:outlineLvl w:val="0"/>
        <w:rPr>
          <w:rFonts w:hint="eastAsia" w:ascii="楷体" w:hAnsi="楷体" w:eastAsia="黑体" w:cs="仿宋"/>
          <w:b w:val="0"/>
          <w:sz w:val="32"/>
          <w:szCs w:val="32"/>
          <w:lang w:eastAsia="zh-CN"/>
        </w:rPr>
      </w:pPr>
      <w:bookmarkStart w:id="286" w:name="_Toc26763"/>
      <w:bookmarkStart w:id="287" w:name="_Toc24464"/>
      <w:bookmarkStart w:id="288" w:name="_Toc8235"/>
      <w:bookmarkStart w:id="289" w:name="_Toc30204"/>
      <w:bookmarkStart w:id="290" w:name="_Toc25257"/>
      <w:bookmarkStart w:id="291" w:name="_Toc203479481"/>
      <w:r>
        <w:rPr>
          <w:rFonts w:hint="eastAsia" w:ascii="楷体" w:hAnsi="楷体" w:eastAsia="黑体" w:cs="仿宋"/>
          <w:b w:val="0"/>
          <w:sz w:val="32"/>
          <w:szCs w:val="32"/>
          <w:lang w:eastAsia="zh-CN"/>
        </w:rPr>
        <w:t>附件10</w:t>
      </w:r>
      <w:bookmarkEnd w:id="286"/>
      <w:bookmarkEnd w:id="287"/>
      <w:bookmarkEnd w:id="288"/>
      <w:bookmarkEnd w:id="289"/>
      <w:bookmarkEnd w:id="290"/>
    </w:p>
    <w:p>
      <w:pPr>
        <w:pStyle w:val="64"/>
        <w:topLinePunct/>
        <w:adjustRightInd w:val="0"/>
        <w:snapToGrid w:val="0"/>
        <w:spacing w:beforeLines="0" w:afterLines="0" w:line="560" w:lineRule="exact"/>
        <w:ind w:firstLine="0" w:firstLineChars="0"/>
        <w:jc w:val="left"/>
        <w:outlineLvl w:val="9"/>
        <w:rPr>
          <w:rFonts w:ascii="楷体" w:hAnsi="楷体" w:eastAsia="黑体" w:cs="仿宋"/>
          <w:b w:val="0"/>
          <w:sz w:val="32"/>
          <w:szCs w:val="32"/>
        </w:rPr>
      </w:pPr>
    </w:p>
    <w:p>
      <w:pPr>
        <w:pStyle w:val="64"/>
        <w:adjustRightInd w:val="0"/>
        <w:snapToGrid w:val="0"/>
        <w:spacing w:beforeLines="0" w:afterLines="0" w:line="560" w:lineRule="exact"/>
        <w:ind w:firstLine="0" w:firstLineChars="0"/>
        <w:jc w:val="center"/>
        <w:outlineLvl w:val="1"/>
        <w:rPr>
          <w:rFonts w:ascii="楷体" w:hAnsi="楷体" w:eastAsia="楷体" w:cs="仿宋"/>
          <w:b/>
          <w:sz w:val="32"/>
          <w:szCs w:val="32"/>
        </w:rPr>
      </w:pPr>
      <w:bookmarkStart w:id="292" w:name="_Toc12643"/>
      <w:bookmarkStart w:id="293" w:name="_Toc25204"/>
      <w:bookmarkStart w:id="294" w:name="_Toc13247"/>
      <w:bookmarkStart w:id="295" w:name="_Toc17072"/>
      <w:bookmarkStart w:id="296" w:name="_Toc15432"/>
      <w:r>
        <w:rPr>
          <w:rFonts w:ascii="楷体" w:hAnsi="楷体" w:eastAsia="方正小标宋简体" w:cs="仿宋"/>
          <w:b w:val="0"/>
          <w:sz w:val="44"/>
          <w:szCs w:val="32"/>
        </w:rPr>
        <w:t>原始权益人主要情况表</w:t>
      </w:r>
      <w:bookmarkEnd w:id="291"/>
      <w:bookmarkEnd w:id="292"/>
      <w:bookmarkEnd w:id="293"/>
      <w:bookmarkEnd w:id="294"/>
      <w:bookmarkEnd w:id="295"/>
      <w:bookmarkEnd w:id="296"/>
    </w:p>
    <w:p>
      <w:pPr>
        <w:adjustRightInd w:val="0"/>
        <w:snapToGrid w:val="0"/>
        <w:spacing w:beforeLines="0" w:afterLines="0" w:line="560" w:lineRule="exact"/>
        <w:ind w:left="641" w:firstLine="640"/>
        <w:rPr>
          <w:rFonts w:hint="eastAsia" w:ascii="仿宋" w:hAnsi="仿宋" w:eastAsia="仿宋" w:cs="仿宋"/>
          <w:sz w:val="32"/>
          <w:szCs w:val="32"/>
        </w:rPr>
      </w:pPr>
    </w:p>
    <w:p>
      <w:pPr>
        <w:tabs>
          <w:tab w:val="left" w:pos="3327"/>
        </w:tabs>
        <w:topLinePunct/>
        <w:adjustRightInd w:val="0"/>
        <w:snapToGrid w:val="0"/>
        <w:spacing w:beforeLines="0" w:afterLines="0" w:line="560" w:lineRule="exact"/>
        <w:ind w:left="641"/>
        <w:rPr>
          <w:rFonts w:hint="eastAsia" w:ascii="仿宋" w:hAnsi="仿宋" w:eastAsia="仿宋" w:cs="仿宋"/>
          <w:sz w:val="32"/>
          <w:szCs w:val="32"/>
        </w:rPr>
      </w:pPr>
      <w:r>
        <w:rPr>
          <w:rFonts w:ascii="仿宋" w:hAnsi="仿宋" w:eastAsia="仿宋" w:cs="仿宋"/>
          <w:sz w:val="32"/>
          <w:szCs w:val="32"/>
        </w:rPr>
        <w:t>1.原始权益人主要业务板块情况</w:t>
      </w:r>
    </w:p>
    <w:tbl>
      <w:tblPr>
        <w:tblStyle w:val="26"/>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1533"/>
        <w:gridCol w:w="1934"/>
        <w:gridCol w:w="2055"/>
        <w:gridCol w:w="1399"/>
        <w:gridCol w:w="21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tblHeader/>
          <w:jc w:val="center"/>
        </w:trPr>
        <w:tc>
          <w:tcPr>
            <w:tcW w:w="846"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主要业务板块</w:t>
            </w:r>
          </w:p>
        </w:tc>
        <w:tc>
          <w:tcPr>
            <w:tcW w:w="1067"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营业收入（万元/亿元）</w:t>
            </w:r>
          </w:p>
        </w:tc>
        <w:tc>
          <w:tcPr>
            <w:tcW w:w="1134"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营业成本</w:t>
            </w:r>
          </w:p>
          <w:p>
            <w:pPr>
              <w:widowControl/>
              <w:adjustRightInd w:val="0"/>
              <w:snapToGrid w:val="0"/>
              <w:spacing w:beforeLines="0" w:afterLines="0" w:line="360" w:lineRule="exact"/>
              <w:jc w:val="center"/>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（万元/亿元）</w:t>
            </w:r>
          </w:p>
        </w:tc>
        <w:tc>
          <w:tcPr>
            <w:tcW w:w="772"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毛利率（%）</w:t>
            </w:r>
          </w:p>
        </w:tc>
        <w:tc>
          <w:tcPr>
            <w:tcW w:w="1178"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收入占比（%）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846"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bCs/>
                <w:color w:val="000000"/>
                <w:kern w:val="0"/>
                <w:sz w:val="21"/>
                <w:szCs w:val="24"/>
              </w:rPr>
            </w:pPr>
            <w:bookmarkStart w:id="297" w:name="_Hlk199835668"/>
          </w:p>
        </w:tc>
        <w:tc>
          <w:tcPr>
            <w:tcW w:w="1067"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color w:val="000000"/>
                <w:kern w:val="0"/>
                <w:sz w:val="21"/>
                <w:szCs w:val="24"/>
              </w:rPr>
            </w:pPr>
          </w:p>
        </w:tc>
        <w:tc>
          <w:tcPr>
            <w:tcW w:w="1134"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color w:val="000000"/>
                <w:kern w:val="0"/>
                <w:sz w:val="21"/>
                <w:szCs w:val="24"/>
              </w:rPr>
            </w:pPr>
          </w:p>
        </w:tc>
        <w:tc>
          <w:tcPr>
            <w:tcW w:w="772"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color w:val="000000"/>
                <w:kern w:val="0"/>
                <w:sz w:val="21"/>
                <w:szCs w:val="24"/>
              </w:rPr>
            </w:pPr>
          </w:p>
        </w:tc>
        <w:tc>
          <w:tcPr>
            <w:tcW w:w="1178"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846"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bCs/>
                <w:color w:val="000000"/>
                <w:kern w:val="0"/>
                <w:sz w:val="21"/>
                <w:szCs w:val="24"/>
              </w:rPr>
            </w:pPr>
          </w:p>
        </w:tc>
        <w:tc>
          <w:tcPr>
            <w:tcW w:w="1067"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color w:val="000000"/>
                <w:kern w:val="0"/>
                <w:sz w:val="21"/>
                <w:szCs w:val="24"/>
              </w:rPr>
            </w:pPr>
          </w:p>
        </w:tc>
        <w:tc>
          <w:tcPr>
            <w:tcW w:w="1134" w:type="pct"/>
            <w:shd w:val="clear" w:color="auto" w:fill="auto"/>
            <w:vAlign w:val="center"/>
          </w:tcPr>
          <w:p>
            <w:pPr>
              <w:widowControl/>
              <w:adjustRightInd w:val="0"/>
              <w:snapToGrid w:val="0"/>
              <w:spacing w:beforeLines="0" w:afterLines="0" w:line="360" w:lineRule="exact"/>
              <w:rPr>
                <w:rFonts w:hint="eastAsia" w:ascii="宋体" w:hAnsi="宋体" w:eastAsia="宋体" w:cs="宋体"/>
                <w:color w:val="000000"/>
                <w:kern w:val="0"/>
                <w:sz w:val="21"/>
                <w:szCs w:val="24"/>
              </w:rPr>
            </w:pPr>
          </w:p>
        </w:tc>
        <w:tc>
          <w:tcPr>
            <w:tcW w:w="772"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color w:val="000000"/>
                <w:kern w:val="0"/>
                <w:sz w:val="21"/>
                <w:szCs w:val="24"/>
              </w:rPr>
            </w:pPr>
          </w:p>
        </w:tc>
        <w:tc>
          <w:tcPr>
            <w:tcW w:w="1178"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color w:val="000000"/>
                <w:kern w:val="0"/>
                <w:sz w:val="21"/>
                <w:szCs w:val="24"/>
              </w:rPr>
            </w:pPr>
          </w:p>
        </w:tc>
      </w:tr>
      <w:bookmarkEnd w:id="297"/>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846"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bCs/>
                <w:color w:val="000000"/>
                <w:sz w:val="21"/>
                <w:szCs w:val="24"/>
              </w:rPr>
            </w:pPr>
            <w:r>
              <w:rPr>
                <w:rFonts w:hint="eastAsia" w:ascii="宋体" w:hAnsi="宋体" w:eastAsia="宋体" w:cs="宋体"/>
                <w:b/>
                <w:bCs/>
                <w:color w:val="000000"/>
                <w:sz w:val="21"/>
                <w:szCs w:val="24"/>
              </w:rPr>
              <w:t>合计</w:t>
            </w:r>
          </w:p>
        </w:tc>
        <w:tc>
          <w:tcPr>
            <w:tcW w:w="1067"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bCs/>
                <w:color w:val="000000"/>
                <w:sz w:val="21"/>
                <w:szCs w:val="24"/>
              </w:rPr>
            </w:pPr>
          </w:p>
        </w:tc>
        <w:tc>
          <w:tcPr>
            <w:tcW w:w="1134"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bCs/>
                <w:color w:val="000000"/>
                <w:sz w:val="21"/>
                <w:szCs w:val="24"/>
              </w:rPr>
            </w:pPr>
          </w:p>
        </w:tc>
        <w:tc>
          <w:tcPr>
            <w:tcW w:w="772"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bCs/>
                <w:color w:val="000000"/>
                <w:sz w:val="21"/>
                <w:szCs w:val="24"/>
              </w:rPr>
            </w:pPr>
          </w:p>
        </w:tc>
        <w:tc>
          <w:tcPr>
            <w:tcW w:w="1178" w:type="pct"/>
            <w:shd w:val="clear" w:color="auto" w:fill="auto"/>
            <w:vAlign w:val="center"/>
          </w:tcPr>
          <w:p>
            <w:pPr>
              <w:widowControl/>
              <w:adjustRightInd w:val="0"/>
              <w:snapToGrid w:val="0"/>
              <w:spacing w:beforeLines="0" w:afterLines="0" w:line="360" w:lineRule="exact"/>
              <w:jc w:val="center"/>
              <w:rPr>
                <w:rFonts w:hint="eastAsia" w:ascii="宋体" w:hAnsi="宋体" w:eastAsia="宋体" w:cs="宋体"/>
                <w:b/>
                <w:bCs/>
                <w:color w:val="000000"/>
                <w:sz w:val="21"/>
                <w:szCs w:val="24"/>
              </w:rPr>
            </w:pPr>
          </w:p>
        </w:tc>
      </w:tr>
    </w:tbl>
    <w:p>
      <w:pPr>
        <w:tabs>
          <w:tab w:val="left" w:pos="3327"/>
        </w:tabs>
        <w:topLinePunct/>
        <w:adjustRightInd w:val="0"/>
        <w:snapToGrid w:val="0"/>
        <w:spacing w:beforeLines="0" w:afterLines="0" w:line="560" w:lineRule="exact"/>
        <w:ind w:left="641"/>
        <w:rPr>
          <w:rFonts w:hint="eastAsia" w:ascii="仿宋" w:hAnsi="仿宋" w:eastAsia="仿宋" w:cs="仿宋"/>
          <w:sz w:val="32"/>
          <w:szCs w:val="32"/>
        </w:rPr>
      </w:pPr>
      <w:r>
        <w:rPr>
          <w:rFonts w:ascii="仿宋" w:hAnsi="仿宋" w:eastAsia="仿宋" w:cs="仿宋"/>
          <w:sz w:val="32"/>
          <w:szCs w:val="32"/>
        </w:rPr>
        <w:t>2.原始权益人主要财务数据指标</w:t>
      </w:r>
    </w:p>
    <w:tbl>
      <w:tblPr>
        <w:tblStyle w:val="26"/>
        <w:tblW w:w="544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2632"/>
        <w:gridCol w:w="1549"/>
        <w:gridCol w:w="1569"/>
        <w:gridCol w:w="2035"/>
        <w:gridCol w:w="20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tblHeader/>
          <w:jc w:val="center"/>
        </w:trPr>
        <w:tc>
          <w:tcPr>
            <w:tcW w:w="241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项目</w:t>
            </w:r>
          </w:p>
        </w:tc>
        <w:tc>
          <w:tcPr>
            <w:tcW w:w="1418"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最近一期</w:t>
            </w:r>
          </w:p>
        </w:tc>
        <w:tc>
          <w:tcPr>
            <w:tcW w:w="1437" w:type="dxa"/>
            <w:shd w:val="clear" w:color="auto" w:fill="auto"/>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年末/度</w:t>
            </w:r>
          </w:p>
        </w:tc>
        <w:tc>
          <w:tcPr>
            <w:tcW w:w="1863"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年末/度</w:t>
            </w:r>
          </w:p>
        </w:tc>
        <w:tc>
          <w:tcPr>
            <w:tcW w:w="1912"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年末/度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41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总资产（亿元）</w:t>
            </w:r>
          </w:p>
        </w:tc>
        <w:tc>
          <w:tcPr>
            <w:tcW w:w="1418"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437" w:type="dxa"/>
            <w:shd w:val="clear" w:color="auto" w:fill="auto"/>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86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912"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41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资产负债率（%）</w:t>
            </w:r>
          </w:p>
        </w:tc>
        <w:tc>
          <w:tcPr>
            <w:tcW w:w="1418"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437" w:type="dxa"/>
            <w:shd w:val="clear" w:color="auto" w:fill="auto"/>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86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912"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41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营业收入（亿元）</w:t>
            </w:r>
          </w:p>
        </w:tc>
        <w:tc>
          <w:tcPr>
            <w:tcW w:w="1418"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437" w:type="dxa"/>
            <w:shd w:val="clear" w:color="auto" w:fill="auto"/>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86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912"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41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营业毛利率（%）</w:t>
            </w:r>
          </w:p>
        </w:tc>
        <w:tc>
          <w:tcPr>
            <w:tcW w:w="1418"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437" w:type="dxa"/>
            <w:shd w:val="clear" w:color="auto" w:fill="auto"/>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86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912"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41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净利润（亿元）</w:t>
            </w:r>
          </w:p>
        </w:tc>
        <w:tc>
          <w:tcPr>
            <w:tcW w:w="1418"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437" w:type="dxa"/>
            <w:shd w:val="clear" w:color="auto" w:fill="auto"/>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86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912"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4" w:hRule="atLeast"/>
          <w:jc w:val="center"/>
        </w:trPr>
        <w:tc>
          <w:tcPr>
            <w:tcW w:w="241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经营活动产生的现金流量净额（亿元）</w:t>
            </w:r>
          </w:p>
        </w:tc>
        <w:tc>
          <w:tcPr>
            <w:tcW w:w="1418"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437" w:type="dxa"/>
            <w:shd w:val="clear" w:color="auto" w:fill="auto"/>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86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912"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 w:hRule="atLeast"/>
          <w:jc w:val="center"/>
        </w:trPr>
        <w:tc>
          <w:tcPr>
            <w:tcW w:w="2410" w:type="dxa"/>
            <w:shd w:val="clear" w:color="auto" w:fill="auto"/>
            <w:vAlign w:val="center"/>
          </w:tcPr>
          <w:p>
            <w:pPr>
              <w:widowControl/>
              <w:adjustRightInd w:val="0"/>
              <w:snapToGrid w:val="0"/>
              <w:spacing w:beforeLines="0" w:afterLines="0" w:line="360" w:lineRule="exact"/>
              <w:rPr>
                <w:rFonts w:hint="eastAsia" w:ascii="宋体" w:hAnsi="宋体" w:eastAsia="宋体" w:cs="宋体"/>
                <w:b/>
                <w:bCs/>
                <w:color w:val="000000"/>
                <w:kern w:val="0"/>
                <w:sz w:val="21"/>
                <w:szCs w:val="24"/>
              </w:rPr>
            </w:pPr>
            <w:r>
              <w:rPr>
                <w:rFonts w:hint="eastAsia" w:ascii="宋体" w:hAnsi="宋体" w:eastAsia="宋体" w:cs="宋体"/>
                <w:b/>
                <w:bCs/>
                <w:color w:val="000000"/>
                <w:kern w:val="0"/>
                <w:sz w:val="21"/>
                <w:szCs w:val="24"/>
              </w:rPr>
              <w:t>EBITDA（亿元）</w:t>
            </w:r>
          </w:p>
        </w:tc>
        <w:tc>
          <w:tcPr>
            <w:tcW w:w="1418"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437" w:type="dxa"/>
            <w:shd w:val="clear" w:color="auto" w:fill="auto"/>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863"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c>
          <w:tcPr>
            <w:tcW w:w="1912" w:type="dxa"/>
            <w:shd w:val="clear" w:color="auto" w:fill="auto"/>
            <w:vAlign w:val="center"/>
          </w:tcPr>
          <w:p>
            <w:pPr>
              <w:widowControl/>
              <w:adjustRightInd w:val="0"/>
              <w:snapToGrid w:val="0"/>
              <w:spacing w:beforeLines="0" w:afterLines="0" w:line="360" w:lineRule="exact"/>
              <w:jc w:val="left"/>
              <w:rPr>
                <w:rFonts w:hint="eastAsia" w:ascii="宋体" w:hAnsi="宋体" w:eastAsia="宋体" w:cs="宋体"/>
                <w:b/>
                <w:bCs/>
                <w:color w:val="000000"/>
                <w:kern w:val="0"/>
                <w:sz w:val="21"/>
                <w:szCs w:val="24"/>
              </w:rPr>
            </w:pPr>
          </w:p>
        </w:tc>
      </w:tr>
    </w:tbl>
    <w:p>
      <w:pPr>
        <w:tabs>
          <w:tab w:val="left" w:pos="3327"/>
        </w:tabs>
        <w:topLinePunct/>
        <w:adjustRightInd w:val="0"/>
        <w:snapToGrid w:val="0"/>
        <w:spacing w:beforeLines="0" w:afterLines="0" w:line="560" w:lineRule="exact"/>
        <w:ind w:left="641"/>
        <w:rPr>
          <w:rFonts w:ascii="仿宋" w:hAnsi="仿宋" w:eastAsia="仿宋" w:cs="仿宋"/>
          <w:sz w:val="32"/>
          <w:szCs w:val="32"/>
        </w:rPr>
      </w:pPr>
    </w:p>
    <w:sectPr>
      <w:footerReference r:id="rId3" w:type="default"/>
      <w:footerReference r:id="rId4" w:type="even"/>
      <w:pgSz w:w="11906" w:h="16838"/>
      <w:pgMar w:top="2098" w:right="1474" w:bottom="1984" w:left="1587" w:header="851" w:footer="992" w:gutter="0"/>
      <w:pgNumType w:fmt="decimal"/>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78148A-C5E8-4EED-B39E-58BB89E7A8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E1C70831-7389-4345-AA49-1CE573CF39EB}"/>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FZF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embedRegular r:id="rId3" w:fontKey="{67275FA5-F31C-463F-8FC4-9C1D45513541}"/>
  </w:font>
  <w:font w:name="楷体">
    <w:panose1 w:val="02010609060101010101"/>
    <w:charset w:val="86"/>
    <w:family w:val="auto"/>
    <w:pitch w:val="default"/>
    <w:sig w:usb0="800002BF" w:usb1="38CF7CFA" w:usb2="00000016" w:usb3="00000000" w:csb0="00040001" w:csb1="00000000"/>
    <w:embedRegular r:id="rId4" w:fontKey="{C2F6EDF2-155E-4011-8AC3-155FB774B33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hint="eastAsia"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Cs w:val="28"/>
                              <w:lang w:eastAsia="zh-CN"/>
                            </w:rPr>
                          </w:pPr>
                          <w:r>
                            <w:rPr>
                              <w:rFonts w:hint="eastAsia" w:ascii="宋体" w:hAnsi="宋体" w:eastAsia="宋体" w:cs="宋体"/>
                              <w:szCs w:val="28"/>
                              <w:lang w:eastAsia="zh-CN"/>
                            </w:rPr>
                            <w:t xml:space="preserve">— </w:t>
                          </w:r>
                          <w:r>
                            <w:rPr>
                              <w:rFonts w:hint="eastAsia" w:ascii="宋体" w:hAnsi="宋体" w:eastAsia="宋体" w:cs="宋体"/>
                              <w:szCs w:val="28"/>
                              <w:lang w:eastAsia="zh-CN"/>
                            </w:rPr>
                            <w:fldChar w:fldCharType="begin"/>
                          </w:r>
                          <w:r>
                            <w:rPr>
                              <w:rFonts w:hint="eastAsia" w:ascii="宋体" w:hAnsi="宋体" w:eastAsia="宋体" w:cs="宋体"/>
                              <w:szCs w:val="28"/>
                              <w:lang w:eastAsia="zh-CN"/>
                            </w:rPr>
                            <w:instrText xml:space="preserve"> PAGE  \* MERGEFORMAT </w:instrText>
                          </w:r>
                          <w:r>
                            <w:rPr>
                              <w:rFonts w:hint="eastAsia" w:ascii="宋体" w:hAnsi="宋体" w:eastAsia="宋体" w:cs="宋体"/>
                              <w:szCs w:val="28"/>
                              <w:lang w:eastAsia="zh-CN"/>
                            </w:rPr>
                            <w:fldChar w:fldCharType="separate"/>
                          </w:r>
                          <w:r>
                            <w:rPr>
                              <w:rFonts w:hint="eastAsia" w:ascii="宋体" w:hAnsi="宋体" w:eastAsia="宋体" w:cs="宋体"/>
                              <w:szCs w:val="28"/>
                              <w:lang w:eastAsia="zh-CN"/>
                            </w:rPr>
                            <w:t>1</w:t>
                          </w:r>
                          <w:r>
                            <w:rPr>
                              <w:rFonts w:hint="eastAsia" w:ascii="宋体" w:hAnsi="宋体" w:eastAsia="宋体" w:cs="宋体"/>
                              <w:szCs w:val="28"/>
                              <w:lang w:eastAsia="zh-CN"/>
                            </w:rPr>
                            <w:fldChar w:fldCharType="end"/>
                          </w:r>
                          <w:r>
                            <w:rPr>
                              <w:rFonts w:hint="eastAsia" w:ascii="宋体" w:hAnsi="宋体" w:eastAsia="宋体" w:cs="宋体"/>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rPr>
                        <w:rFonts w:hint="eastAsia" w:ascii="宋体" w:hAnsi="宋体" w:eastAsia="宋体" w:cs="宋体"/>
                        <w:szCs w:val="28"/>
                        <w:lang w:eastAsia="zh-CN"/>
                      </w:rPr>
                    </w:pPr>
                    <w:r>
                      <w:rPr>
                        <w:rFonts w:hint="eastAsia" w:ascii="宋体" w:hAnsi="宋体" w:eastAsia="宋体" w:cs="宋体"/>
                        <w:szCs w:val="28"/>
                        <w:lang w:eastAsia="zh-CN"/>
                      </w:rPr>
                      <w:t xml:space="preserve">— </w:t>
                    </w:r>
                    <w:r>
                      <w:rPr>
                        <w:rFonts w:hint="eastAsia" w:ascii="宋体" w:hAnsi="宋体" w:eastAsia="宋体" w:cs="宋体"/>
                        <w:szCs w:val="28"/>
                        <w:lang w:eastAsia="zh-CN"/>
                      </w:rPr>
                      <w:fldChar w:fldCharType="begin"/>
                    </w:r>
                    <w:r>
                      <w:rPr>
                        <w:rFonts w:hint="eastAsia" w:ascii="宋体" w:hAnsi="宋体" w:eastAsia="宋体" w:cs="宋体"/>
                        <w:szCs w:val="28"/>
                        <w:lang w:eastAsia="zh-CN"/>
                      </w:rPr>
                      <w:instrText xml:space="preserve"> PAGE  \* MERGEFORMAT </w:instrText>
                    </w:r>
                    <w:r>
                      <w:rPr>
                        <w:rFonts w:hint="eastAsia" w:ascii="宋体" w:hAnsi="宋体" w:eastAsia="宋体" w:cs="宋体"/>
                        <w:szCs w:val="28"/>
                        <w:lang w:eastAsia="zh-CN"/>
                      </w:rPr>
                      <w:fldChar w:fldCharType="separate"/>
                    </w:r>
                    <w:r>
                      <w:rPr>
                        <w:rFonts w:hint="eastAsia" w:ascii="宋体" w:hAnsi="宋体" w:eastAsia="宋体" w:cs="宋体"/>
                        <w:szCs w:val="28"/>
                        <w:lang w:eastAsia="zh-CN"/>
                      </w:rPr>
                      <w:t>1</w:t>
                    </w:r>
                    <w:r>
                      <w:rPr>
                        <w:rFonts w:hint="eastAsia" w:ascii="宋体" w:hAnsi="宋体" w:eastAsia="宋体" w:cs="宋体"/>
                        <w:szCs w:val="28"/>
                        <w:lang w:eastAsia="zh-CN"/>
                      </w:rPr>
                      <w:fldChar w:fldCharType="end"/>
                    </w:r>
                    <w:r>
                      <w:rPr>
                        <w:rFonts w:hint="eastAsia" w:ascii="宋体" w:hAnsi="宋体" w:eastAsia="宋体" w:cs="宋体"/>
                        <w:szCs w:val="28"/>
                        <w:lang w:eastAsia="zh-CN"/>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dit="readOnly" w:enforcement="0"/>
  <w:defaultTabStop w:val="420"/>
  <w:evenAndOddHeaders w:val="1"/>
  <w:drawingGridHorizontalSpacing w:val="140"/>
  <w:drawingGridVerticalSpacing w:val="381"/>
  <w:displayHorizontalDrawingGridEvery w:val="2"/>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B2"/>
    <w:rsid w:val="00000AC4"/>
    <w:rsid w:val="0000193D"/>
    <w:rsid w:val="00002694"/>
    <w:rsid w:val="000066AB"/>
    <w:rsid w:val="00012055"/>
    <w:rsid w:val="00012DBB"/>
    <w:rsid w:val="00016F10"/>
    <w:rsid w:val="000244EC"/>
    <w:rsid w:val="00024D95"/>
    <w:rsid w:val="00037E0A"/>
    <w:rsid w:val="0004044E"/>
    <w:rsid w:val="00043D4E"/>
    <w:rsid w:val="00047999"/>
    <w:rsid w:val="00055E49"/>
    <w:rsid w:val="0005778D"/>
    <w:rsid w:val="00066B91"/>
    <w:rsid w:val="0008072C"/>
    <w:rsid w:val="000862C8"/>
    <w:rsid w:val="000869EB"/>
    <w:rsid w:val="000909D9"/>
    <w:rsid w:val="000B0192"/>
    <w:rsid w:val="000B542E"/>
    <w:rsid w:val="000B7BF4"/>
    <w:rsid w:val="000D005D"/>
    <w:rsid w:val="000D3FF2"/>
    <w:rsid w:val="000D6A5D"/>
    <w:rsid w:val="000D6CB6"/>
    <w:rsid w:val="000D70F9"/>
    <w:rsid w:val="000D7BC8"/>
    <w:rsid w:val="000E0314"/>
    <w:rsid w:val="000E3A19"/>
    <w:rsid w:val="000F5269"/>
    <w:rsid w:val="000F6036"/>
    <w:rsid w:val="000F665A"/>
    <w:rsid w:val="001008EA"/>
    <w:rsid w:val="001034FB"/>
    <w:rsid w:val="0011684E"/>
    <w:rsid w:val="00120C89"/>
    <w:rsid w:val="001246BE"/>
    <w:rsid w:val="00127534"/>
    <w:rsid w:val="00131303"/>
    <w:rsid w:val="00132483"/>
    <w:rsid w:val="00133E9E"/>
    <w:rsid w:val="00137E83"/>
    <w:rsid w:val="0014414F"/>
    <w:rsid w:val="00154A45"/>
    <w:rsid w:val="00156FF9"/>
    <w:rsid w:val="00162E91"/>
    <w:rsid w:val="00163BED"/>
    <w:rsid w:val="00163CEC"/>
    <w:rsid w:val="00166B59"/>
    <w:rsid w:val="001770C0"/>
    <w:rsid w:val="0018603C"/>
    <w:rsid w:val="0018657D"/>
    <w:rsid w:val="0019423A"/>
    <w:rsid w:val="00196661"/>
    <w:rsid w:val="0019768B"/>
    <w:rsid w:val="001A2C34"/>
    <w:rsid w:val="001B47A7"/>
    <w:rsid w:val="001B7645"/>
    <w:rsid w:val="001D2393"/>
    <w:rsid w:val="001D5EF7"/>
    <w:rsid w:val="001D7419"/>
    <w:rsid w:val="001F2164"/>
    <w:rsid w:val="001F299A"/>
    <w:rsid w:val="001F5992"/>
    <w:rsid w:val="0020292B"/>
    <w:rsid w:val="00213436"/>
    <w:rsid w:val="00214BD6"/>
    <w:rsid w:val="0022188A"/>
    <w:rsid w:val="00222DD8"/>
    <w:rsid w:val="0023118A"/>
    <w:rsid w:val="00231BC7"/>
    <w:rsid w:val="00241852"/>
    <w:rsid w:val="002436BE"/>
    <w:rsid w:val="00243B47"/>
    <w:rsid w:val="002461F8"/>
    <w:rsid w:val="0025403F"/>
    <w:rsid w:val="00263593"/>
    <w:rsid w:val="00275C5C"/>
    <w:rsid w:val="002815AD"/>
    <w:rsid w:val="00292286"/>
    <w:rsid w:val="00294222"/>
    <w:rsid w:val="002A2539"/>
    <w:rsid w:val="002B3672"/>
    <w:rsid w:val="002C2C50"/>
    <w:rsid w:val="002C3455"/>
    <w:rsid w:val="002E0D15"/>
    <w:rsid w:val="002E1C83"/>
    <w:rsid w:val="002E591E"/>
    <w:rsid w:val="002F72C7"/>
    <w:rsid w:val="00300BFD"/>
    <w:rsid w:val="00302620"/>
    <w:rsid w:val="003078DD"/>
    <w:rsid w:val="003149C9"/>
    <w:rsid w:val="00325FDE"/>
    <w:rsid w:val="00326E44"/>
    <w:rsid w:val="003323B3"/>
    <w:rsid w:val="003649DC"/>
    <w:rsid w:val="003678FE"/>
    <w:rsid w:val="00371CA8"/>
    <w:rsid w:val="00376493"/>
    <w:rsid w:val="0038252B"/>
    <w:rsid w:val="00383701"/>
    <w:rsid w:val="00384DEA"/>
    <w:rsid w:val="00387648"/>
    <w:rsid w:val="00396A12"/>
    <w:rsid w:val="00396A17"/>
    <w:rsid w:val="003A270B"/>
    <w:rsid w:val="003A29A8"/>
    <w:rsid w:val="003B4D45"/>
    <w:rsid w:val="003B6E6A"/>
    <w:rsid w:val="003B7379"/>
    <w:rsid w:val="003C05E8"/>
    <w:rsid w:val="003C20C6"/>
    <w:rsid w:val="003D1E8E"/>
    <w:rsid w:val="003D32CE"/>
    <w:rsid w:val="003E0F4F"/>
    <w:rsid w:val="003E1D96"/>
    <w:rsid w:val="003F4AB1"/>
    <w:rsid w:val="004139A2"/>
    <w:rsid w:val="00414B75"/>
    <w:rsid w:val="00422173"/>
    <w:rsid w:val="00431C51"/>
    <w:rsid w:val="004455DD"/>
    <w:rsid w:val="0044673E"/>
    <w:rsid w:val="00450C43"/>
    <w:rsid w:val="0045142B"/>
    <w:rsid w:val="0045657D"/>
    <w:rsid w:val="004621CE"/>
    <w:rsid w:val="00462325"/>
    <w:rsid w:val="00462CE9"/>
    <w:rsid w:val="00474A19"/>
    <w:rsid w:val="00481FFD"/>
    <w:rsid w:val="0048710C"/>
    <w:rsid w:val="00492FDD"/>
    <w:rsid w:val="004950AA"/>
    <w:rsid w:val="004A3729"/>
    <w:rsid w:val="004A4504"/>
    <w:rsid w:val="004B30BC"/>
    <w:rsid w:val="004B651B"/>
    <w:rsid w:val="004C041B"/>
    <w:rsid w:val="004E30E2"/>
    <w:rsid w:val="004E3C2E"/>
    <w:rsid w:val="004F2893"/>
    <w:rsid w:val="004F3FDC"/>
    <w:rsid w:val="005004E1"/>
    <w:rsid w:val="005078C2"/>
    <w:rsid w:val="0051059C"/>
    <w:rsid w:val="00512CA3"/>
    <w:rsid w:val="005142EF"/>
    <w:rsid w:val="00520B79"/>
    <w:rsid w:val="005335F9"/>
    <w:rsid w:val="00536924"/>
    <w:rsid w:val="00536C5F"/>
    <w:rsid w:val="005434CD"/>
    <w:rsid w:val="005516FC"/>
    <w:rsid w:val="005533C1"/>
    <w:rsid w:val="00561764"/>
    <w:rsid w:val="0057152B"/>
    <w:rsid w:val="00580759"/>
    <w:rsid w:val="00580802"/>
    <w:rsid w:val="005808E0"/>
    <w:rsid w:val="00584B71"/>
    <w:rsid w:val="005875C4"/>
    <w:rsid w:val="00596355"/>
    <w:rsid w:val="005A044C"/>
    <w:rsid w:val="005A1D69"/>
    <w:rsid w:val="005B33F4"/>
    <w:rsid w:val="005B4396"/>
    <w:rsid w:val="005B6D83"/>
    <w:rsid w:val="005C4565"/>
    <w:rsid w:val="005D0A65"/>
    <w:rsid w:val="005D5440"/>
    <w:rsid w:val="005E2F6C"/>
    <w:rsid w:val="005F6889"/>
    <w:rsid w:val="0060420D"/>
    <w:rsid w:val="006048B8"/>
    <w:rsid w:val="00611DE0"/>
    <w:rsid w:val="00621F9F"/>
    <w:rsid w:val="00622596"/>
    <w:rsid w:val="0064024D"/>
    <w:rsid w:val="00640439"/>
    <w:rsid w:val="00640B67"/>
    <w:rsid w:val="006530CE"/>
    <w:rsid w:val="006565D1"/>
    <w:rsid w:val="006722B1"/>
    <w:rsid w:val="00676A71"/>
    <w:rsid w:val="0068073D"/>
    <w:rsid w:val="00683B05"/>
    <w:rsid w:val="00684D86"/>
    <w:rsid w:val="00684FC5"/>
    <w:rsid w:val="00684FD2"/>
    <w:rsid w:val="006950FD"/>
    <w:rsid w:val="006A67BD"/>
    <w:rsid w:val="006B3E32"/>
    <w:rsid w:val="006B619C"/>
    <w:rsid w:val="006B6648"/>
    <w:rsid w:val="006C09FA"/>
    <w:rsid w:val="006C280F"/>
    <w:rsid w:val="006C2952"/>
    <w:rsid w:val="006D363B"/>
    <w:rsid w:val="006E096B"/>
    <w:rsid w:val="006E1885"/>
    <w:rsid w:val="006E76A0"/>
    <w:rsid w:val="006F7731"/>
    <w:rsid w:val="00701A91"/>
    <w:rsid w:val="00702C34"/>
    <w:rsid w:val="00705CFF"/>
    <w:rsid w:val="0071133B"/>
    <w:rsid w:val="00713ED5"/>
    <w:rsid w:val="00720DC1"/>
    <w:rsid w:val="0072413D"/>
    <w:rsid w:val="007248D3"/>
    <w:rsid w:val="00730465"/>
    <w:rsid w:val="00732924"/>
    <w:rsid w:val="00746D5D"/>
    <w:rsid w:val="00750481"/>
    <w:rsid w:val="00765217"/>
    <w:rsid w:val="00773317"/>
    <w:rsid w:val="0078221E"/>
    <w:rsid w:val="00783180"/>
    <w:rsid w:val="00786977"/>
    <w:rsid w:val="00787461"/>
    <w:rsid w:val="007922C2"/>
    <w:rsid w:val="00795961"/>
    <w:rsid w:val="007A5EF4"/>
    <w:rsid w:val="007A71C8"/>
    <w:rsid w:val="007B0C51"/>
    <w:rsid w:val="007B1640"/>
    <w:rsid w:val="007B1705"/>
    <w:rsid w:val="007B6C48"/>
    <w:rsid w:val="007C3AAB"/>
    <w:rsid w:val="007C5ACD"/>
    <w:rsid w:val="007D3C0E"/>
    <w:rsid w:val="007D4B63"/>
    <w:rsid w:val="007E0B4D"/>
    <w:rsid w:val="007E311A"/>
    <w:rsid w:val="007F2B95"/>
    <w:rsid w:val="007F3400"/>
    <w:rsid w:val="007F4A77"/>
    <w:rsid w:val="007F5528"/>
    <w:rsid w:val="00803EAA"/>
    <w:rsid w:val="0080570F"/>
    <w:rsid w:val="00812256"/>
    <w:rsid w:val="00812521"/>
    <w:rsid w:val="00814B27"/>
    <w:rsid w:val="0081679E"/>
    <w:rsid w:val="00821C78"/>
    <w:rsid w:val="0082341F"/>
    <w:rsid w:val="0082741C"/>
    <w:rsid w:val="00836BAF"/>
    <w:rsid w:val="00837ED7"/>
    <w:rsid w:val="00840F35"/>
    <w:rsid w:val="008418F6"/>
    <w:rsid w:val="0085088F"/>
    <w:rsid w:val="0085565C"/>
    <w:rsid w:val="00855776"/>
    <w:rsid w:val="008571E0"/>
    <w:rsid w:val="008606F1"/>
    <w:rsid w:val="00876D70"/>
    <w:rsid w:val="0088066D"/>
    <w:rsid w:val="00884FC3"/>
    <w:rsid w:val="0089408A"/>
    <w:rsid w:val="008A3B8D"/>
    <w:rsid w:val="008A72B0"/>
    <w:rsid w:val="008B37A9"/>
    <w:rsid w:val="008C261A"/>
    <w:rsid w:val="008C47E3"/>
    <w:rsid w:val="008C6D07"/>
    <w:rsid w:val="008D1F5D"/>
    <w:rsid w:val="008D666F"/>
    <w:rsid w:val="008E10DD"/>
    <w:rsid w:val="008E21EF"/>
    <w:rsid w:val="008F0902"/>
    <w:rsid w:val="008F0C9F"/>
    <w:rsid w:val="008F56E4"/>
    <w:rsid w:val="00901837"/>
    <w:rsid w:val="00902FD2"/>
    <w:rsid w:val="00904896"/>
    <w:rsid w:val="00911A7B"/>
    <w:rsid w:val="009279C6"/>
    <w:rsid w:val="00935FE5"/>
    <w:rsid w:val="0094379A"/>
    <w:rsid w:val="009501DC"/>
    <w:rsid w:val="0095033C"/>
    <w:rsid w:val="009570B9"/>
    <w:rsid w:val="009775FC"/>
    <w:rsid w:val="0098664A"/>
    <w:rsid w:val="00992D5B"/>
    <w:rsid w:val="00994527"/>
    <w:rsid w:val="00995A56"/>
    <w:rsid w:val="009A4500"/>
    <w:rsid w:val="009B372A"/>
    <w:rsid w:val="009D1B1C"/>
    <w:rsid w:val="009D5801"/>
    <w:rsid w:val="009E0A5A"/>
    <w:rsid w:val="009E5431"/>
    <w:rsid w:val="009E7FB5"/>
    <w:rsid w:val="009F327C"/>
    <w:rsid w:val="009F33AF"/>
    <w:rsid w:val="00A04D55"/>
    <w:rsid w:val="00A12FC1"/>
    <w:rsid w:val="00A30577"/>
    <w:rsid w:val="00A32B7B"/>
    <w:rsid w:val="00A3333C"/>
    <w:rsid w:val="00A356A2"/>
    <w:rsid w:val="00A43431"/>
    <w:rsid w:val="00A44E71"/>
    <w:rsid w:val="00A4511C"/>
    <w:rsid w:val="00A52AC4"/>
    <w:rsid w:val="00A5311F"/>
    <w:rsid w:val="00A57D72"/>
    <w:rsid w:val="00A60C77"/>
    <w:rsid w:val="00A71DBF"/>
    <w:rsid w:val="00A7310D"/>
    <w:rsid w:val="00A77257"/>
    <w:rsid w:val="00A84764"/>
    <w:rsid w:val="00A84EAF"/>
    <w:rsid w:val="00A85772"/>
    <w:rsid w:val="00A9185F"/>
    <w:rsid w:val="00A94C96"/>
    <w:rsid w:val="00A961FA"/>
    <w:rsid w:val="00A96517"/>
    <w:rsid w:val="00AA3D23"/>
    <w:rsid w:val="00AA477F"/>
    <w:rsid w:val="00AA4F39"/>
    <w:rsid w:val="00AD558A"/>
    <w:rsid w:val="00AF1252"/>
    <w:rsid w:val="00AF3EA3"/>
    <w:rsid w:val="00B01CE5"/>
    <w:rsid w:val="00B024FB"/>
    <w:rsid w:val="00B060C3"/>
    <w:rsid w:val="00B07628"/>
    <w:rsid w:val="00B15BD8"/>
    <w:rsid w:val="00B217A3"/>
    <w:rsid w:val="00B23E09"/>
    <w:rsid w:val="00B26936"/>
    <w:rsid w:val="00B325F6"/>
    <w:rsid w:val="00B3783E"/>
    <w:rsid w:val="00B4048D"/>
    <w:rsid w:val="00B421DD"/>
    <w:rsid w:val="00B46B38"/>
    <w:rsid w:val="00B5257F"/>
    <w:rsid w:val="00B52F56"/>
    <w:rsid w:val="00B5691D"/>
    <w:rsid w:val="00B60EA3"/>
    <w:rsid w:val="00B6130B"/>
    <w:rsid w:val="00B63F24"/>
    <w:rsid w:val="00B67D7B"/>
    <w:rsid w:val="00B74290"/>
    <w:rsid w:val="00B8549D"/>
    <w:rsid w:val="00B8662E"/>
    <w:rsid w:val="00BB2E21"/>
    <w:rsid w:val="00BB52C2"/>
    <w:rsid w:val="00BC68C4"/>
    <w:rsid w:val="00BC6C1D"/>
    <w:rsid w:val="00BC7495"/>
    <w:rsid w:val="00BD3219"/>
    <w:rsid w:val="00BD4F42"/>
    <w:rsid w:val="00BD695C"/>
    <w:rsid w:val="00BF18C7"/>
    <w:rsid w:val="00BF706B"/>
    <w:rsid w:val="00BF7A0B"/>
    <w:rsid w:val="00C041D3"/>
    <w:rsid w:val="00C04C6A"/>
    <w:rsid w:val="00C10924"/>
    <w:rsid w:val="00C14640"/>
    <w:rsid w:val="00C230AA"/>
    <w:rsid w:val="00C2777B"/>
    <w:rsid w:val="00C27E76"/>
    <w:rsid w:val="00C34534"/>
    <w:rsid w:val="00C34B02"/>
    <w:rsid w:val="00C450B4"/>
    <w:rsid w:val="00C45741"/>
    <w:rsid w:val="00C4661A"/>
    <w:rsid w:val="00C50003"/>
    <w:rsid w:val="00C50F1D"/>
    <w:rsid w:val="00C5234F"/>
    <w:rsid w:val="00C52DF1"/>
    <w:rsid w:val="00C72255"/>
    <w:rsid w:val="00C74FD0"/>
    <w:rsid w:val="00C76A34"/>
    <w:rsid w:val="00C804DB"/>
    <w:rsid w:val="00C86600"/>
    <w:rsid w:val="00C9507D"/>
    <w:rsid w:val="00CA377B"/>
    <w:rsid w:val="00CA6DDC"/>
    <w:rsid w:val="00CB200E"/>
    <w:rsid w:val="00CC551E"/>
    <w:rsid w:val="00CC6303"/>
    <w:rsid w:val="00CC7F69"/>
    <w:rsid w:val="00CD1FED"/>
    <w:rsid w:val="00CE5017"/>
    <w:rsid w:val="00CF426C"/>
    <w:rsid w:val="00CF7A06"/>
    <w:rsid w:val="00D035A5"/>
    <w:rsid w:val="00D039F4"/>
    <w:rsid w:val="00D05163"/>
    <w:rsid w:val="00D05E6C"/>
    <w:rsid w:val="00D10F7A"/>
    <w:rsid w:val="00D142BD"/>
    <w:rsid w:val="00D15A30"/>
    <w:rsid w:val="00D67FB2"/>
    <w:rsid w:val="00D72A78"/>
    <w:rsid w:val="00D80ACD"/>
    <w:rsid w:val="00D81731"/>
    <w:rsid w:val="00D86443"/>
    <w:rsid w:val="00D93B92"/>
    <w:rsid w:val="00D93D23"/>
    <w:rsid w:val="00D97E50"/>
    <w:rsid w:val="00DB4B74"/>
    <w:rsid w:val="00DC1E27"/>
    <w:rsid w:val="00DC7F91"/>
    <w:rsid w:val="00DE1EBB"/>
    <w:rsid w:val="00DE2F22"/>
    <w:rsid w:val="00DE422F"/>
    <w:rsid w:val="00DF2DA8"/>
    <w:rsid w:val="00DF54F7"/>
    <w:rsid w:val="00E0005F"/>
    <w:rsid w:val="00E0128D"/>
    <w:rsid w:val="00E0395E"/>
    <w:rsid w:val="00E12A52"/>
    <w:rsid w:val="00E1579F"/>
    <w:rsid w:val="00E2625C"/>
    <w:rsid w:val="00E271AA"/>
    <w:rsid w:val="00E32DC6"/>
    <w:rsid w:val="00E43DF6"/>
    <w:rsid w:val="00E4718E"/>
    <w:rsid w:val="00E50D8B"/>
    <w:rsid w:val="00E51DC8"/>
    <w:rsid w:val="00E57F6A"/>
    <w:rsid w:val="00E62782"/>
    <w:rsid w:val="00E65155"/>
    <w:rsid w:val="00E8140F"/>
    <w:rsid w:val="00E83E38"/>
    <w:rsid w:val="00E921B5"/>
    <w:rsid w:val="00E9305C"/>
    <w:rsid w:val="00EA2010"/>
    <w:rsid w:val="00EA2475"/>
    <w:rsid w:val="00EB3C9F"/>
    <w:rsid w:val="00ED1BFE"/>
    <w:rsid w:val="00EE1570"/>
    <w:rsid w:val="00EF7ADC"/>
    <w:rsid w:val="00F012E2"/>
    <w:rsid w:val="00F04716"/>
    <w:rsid w:val="00F05B45"/>
    <w:rsid w:val="00F060D3"/>
    <w:rsid w:val="00F142FC"/>
    <w:rsid w:val="00F3364C"/>
    <w:rsid w:val="00F35778"/>
    <w:rsid w:val="00F3786E"/>
    <w:rsid w:val="00F4392D"/>
    <w:rsid w:val="00F46521"/>
    <w:rsid w:val="00F52C35"/>
    <w:rsid w:val="00F54560"/>
    <w:rsid w:val="00F55ED9"/>
    <w:rsid w:val="00F60D26"/>
    <w:rsid w:val="00F65F50"/>
    <w:rsid w:val="00F67317"/>
    <w:rsid w:val="00F74A2A"/>
    <w:rsid w:val="00F85FD2"/>
    <w:rsid w:val="00F86136"/>
    <w:rsid w:val="00F86B70"/>
    <w:rsid w:val="00FA41AA"/>
    <w:rsid w:val="00FC6954"/>
    <w:rsid w:val="00FD2DEE"/>
    <w:rsid w:val="00FE3457"/>
    <w:rsid w:val="00FE5361"/>
    <w:rsid w:val="00FF0B06"/>
    <w:rsid w:val="00FF1EBB"/>
    <w:rsid w:val="010827C0"/>
    <w:rsid w:val="011533D3"/>
    <w:rsid w:val="011D2710"/>
    <w:rsid w:val="01541FBE"/>
    <w:rsid w:val="017C6910"/>
    <w:rsid w:val="017C78FF"/>
    <w:rsid w:val="01812151"/>
    <w:rsid w:val="01A00DB8"/>
    <w:rsid w:val="01AB4BCB"/>
    <w:rsid w:val="01FA494A"/>
    <w:rsid w:val="020104F6"/>
    <w:rsid w:val="02021D56"/>
    <w:rsid w:val="022D1910"/>
    <w:rsid w:val="028A120E"/>
    <w:rsid w:val="0293294A"/>
    <w:rsid w:val="029E6075"/>
    <w:rsid w:val="02AC5305"/>
    <w:rsid w:val="02C32043"/>
    <w:rsid w:val="031A4A2D"/>
    <w:rsid w:val="03441469"/>
    <w:rsid w:val="03580109"/>
    <w:rsid w:val="03610A19"/>
    <w:rsid w:val="0363705C"/>
    <w:rsid w:val="03B562A5"/>
    <w:rsid w:val="03BB5C30"/>
    <w:rsid w:val="03BE6BB4"/>
    <w:rsid w:val="03C6073D"/>
    <w:rsid w:val="03C71DB4"/>
    <w:rsid w:val="03E80687"/>
    <w:rsid w:val="04174CC4"/>
    <w:rsid w:val="041F20D1"/>
    <w:rsid w:val="044711E1"/>
    <w:rsid w:val="044F37FE"/>
    <w:rsid w:val="04891702"/>
    <w:rsid w:val="04A902F2"/>
    <w:rsid w:val="04BE5FB8"/>
    <w:rsid w:val="04C2515D"/>
    <w:rsid w:val="04CA4F95"/>
    <w:rsid w:val="04EB6322"/>
    <w:rsid w:val="05254FFE"/>
    <w:rsid w:val="05467D5B"/>
    <w:rsid w:val="05C075FF"/>
    <w:rsid w:val="05D55F1F"/>
    <w:rsid w:val="05D92727"/>
    <w:rsid w:val="05F73ED5"/>
    <w:rsid w:val="06262826"/>
    <w:rsid w:val="062A5C53"/>
    <w:rsid w:val="069408DC"/>
    <w:rsid w:val="06A76277"/>
    <w:rsid w:val="06A83CF9"/>
    <w:rsid w:val="06BF794C"/>
    <w:rsid w:val="06D90262"/>
    <w:rsid w:val="07087596"/>
    <w:rsid w:val="07146C2B"/>
    <w:rsid w:val="073B6AEB"/>
    <w:rsid w:val="074C0E53"/>
    <w:rsid w:val="074F578B"/>
    <w:rsid w:val="07770ECE"/>
    <w:rsid w:val="078139DC"/>
    <w:rsid w:val="07871169"/>
    <w:rsid w:val="078B414B"/>
    <w:rsid w:val="07965F00"/>
    <w:rsid w:val="07A901DA"/>
    <w:rsid w:val="07C21598"/>
    <w:rsid w:val="07C97154"/>
    <w:rsid w:val="07E40F9C"/>
    <w:rsid w:val="081F03E2"/>
    <w:rsid w:val="087E3C7F"/>
    <w:rsid w:val="08800BD6"/>
    <w:rsid w:val="089D5118"/>
    <w:rsid w:val="08F17FDE"/>
    <w:rsid w:val="08FE41CD"/>
    <w:rsid w:val="093446A7"/>
    <w:rsid w:val="093830AD"/>
    <w:rsid w:val="09482291"/>
    <w:rsid w:val="0958314B"/>
    <w:rsid w:val="0966617B"/>
    <w:rsid w:val="09673BFD"/>
    <w:rsid w:val="099C619C"/>
    <w:rsid w:val="09D1582A"/>
    <w:rsid w:val="09ED18D7"/>
    <w:rsid w:val="0A0D1E0C"/>
    <w:rsid w:val="0A157218"/>
    <w:rsid w:val="0AAB518D"/>
    <w:rsid w:val="0AB2039C"/>
    <w:rsid w:val="0ADD6C61"/>
    <w:rsid w:val="0ADE147D"/>
    <w:rsid w:val="0AF25902"/>
    <w:rsid w:val="0AF67B8B"/>
    <w:rsid w:val="0B00275A"/>
    <w:rsid w:val="0B005F1C"/>
    <w:rsid w:val="0B243B52"/>
    <w:rsid w:val="0B426986"/>
    <w:rsid w:val="0B557BA5"/>
    <w:rsid w:val="0B7E2F67"/>
    <w:rsid w:val="0B81776F"/>
    <w:rsid w:val="0B8406F4"/>
    <w:rsid w:val="0B883877"/>
    <w:rsid w:val="0BB64A7E"/>
    <w:rsid w:val="0BC56F5F"/>
    <w:rsid w:val="0BC649E1"/>
    <w:rsid w:val="0BCF786E"/>
    <w:rsid w:val="0BF906B3"/>
    <w:rsid w:val="0C093DA4"/>
    <w:rsid w:val="0C1D75EE"/>
    <w:rsid w:val="0C215FF4"/>
    <w:rsid w:val="0C2B6903"/>
    <w:rsid w:val="0C345014"/>
    <w:rsid w:val="0C38149C"/>
    <w:rsid w:val="0C590374"/>
    <w:rsid w:val="0CA507CB"/>
    <w:rsid w:val="0CA6624D"/>
    <w:rsid w:val="0CAE02B5"/>
    <w:rsid w:val="0CC94635"/>
    <w:rsid w:val="0CE41AC4"/>
    <w:rsid w:val="0CEA34BE"/>
    <w:rsid w:val="0CF2414E"/>
    <w:rsid w:val="0CF97A1F"/>
    <w:rsid w:val="0D213998"/>
    <w:rsid w:val="0D3B3F1D"/>
    <w:rsid w:val="0D701199"/>
    <w:rsid w:val="0D73211D"/>
    <w:rsid w:val="0D7A532C"/>
    <w:rsid w:val="0D811433"/>
    <w:rsid w:val="0DC17C9E"/>
    <w:rsid w:val="0DDD771A"/>
    <w:rsid w:val="0E033F8B"/>
    <w:rsid w:val="0E2444C0"/>
    <w:rsid w:val="0E2F5830"/>
    <w:rsid w:val="0E310EA7"/>
    <w:rsid w:val="0E355A5F"/>
    <w:rsid w:val="0E364A4E"/>
    <w:rsid w:val="0E4449F4"/>
    <w:rsid w:val="0E6A6868"/>
    <w:rsid w:val="0E945A78"/>
    <w:rsid w:val="0EA20611"/>
    <w:rsid w:val="0EDF2674"/>
    <w:rsid w:val="0EE3107B"/>
    <w:rsid w:val="0EE970E8"/>
    <w:rsid w:val="0F027BB0"/>
    <w:rsid w:val="0F0C338D"/>
    <w:rsid w:val="0F1727CE"/>
    <w:rsid w:val="0F1B6BFB"/>
    <w:rsid w:val="0F2859B9"/>
    <w:rsid w:val="0F4A1D24"/>
    <w:rsid w:val="0F4B55A7"/>
    <w:rsid w:val="0F7A4A71"/>
    <w:rsid w:val="0F800FEC"/>
    <w:rsid w:val="0FBFFC2F"/>
    <w:rsid w:val="0FC919CD"/>
    <w:rsid w:val="10067ED8"/>
    <w:rsid w:val="100833DB"/>
    <w:rsid w:val="100C5334"/>
    <w:rsid w:val="104D064D"/>
    <w:rsid w:val="104E550C"/>
    <w:rsid w:val="10A15B58"/>
    <w:rsid w:val="10DB135A"/>
    <w:rsid w:val="10E072B6"/>
    <w:rsid w:val="10FD39C4"/>
    <w:rsid w:val="11080D80"/>
    <w:rsid w:val="11134ACB"/>
    <w:rsid w:val="11193219"/>
    <w:rsid w:val="111F2BA3"/>
    <w:rsid w:val="1140695B"/>
    <w:rsid w:val="114378E0"/>
    <w:rsid w:val="11867E5D"/>
    <w:rsid w:val="119A4F1D"/>
    <w:rsid w:val="119D1273"/>
    <w:rsid w:val="11B5219D"/>
    <w:rsid w:val="11BD75AA"/>
    <w:rsid w:val="11C15FB0"/>
    <w:rsid w:val="11DF2FE2"/>
    <w:rsid w:val="11EB6DF4"/>
    <w:rsid w:val="11FF0092"/>
    <w:rsid w:val="12124AB5"/>
    <w:rsid w:val="122905EF"/>
    <w:rsid w:val="124F3295"/>
    <w:rsid w:val="12631F4C"/>
    <w:rsid w:val="12750F57"/>
    <w:rsid w:val="12930507"/>
    <w:rsid w:val="12A61E39"/>
    <w:rsid w:val="12A63CA4"/>
    <w:rsid w:val="12B8710B"/>
    <w:rsid w:val="12BA2945"/>
    <w:rsid w:val="12BF484E"/>
    <w:rsid w:val="12DF2F4B"/>
    <w:rsid w:val="12EE3177"/>
    <w:rsid w:val="12EF0C20"/>
    <w:rsid w:val="13021E3F"/>
    <w:rsid w:val="131E2640"/>
    <w:rsid w:val="13347445"/>
    <w:rsid w:val="13515442"/>
    <w:rsid w:val="137C0484"/>
    <w:rsid w:val="1381490C"/>
    <w:rsid w:val="13B36ED4"/>
    <w:rsid w:val="13B9A670"/>
    <w:rsid w:val="13C8204A"/>
    <w:rsid w:val="13FB6B84"/>
    <w:rsid w:val="141710B9"/>
    <w:rsid w:val="142D60AA"/>
    <w:rsid w:val="14390064"/>
    <w:rsid w:val="144227CC"/>
    <w:rsid w:val="144B6338"/>
    <w:rsid w:val="145F42FA"/>
    <w:rsid w:val="146A561B"/>
    <w:rsid w:val="14A57D5D"/>
    <w:rsid w:val="14E82F59"/>
    <w:rsid w:val="15086415"/>
    <w:rsid w:val="150F669C"/>
    <w:rsid w:val="15297246"/>
    <w:rsid w:val="154F0566"/>
    <w:rsid w:val="15517106"/>
    <w:rsid w:val="155A7A15"/>
    <w:rsid w:val="155D7B13"/>
    <w:rsid w:val="156B3533"/>
    <w:rsid w:val="15806971"/>
    <w:rsid w:val="158479AE"/>
    <w:rsid w:val="15AD52A1"/>
    <w:rsid w:val="15C5699A"/>
    <w:rsid w:val="15DC724A"/>
    <w:rsid w:val="15F64E85"/>
    <w:rsid w:val="15FB759E"/>
    <w:rsid w:val="15FE0523"/>
    <w:rsid w:val="1623745E"/>
    <w:rsid w:val="164C504F"/>
    <w:rsid w:val="16AA3A87"/>
    <w:rsid w:val="16BE185B"/>
    <w:rsid w:val="16D01B7A"/>
    <w:rsid w:val="17084259"/>
    <w:rsid w:val="17263809"/>
    <w:rsid w:val="172F6697"/>
    <w:rsid w:val="17352155"/>
    <w:rsid w:val="17780248"/>
    <w:rsid w:val="17892228"/>
    <w:rsid w:val="178B03C2"/>
    <w:rsid w:val="17935082"/>
    <w:rsid w:val="17A42AA3"/>
    <w:rsid w:val="17AB72E5"/>
    <w:rsid w:val="17D13CA1"/>
    <w:rsid w:val="17DF51B5"/>
    <w:rsid w:val="17E73815"/>
    <w:rsid w:val="17FD7FE9"/>
    <w:rsid w:val="17FF4932"/>
    <w:rsid w:val="180C6E5D"/>
    <w:rsid w:val="182072A4"/>
    <w:rsid w:val="18294323"/>
    <w:rsid w:val="183A204C"/>
    <w:rsid w:val="18511C71"/>
    <w:rsid w:val="185D743E"/>
    <w:rsid w:val="186F7922"/>
    <w:rsid w:val="18702526"/>
    <w:rsid w:val="188D4054"/>
    <w:rsid w:val="18B1550E"/>
    <w:rsid w:val="18B248E8"/>
    <w:rsid w:val="18E55D68"/>
    <w:rsid w:val="18F32AFF"/>
    <w:rsid w:val="19000B10"/>
    <w:rsid w:val="19353569"/>
    <w:rsid w:val="196B3A43"/>
    <w:rsid w:val="196F2449"/>
    <w:rsid w:val="1971594C"/>
    <w:rsid w:val="1980184C"/>
    <w:rsid w:val="198C3F77"/>
    <w:rsid w:val="19CA28B1"/>
    <w:rsid w:val="19D340B9"/>
    <w:rsid w:val="19EA4D01"/>
    <w:rsid w:val="19FB07D8"/>
    <w:rsid w:val="1A1D520D"/>
    <w:rsid w:val="1A5439C0"/>
    <w:rsid w:val="1A7F5B09"/>
    <w:rsid w:val="1A83450F"/>
    <w:rsid w:val="1A9C689E"/>
    <w:rsid w:val="1AB601E2"/>
    <w:rsid w:val="1AB84DFF"/>
    <w:rsid w:val="1AED28BA"/>
    <w:rsid w:val="1AFA1BD0"/>
    <w:rsid w:val="1B00735C"/>
    <w:rsid w:val="1B3C333B"/>
    <w:rsid w:val="1B415BC7"/>
    <w:rsid w:val="1B4D19DA"/>
    <w:rsid w:val="1B6C7DE9"/>
    <w:rsid w:val="1B7CC988"/>
    <w:rsid w:val="1B966EEF"/>
    <w:rsid w:val="1BBC1C8E"/>
    <w:rsid w:val="1BE70E02"/>
    <w:rsid w:val="1BF4566B"/>
    <w:rsid w:val="1C2C24D8"/>
    <w:rsid w:val="1C430C6D"/>
    <w:rsid w:val="1C525A04"/>
    <w:rsid w:val="1C7A3345"/>
    <w:rsid w:val="1CAE64BA"/>
    <w:rsid w:val="1CB515F6"/>
    <w:rsid w:val="1CB82E2A"/>
    <w:rsid w:val="1CB950BB"/>
    <w:rsid w:val="1CC659C3"/>
    <w:rsid w:val="1CD12EB9"/>
    <w:rsid w:val="1CD20CA4"/>
    <w:rsid w:val="1CD36402"/>
    <w:rsid w:val="1CDF0AEB"/>
    <w:rsid w:val="1D012A8E"/>
    <w:rsid w:val="1D1A1BCA"/>
    <w:rsid w:val="1D53068A"/>
    <w:rsid w:val="1D570FEF"/>
    <w:rsid w:val="1D573460"/>
    <w:rsid w:val="1D6668B3"/>
    <w:rsid w:val="1D90090F"/>
    <w:rsid w:val="1DAB47A7"/>
    <w:rsid w:val="1DC842EC"/>
    <w:rsid w:val="1DD67A76"/>
    <w:rsid w:val="1DE169FC"/>
    <w:rsid w:val="1DED79A4"/>
    <w:rsid w:val="1DF7545B"/>
    <w:rsid w:val="1E077654"/>
    <w:rsid w:val="1E0A3BC4"/>
    <w:rsid w:val="1E27431F"/>
    <w:rsid w:val="1E501C47"/>
    <w:rsid w:val="1E6366E9"/>
    <w:rsid w:val="1E82375A"/>
    <w:rsid w:val="1EC65D3D"/>
    <w:rsid w:val="1ECC2D97"/>
    <w:rsid w:val="1ED233C2"/>
    <w:rsid w:val="1ED70C26"/>
    <w:rsid w:val="1EDB5833"/>
    <w:rsid w:val="1EED2DCA"/>
    <w:rsid w:val="1EF34CD3"/>
    <w:rsid w:val="1F193D4F"/>
    <w:rsid w:val="1F1F0985"/>
    <w:rsid w:val="1F395447"/>
    <w:rsid w:val="1F59377E"/>
    <w:rsid w:val="1F5F77D4"/>
    <w:rsid w:val="1F625B7A"/>
    <w:rsid w:val="1F753FA8"/>
    <w:rsid w:val="1F9522DE"/>
    <w:rsid w:val="1F983263"/>
    <w:rsid w:val="1FA6791C"/>
    <w:rsid w:val="1FAF1273"/>
    <w:rsid w:val="1FC72F17"/>
    <w:rsid w:val="1FCD7EB9"/>
    <w:rsid w:val="1FD16BF6"/>
    <w:rsid w:val="1FD6D8A8"/>
    <w:rsid w:val="1FD81ACE"/>
    <w:rsid w:val="1FE67B91"/>
    <w:rsid w:val="202253C5"/>
    <w:rsid w:val="2026764F"/>
    <w:rsid w:val="202A7DFC"/>
    <w:rsid w:val="20451EBC"/>
    <w:rsid w:val="20C50451"/>
    <w:rsid w:val="20CA3197"/>
    <w:rsid w:val="20D717DA"/>
    <w:rsid w:val="20DA296A"/>
    <w:rsid w:val="20F4571D"/>
    <w:rsid w:val="210202B6"/>
    <w:rsid w:val="21457AA6"/>
    <w:rsid w:val="214C3330"/>
    <w:rsid w:val="215108D1"/>
    <w:rsid w:val="217008EA"/>
    <w:rsid w:val="218B373A"/>
    <w:rsid w:val="218B6F16"/>
    <w:rsid w:val="21BF6A73"/>
    <w:rsid w:val="21E92CE8"/>
    <w:rsid w:val="21EA27B2"/>
    <w:rsid w:val="21EB7868"/>
    <w:rsid w:val="2223038E"/>
    <w:rsid w:val="22274D44"/>
    <w:rsid w:val="222F7A24"/>
    <w:rsid w:val="22502157"/>
    <w:rsid w:val="22582DE6"/>
    <w:rsid w:val="22757A80"/>
    <w:rsid w:val="22775899"/>
    <w:rsid w:val="227C1D21"/>
    <w:rsid w:val="229C7115"/>
    <w:rsid w:val="22B12860"/>
    <w:rsid w:val="22D8243B"/>
    <w:rsid w:val="22EF5136"/>
    <w:rsid w:val="22FE0FF6"/>
    <w:rsid w:val="23081905"/>
    <w:rsid w:val="230F4B13"/>
    <w:rsid w:val="23272B22"/>
    <w:rsid w:val="2369313B"/>
    <w:rsid w:val="236B41A9"/>
    <w:rsid w:val="238A445D"/>
    <w:rsid w:val="23F92512"/>
    <w:rsid w:val="240A6030"/>
    <w:rsid w:val="241565BF"/>
    <w:rsid w:val="24346E74"/>
    <w:rsid w:val="24375135"/>
    <w:rsid w:val="243A2F7C"/>
    <w:rsid w:val="243D7784"/>
    <w:rsid w:val="2443168D"/>
    <w:rsid w:val="24432CEE"/>
    <w:rsid w:val="244A1018"/>
    <w:rsid w:val="246F1446"/>
    <w:rsid w:val="24821172"/>
    <w:rsid w:val="249A209C"/>
    <w:rsid w:val="24C279DD"/>
    <w:rsid w:val="24D942F0"/>
    <w:rsid w:val="24FA1965"/>
    <w:rsid w:val="24FF3FBE"/>
    <w:rsid w:val="25012D45"/>
    <w:rsid w:val="250848CE"/>
    <w:rsid w:val="254621B4"/>
    <w:rsid w:val="25493139"/>
    <w:rsid w:val="255F52DD"/>
    <w:rsid w:val="256B4972"/>
    <w:rsid w:val="257E5B91"/>
    <w:rsid w:val="25DB04AA"/>
    <w:rsid w:val="25DF10AE"/>
    <w:rsid w:val="25EC025F"/>
    <w:rsid w:val="25F200CF"/>
    <w:rsid w:val="26004E66"/>
    <w:rsid w:val="262F2132"/>
    <w:rsid w:val="26421153"/>
    <w:rsid w:val="26916953"/>
    <w:rsid w:val="26A36795"/>
    <w:rsid w:val="26C40427"/>
    <w:rsid w:val="26DC5ACE"/>
    <w:rsid w:val="27187EB1"/>
    <w:rsid w:val="27416AF7"/>
    <w:rsid w:val="27532294"/>
    <w:rsid w:val="2761436A"/>
    <w:rsid w:val="27840543"/>
    <w:rsid w:val="27C35DCC"/>
    <w:rsid w:val="27C4384D"/>
    <w:rsid w:val="27CE415D"/>
    <w:rsid w:val="27D0185E"/>
    <w:rsid w:val="27F60D15"/>
    <w:rsid w:val="28116A14"/>
    <w:rsid w:val="28440AD5"/>
    <w:rsid w:val="28490223"/>
    <w:rsid w:val="285443B9"/>
    <w:rsid w:val="286533D6"/>
    <w:rsid w:val="2874236C"/>
    <w:rsid w:val="288D0D17"/>
    <w:rsid w:val="288D78CB"/>
    <w:rsid w:val="28B740DA"/>
    <w:rsid w:val="28C606E7"/>
    <w:rsid w:val="28CF5004"/>
    <w:rsid w:val="28E8012C"/>
    <w:rsid w:val="29120F71"/>
    <w:rsid w:val="291213A4"/>
    <w:rsid w:val="29200286"/>
    <w:rsid w:val="29606AF1"/>
    <w:rsid w:val="29787C34"/>
    <w:rsid w:val="298869B1"/>
    <w:rsid w:val="299D9CFD"/>
    <w:rsid w:val="2A135BAE"/>
    <w:rsid w:val="2A24682F"/>
    <w:rsid w:val="2A4F329C"/>
    <w:rsid w:val="2A5063FA"/>
    <w:rsid w:val="2A74195D"/>
    <w:rsid w:val="2A964A26"/>
    <w:rsid w:val="2AA81007"/>
    <w:rsid w:val="2AC34CB5"/>
    <w:rsid w:val="2AE412F9"/>
    <w:rsid w:val="2B0E422E"/>
    <w:rsid w:val="2B586C2C"/>
    <w:rsid w:val="2B6A6B46"/>
    <w:rsid w:val="2B7042D3"/>
    <w:rsid w:val="2BCC3368"/>
    <w:rsid w:val="2BDA6AEC"/>
    <w:rsid w:val="2C022894"/>
    <w:rsid w:val="2C090FCE"/>
    <w:rsid w:val="2C202154"/>
    <w:rsid w:val="2C761602"/>
    <w:rsid w:val="2C7F0C0D"/>
    <w:rsid w:val="2C9F1142"/>
    <w:rsid w:val="2CAE4EAE"/>
    <w:rsid w:val="2CC70108"/>
    <w:rsid w:val="2CE53E34"/>
    <w:rsid w:val="2CEF6496"/>
    <w:rsid w:val="2CF775D2"/>
    <w:rsid w:val="2CF93C6C"/>
    <w:rsid w:val="2D0830EF"/>
    <w:rsid w:val="2D23466A"/>
    <w:rsid w:val="2D48195B"/>
    <w:rsid w:val="2D683C35"/>
    <w:rsid w:val="2DA23795"/>
    <w:rsid w:val="2DB12284"/>
    <w:rsid w:val="2DCC4132"/>
    <w:rsid w:val="2DD97359"/>
    <w:rsid w:val="2DF126AA"/>
    <w:rsid w:val="2DF43FF2"/>
    <w:rsid w:val="2E5464B5"/>
    <w:rsid w:val="2E78204D"/>
    <w:rsid w:val="2EA72D69"/>
    <w:rsid w:val="2EBB2032"/>
    <w:rsid w:val="2EEA6B08"/>
    <w:rsid w:val="2F044E1C"/>
    <w:rsid w:val="2F0A15BB"/>
    <w:rsid w:val="2F1A3DD4"/>
    <w:rsid w:val="2F4A23A5"/>
    <w:rsid w:val="2F4B187A"/>
    <w:rsid w:val="2F5F3244"/>
    <w:rsid w:val="2F767CB2"/>
    <w:rsid w:val="2F7F30C2"/>
    <w:rsid w:val="2F8A246F"/>
    <w:rsid w:val="2FCA6176"/>
    <w:rsid w:val="2FD140FF"/>
    <w:rsid w:val="2FE46D20"/>
    <w:rsid w:val="2FED5F6E"/>
    <w:rsid w:val="30203302"/>
    <w:rsid w:val="303C51B0"/>
    <w:rsid w:val="30401638"/>
    <w:rsid w:val="30424B3B"/>
    <w:rsid w:val="30494D9A"/>
    <w:rsid w:val="308D1737"/>
    <w:rsid w:val="30E14995"/>
    <w:rsid w:val="30F10937"/>
    <w:rsid w:val="30F15BD9"/>
    <w:rsid w:val="311D7D22"/>
    <w:rsid w:val="31476967"/>
    <w:rsid w:val="31DF7DE0"/>
    <w:rsid w:val="31E5776A"/>
    <w:rsid w:val="31EB1674"/>
    <w:rsid w:val="32121533"/>
    <w:rsid w:val="3226431B"/>
    <w:rsid w:val="322B245D"/>
    <w:rsid w:val="32335040"/>
    <w:rsid w:val="323B45CD"/>
    <w:rsid w:val="32491A0D"/>
    <w:rsid w:val="32645ABA"/>
    <w:rsid w:val="326E1C4D"/>
    <w:rsid w:val="327360D5"/>
    <w:rsid w:val="32CA3260"/>
    <w:rsid w:val="32DC69FE"/>
    <w:rsid w:val="32EC6C98"/>
    <w:rsid w:val="32FB14B1"/>
    <w:rsid w:val="32FF353A"/>
    <w:rsid w:val="332A457E"/>
    <w:rsid w:val="333360A1"/>
    <w:rsid w:val="333F0CA1"/>
    <w:rsid w:val="33610962"/>
    <w:rsid w:val="3392753E"/>
    <w:rsid w:val="33C30645"/>
    <w:rsid w:val="33C36CFB"/>
    <w:rsid w:val="33E701B5"/>
    <w:rsid w:val="33F85ED1"/>
    <w:rsid w:val="33FF585B"/>
    <w:rsid w:val="34083F6D"/>
    <w:rsid w:val="340A4F71"/>
    <w:rsid w:val="340C4B71"/>
    <w:rsid w:val="340E4C06"/>
    <w:rsid w:val="34433534"/>
    <w:rsid w:val="347904EA"/>
    <w:rsid w:val="347F27BE"/>
    <w:rsid w:val="34AC6C79"/>
    <w:rsid w:val="351E5CB3"/>
    <w:rsid w:val="3523774E"/>
    <w:rsid w:val="353E3268"/>
    <w:rsid w:val="35445EF3"/>
    <w:rsid w:val="35946F77"/>
    <w:rsid w:val="35A804C7"/>
    <w:rsid w:val="35C209BF"/>
    <w:rsid w:val="35CE0055"/>
    <w:rsid w:val="35F32813"/>
    <w:rsid w:val="360601AF"/>
    <w:rsid w:val="366208C9"/>
    <w:rsid w:val="3668051B"/>
    <w:rsid w:val="368D6C56"/>
    <w:rsid w:val="369E685C"/>
    <w:rsid w:val="36D60888"/>
    <w:rsid w:val="37086AD8"/>
    <w:rsid w:val="37201C0F"/>
    <w:rsid w:val="37495343"/>
    <w:rsid w:val="37537E51"/>
    <w:rsid w:val="3778260F"/>
    <w:rsid w:val="378828AA"/>
    <w:rsid w:val="37C4140A"/>
    <w:rsid w:val="37CB4618"/>
    <w:rsid w:val="37DF4C71"/>
    <w:rsid w:val="3808447D"/>
    <w:rsid w:val="381E6620"/>
    <w:rsid w:val="382175A5"/>
    <w:rsid w:val="38296BB0"/>
    <w:rsid w:val="383C2744"/>
    <w:rsid w:val="386E418B"/>
    <w:rsid w:val="386E5C4E"/>
    <w:rsid w:val="386F48F8"/>
    <w:rsid w:val="387A56B5"/>
    <w:rsid w:val="389C6EEF"/>
    <w:rsid w:val="389E15BD"/>
    <w:rsid w:val="38E008DD"/>
    <w:rsid w:val="38FB6F08"/>
    <w:rsid w:val="392748D4"/>
    <w:rsid w:val="39504729"/>
    <w:rsid w:val="395D6E46"/>
    <w:rsid w:val="396A06AC"/>
    <w:rsid w:val="398B0D75"/>
    <w:rsid w:val="399F2FBB"/>
    <w:rsid w:val="39A74E22"/>
    <w:rsid w:val="39D914D3"/>
    <w:rsid w:val="3A2434F2"/>
    <w:rsid w:val="3A4A5930"/>
    <w:rsid w:val="3A8D5509"/>
    <w:rsid w:val="3A993035"/>
    <w:rsid w:val="3AA23DC1"/>
    <w:rsid w:val="3B05396E"/>
    <w:rsid w:val="3B576D67"/>
    <w:rsid w:val="3B690306"/>
    <w:rsid w:val="3BA90120"/>
    <w:rsid w:val="3BBD5812"/>
    <w:rsid w:val="3BCF572C"/>
    <w:rsid w:val="3BD34132"/>
    <w:rsid w:val="3BD918BF"/>
    <w:rsid w:val="3C0A208E"/>
    <w:rsid w:val="3C0C5591"/>
    <w:rsid w:val="3C240A39"/>
    <w:rsid w:val="3C422C2A"/>
    <w:rsid w:val="3C487974"/>
    <w:rsid w:val="3C6B7896"/>
    <w:rsid w:val="3CA13886"/>
    <w:rsid w:val="3CA67D0E"/>
    <w:rsid w:val="3CC47F7E"/>
    <w:rsid w:val="3CC505C3"/>
    <w:rsid w:val="3CD91462"/>
    <w:rsid w:val="3CEF24AB"/>
    <w:rsid w:val="3CFB49AC"/>
    <w:rsid w:val="3D571B78"/>
    <w:rsid w:val="3D8A67DA"/>
    <w:rsid w:val="3D9646D4"/>
    <w:rsid w:val="3DA4074B"/>
    <w:rsid w:val="3DAF01C0"/>
    <w:rsid w:val="3DE70409"/>
    <w:rsid w:val="3DEB2527"/>
    <w:rsid w:val="3E1C468B"/>
    <w:rsid w:val="3E251484"/>
    <w:rsid w:val="3E654E48"/>
    <w:rsid w:val="3E7C4091"/>
    <w:rsid w:val="3E9A1FA2"/>
    <w:rsid w:val="3EBA1977"/>
    <w:rsid w:val="3EBAF85D"/>
    <w:rsid w:val="3ED46DA6"/>
    <w:rsid w:val="3EEF39EF"/>
    <w:rsid w:val="3EF773F5"/>
    <w:rsid w:val="3F040AF2"/>
    <w:rsid w:val="3F0C50A2"/>
    <w:rsid w:val="3F266AA8"/>
    <w:rsid w:val="3F2D6433"/>
    <w:rsid w:val="3F2D72BA"/>
    <w:rsid w:val="3F386A09"/>
    <w:rsid w:val="3F3F4AF6"/>
    <w:rsid w:val="3F565079"/>
    <w:rsid w:val="3F5B5C7D"/>
    <w:rsid w:val="3F71315F"/>
    <w:rsid w:val="3F736BA7"/>
    <w:rsid w:val="3F807176"/>
    <w:rsid w:val="3FCC2AB9"/>
    <w:rsid w:val="3FD1113F"/>
    <w:rsid w:val="3FD633C9"/>
    <w:rsid w:val="3FE9E9F1"/>
    <w:rsid w:val="3FF51711"/>
    <w:rsid w:val="3FFF45A1"/>
    <w:rsid w:val="4009291E"/>
    <w:rsid w:val="402569CB"/>
    <w:rsid w:val="4057269D"/>
    <w:rsid w:val="40793ED7"/>
    <w:rsid w:val="407B73DA"/>
    <w:rsid w:val="408347E6"/>
    <w:rsid w:val="40E165AE"/>
    <w:rsid w:val="40FA4F7A"/>
    <w:rsid w:val="41251DF1"/>
    <w:rsid w:val="412A2779"/>
    <w:rsid w:val="41321107"/>
    <w:rsid w:val="414F73B2"/>
    <w:rsid w:val="415B1EBD"/>
    <w:rsid w:val="416E7E42"/>
    <w:rsid w:val="41872D8F"/>
    <w:rsid w:val="418E52A6"/>
    <w:rsid w:val="418E6105"/>
    <w:rsid w:val="419249A3"/>
    <w:rsid w:val="41CD6CF7"/>
    <w:rsid w:val="41CE2976"/>
    <w:rsid w:val="41CE4336"/>
    <w:rsid w:val="41E466BF"/>
    <w:rsid w:val="42081EB8"/>
    <w:rsid w:val="423157A6"/>
    <w:rsid w:val="425A43EC"/>
    <w:rsid w:val="42646EFA"/>
    <w:rsid w:val="42710A18"/>
    <w:rsid w:val="42757BE6"/>
    <w:rsid w:val="428B3221"/>
    <w:rsid w:val="42B15B0D"/>
    <w:rsid w:val="42BF1B92"/>
    <w:rsid w:val="42C45840"/>
    <w:rsid w:val="42E45EE2"/>
    <w:rsid w:val="42EA799C"/>
    <w:rsid w:val="42F71CEC"/>
    <w:rsid w:val="430A1DED"/>
    <w:rsid w:val="43364990"/>
    <w:rsid w:val="434314D7"/>
    <w:rsid w:val="43AF5C17"/>
    <w:rsid w:val="43C3013B"/>
    <w:rsid w:val="43EA5DFC"/>
    <w:rsid w:val="43EA630D"/>
    <w:rsid w:val="43F531CD"/>
    <w:rsid w:val="43F82B94"/>
    <w:rsid w:val="440B6331"/>
    <w:rsid w:val="4456696C"/>
    <w:rsid w:val="445F5EC9"/>
    <w:rsid w:val="44842778"/>
    <w:rsid w:val="44896BFF"/>
    <w:rsid w:val="4493170D"/>
    <w:rsid w:val="44A816B2"/>
    <w:rsid w:val="44D01572"/>
    <w:rsid w:val="44D35D7A"/>
    <w:rsid w:val="44DF4BB3"/>
    <w:rsid w:val="44ED30A1"/>
    <w:rsid w:val="450B59A8"/>
    <w:rsid w:val="451F1D5A"/>
    <w:rsid w:val="45292F05"/>
    <w:rsid w:val="45295484"/>
    <w:rsid w:val="45372C41"/>
    <w:rsid w:val="455475CD"/>
    <w:rsid w:val="45570CDC"/>
    <w:rsid w:val="45647867"/>
    <w:rsid w:val="4577272F"/>
    <w:rsid w:val="45826E17"/>
    <w:rsid w:val="4590612D"/>
    <w:rsid w:val="459423E1"/>
    <w:rsid w:val="45BD3779"/>
    <w:rsid w:val="45DE30BD"/>
    <w:rsid w:val="45E35BB7"/>
    <w:rsid w:val="46415F51"/>
    <w:rsid w:val="46431454"/>
    <w:rsid w:val="46500769"/>
    <w:rsid w:val="46780629"/>
    <w:rsid w:val="468034B7"/>
    <w:rsid w:val="468766C5"/>
    <w:rsid w:val="46CF6AB9"/>
    <w:rsid w:val="46DD5DCF"/>
    <w:rsid w:val="471A0124"/>
    <w:rsid w:val="471E7EBD"/>
    <w:rsid w:val="47380A67"/>
    <w:rsid w:val="47574ED5"/>
    <w:rsid w:val="47602B25"/>
    <w:rsid w:val="476FB1BC"/>
    <w:rsid w:val="47783A4F"/>
    <w:rsid w:val="478607E6"/>
    <w:rsid w:val="479245F9"/>
    <w:rsid w:val="47927E7C"/>
    <w:rsid w:val="47AF6127"/>
    <w:rsid w:val="47B057F0"/>
    <w:rsid w:val="47B52D05"/>
    <w:rsid w:val="47E330FE"/>
    <w:rsid w:val="47ED70C4"/>
    <w:rsid w:val="47F322A7"/>
    <w:rsid w:val="481B3258"/>
    <w:rsid w:val="482A5A71"/>
    <w:rsid w:val="48405A16"/>
    <w:rsid w:val="484A67E7"/>
    <w:rsid w:val="48757057"/>
    <w:rsid w:val="488C7FD4"/>
    <w:rsid w:val="48DD0D98"/>
    <w:rsid w:val="48FC164D"/>
    <w:rsid w:val="4903683C"/>
    <w:rsid w:val="493A6F33"/>
    <w:rsid w:val="493F7B37"/>
    <w:rsid w:val="497B799C"/>
    <w:rsid w:val="49927B74"/>
    <w:rsid w:val="499D3E28"/>
    <w:rsid w:val="49D97D36"/>
    <w:rsid w:val="49EB21D5"/>
    <w:rsid w:val="49F46361"/>
    <w:rsid w:val="4A0B0394"/>
    <w:rsid w:val="4A1B4023"/>
    <w:rsid w:val="4A30015B"/>
    <w:rsid w:val="4A35264E"/>
    <w:rsid w:val="4A361719"/>
    <w:rsid w:val="4A49386D"/>
    <w:rsid w:val="4A4B25F3"/>
    <w:rsid w:val="4A5C4A8C"/>
    <w:rsid w:val="4A6B72A5"/>
    <w:rsid w:val="4A833469"/>
    <w:rsid w:val="4A8920D8"/>
    <w:rsid w:val="4AB5641F"/>
    <w:rsid w:val="4ABD1246"/>
    <w:rsid w:val="4ACF4DCB"/>
    <w:rsid w:val="4AD04A4B"/>
    <w:rsid w:val="4AD66A58"/>
    <w:rsid w:val="4B125CE2"/>
    <w:rsid w:val="4B303B6B"/>
    <w:rsid w:val="4B342571"/>
    <w:rsid w:val="4B455DE3"/>
    <w:rsid w:val="4B7B0767"/>
    <w:rsid w:val="4B835B73"/>
    <w:rsid w:val="4B896F7B"/>
    <w:rsid w:val="4B8B2F80"/>
    <w:rsid w:val="4BB949C8"/>
    <w:rsid w:val="4BC92119"/>
    <w:rsid w:val="4BEA1026"/>
    <w:rsid w:val="4BF944CE"/>
    <w:rsid w:val="4BFF81EC"/>
    <w:rsid w:val="4C08741E"/>
    <w:rsid w:val="4C0B0F4F"/>
    <w:rsid w:val="4C1B1F7E"/>
    <w:rsid w:val="4C1F59F2"/>
    <w:rsid w:val="4C5835CD"/>
    <w:rsid w:val="4C602D1B"/>
    <w:rsid w:val="4C8D0224"/>
    <w:rsid w:val="4CAA55D5"/>
    <w:rsid w:val="4CB84667"/>
    <w:rsid w:val="4CC82987"/>
    <w:rsid w:val="4D1B6B8E"/>
    <w:rsid w:val="4D1C387F"/>
    <w:rsid w:val="4D2C26AC"/>
    <w:rsid w:val="4D6A14D0"/>
    <w:rsid w:val="4D6F6618"/>
    <w:rsid w:val="4D950A56"/>
    <w:rsid w:val="4D9A3D6D"/>
    <w:rsid w:val="4D9E7167"/>
    <w:rsid w:val="4DB53509"/>
    <w:rsid w:val="4DB60F8B"/>
    <w:rsid w:val="4DCA5A2D"/>
    <w:rsid w:val="4DCF7EBB"/>
    <w:rsid w:val="4DD77A42"/>
    <w:rsid w:val="4DE44058"/>
    <w:rsid w:val="4E200716"/>
    <w:rsid w:val="4E4A5082"/>
    <w:rsid w:val="4E4D6006"/>
    <w:rsid w:val="4E645C2C"/>
    <w:rsid w:val="4E6A7B35"/>
    <w:rsid w:val="4E796ACA"/>
    <w:rsid w:val="4E8925E8"/>
    <w:rsid w:val="4E9B2E61"/>
    <w:rsid w:val="4EB643B1"/>
    <w:rsid w:val="4EC97B4E"/>
    <w:rsid w:val="4ED41763"/>
    <w:rsid w:val="4F1338C8"/>
    <w:rsid w:val="4F147FCE"/>
    <w:rsid w:val="4F190BD2"/>
    <w:rsid w:val="4F2D37BA"/>
    <w:rsid w:val="4F342A81"/>
    <w:rsid w:val="4F562C35"/>
    <w:rsid w:val="4F8172FD"/>
    <w:rsid w:val="4F884335"/>
    <w:rsid w:val="4F941B5B"/>
    <w:rsid w:val="4FA81C74"/>
    <w:rsid w:val="50025D05"/>
    <w:rsid w:val="50496D46"/>
    <w:rsid w:val="505B24E3"/>
    <w:rsid w:val="506277D2"/>
    <w:rsid w:val="50791A93"/>
    <w:rsid w:val="509E4251"/>
    <w:rsid w:val="50AF1F6D"/>
    <w:rsid w:val="50AF7D6F"/>
    <w:rsid w:val="50B7737A"/>
    <w:rsid w:val="50DA01BB"/>
    <w:rsid w:val="50E23A41"/>
    <w:rsid w:val="50E6512A"/>
    <w:rsid w:val="514A216C"/>
    <w:rsid w:val="51521776"/>
    <w:rsid w:val="51561C29"/>
    <w:rsid w:val="515B7E88"/>
    <w:rsid w:val="51954F77"/>
    <w:rsid w:val="519669E8"/>
    <w:rsid w:val="51A416F3"/>
    <w:rsid w:val="51ED5DCB"/>
    <w:rsid w:val="51F79877"/>
    <w:rsid w:val="52252DD4"/>
    <w:rsid w:val="52257550"/>
    <w:rsid w:val="52272A53"/>
    <w:rsid w:val="523B4F77"/>
    <w:rsid w:val="5253261E"/>
    <w:rsid w:val="528D3EA0"/>
    <w:rsid w:val="52995311"/>
    <w:rsid w:val="52EB3A96"/>
    <w:rsid w:val="531641D5"/>
    <w:rsid w:val="53214E3B"/>
    <w:rsid w:val="5331200C"/>
    <w:rsid w:val="533F5A9C"/>
    <w:rsid w:val="5359222A"/>
    <w:rsid w:val="53683B11"/>
    <w:rsid w:val="53764934"/>
    <w:rsid w:val="53AC7074"/>
    <w:rsid w:val="53AE15D6"/>
    <w:rsid w:val="540D715B"/>
    <w:rsid w:val="54136D7C"/>
    <w:rsid w:val="54176E58"/>
    <w:rsid w:val="5443314E"/>
    <w:rsid w:val="54440BD0"/>
    <w:rsid w:val="548173AF"/>
    <w:rsid w:val="548206B4"/>
    <w:rsid w:val="548E44C7"/>
    <w:rsid w:val="54CD1A2D"/>
    <w:rsid w:val="54D56E3A"/>
    <w:rsid w:val="54EA6DDF"/>
    <w:rsid w:val="550F159D"/>
    <w:rsid w:val="552D2D4B"/>
    <w:rsid w:val="55571991"/>
    <w:rsid w:val="55597CD2"/>
    <w:rsid w:val="5590756D"/>
    <w:rsid w:val="559823FB"/>
    <w:rsid w:val="55F35093"/>
    <w:rsid w:val="5637578D"/>
    <w:rsid w:val="563E640C"/>
    <w:rsid w:val="566043C2"/>
    <w:rsid w:val="569A32A2"/>
    <w:rsid w:val="56B75990"/>
    <w:rsid w:val="56C449A6"/>
    <w:rsid w:val="56C5634F"/>
    <w:rsid w:val="56F32418"/>
    <w:rsid w:val="57052952"/>
    <w:rsid w:val="570A3E20"/>
    <w:rsid w:val="57174680"/>
    <w:rsid w:val="57276389"/>
    <w:rsid w:val="573C5798"/>
    <w:rsid w:val="574F6249"/>
    <w:rsid w:val="577F481A"/>
    <w:rsid w:val="57C14700"/>
    <w:rsid w:val="57D12A81"/>
    <w:rsid w:val="57DA16B0"/>
    <w:rsid w:val="57E74053"/>
    <w:rsid w:val="58186F97"/>
    <w:rsid w:val="58333B00"/>
    <w:rsid w:val="58350AC5"/>
    <w:rsid w:val="584119B5"/>
    <w:rsid w:val="584A6390"/>
    <w:rsid w:val="58673E5A"/>
    <w:rsid w:val="586B571C"/>
    <w:rsid w:val="58864A5B"/>
    <w:rsid w:val="58AC1A08"/>
    <w:rsid w:val="58D21C48"/>
    <w:rsid w:val="58E7636A"/>
    <w:rsid w:val="58EE2472"/>
    <w:rsid w:val="594F0101"/>
    <w:rsid w:val="59540F1D"/>
    <w:rsid w:val="5957BEBC"/>
    <w:rsid w:val="59587923"/>
    <w:rsid w:val="597E5645"/>
    <w:rsid w:val="59A85123"/>
    <w:rsid w:val="59D86F77"/>
    <w:rsid w:val="5A0532BF"/>
    <w:rsid w:val="5A145AD8"/>
    <w:rsid w:val="5A1F5D26"/>
    <w:rsid w:val="5A217462"/>
    <w:rsid w:val="5A3F439D"/>
    <w:rsid w:val="5A423075"/>
    <w:rsid w:val="5AB630E2"/>
    <w:rsid w:val="5ABB71FA"/>
    <w:rsid w:val="5ACA6500"/>
    <w:rsid w:val="5ACE0789"/>
    <w:rsid w:val="5AE31628"/>
    <w:rsid w:val="5AF35146"/>
    <w:rsid w:val="5AFF0F58"/>
    <w:rsid w:val="5AFFC886"/>
    <w:rsid w:val="5B052E61"/>
    <w:rsid w:val="5B0647F0"/>
    <w:rsid w:val="5B2F3CA6"/>
    <w:rsid w:val="5B3C2FBB"/>
    <w:rsid w:val="5B6A5336"/>
    <w:rsid w:val="5B721297"/>
    <w:rsid w:val="5B7A08A2"/>
    <w:rsid w:val="5B7F3BCC"/>
    <w:rsid w:val="5B7FEF51"/>
    <w:rsid w:val="5B8411B1"/>
    <w:rsid w:val="5B9601D2"/>
    <w:rsid w:val="5BA03415"/>
    <w:rsid w:val="5BA76E09"/>
    <w:rsid w:val="5BAC6AF2"/>
    <w:rsid w:val="5BBD57F6"/>
    <w:rsid w:val="5BE018CB"/>
    <w:rsid w:val="5BEA43D9"/>
    <w:rsid w:val="5BEF8FCB"/>
    <w:rsid w:val="5BFB7348"/>
    <w:rsid w:val="5BFD0E7B"/>
    <w:rsid w:val="5C22316D"/>
    <w:rsid w:val="5C37081C"/>
    <w:rsid w:val="5C41037F"/>
    <w:rsid w:val="5C6A3A2D"/>
    <w:rsid w:val="5CB70498"/>
    <w:rsid w:val="5CD1280D"/>
    <w:rsid w:val="5D1B7FCE"/>
    <w:rsid w:val="5D6D0B56"/>
    <w:rsid w:val="5D793BEB"/>
    <w:rsid w:val="5DAF2A40"/>
    <w:rsid w:val="5DED7492"/>
    <w:rsid w:val="5E186B5C"/>
    <w:rsid w:val="5E1B261B"/>
    <w:rsid w:val="5E4105E7"/>
    <w:rsid w:val="5E66256E"/>
    <w:rsid w:val="5E663419"/>
    <w:rsid w:val="5E6E46F4"/>
    <w:rsid w:val="5F182A7C"/>
    <w:rsid w:val="5F6F4EF6"/>
    <w:rsid w:val="5F7A0DB2"/>
    <w:rsid w:val="5F7FC6A4"/>
    <w:rsid w:val="5F84250C"/>
    <w:rsid w:val="5FA91D20"/>
    <w:rsid w:val="5FE678A4"/>
    <w:rsid w:val="5FEA2932"/>
    <w:rsid w:val="60043CF7"/>
    <w:rsid w:val="601F7341"/>
    <w:rsid w:val="603D3EBB"/>
    <w:rsid w:val="60510E15"/>
    <w:rsid w:val="60534318"/>
    <w:rsid w:val="605B7EDF"/>
    <w:rsid w:val="60651FB9"/>
    <w:rsid w:val="60C4204E"/>
    <w:rsid w:val="60C60DD4"/>
    <w:rsid w:val="60CA19D8"/>
    <w:rsid w:val="60CA77DA"/>
    <w:rsid w:val="61333986"/>
    <w:rsid w:val="61334FC1"/>
    <w:rsid w:val="61E961F7"/>
    <w:rsid w:val="61F45CEA"/>
    <w:rsid w:val="62184EFE"/>
    <w:rsid w:val="62410BBB"/>
    <w:rsid w:val="627B71A0"/>
    <w:rsid w:val="62F435E7"/>
    <w:rsid w:val="63153B1C"/>
    <w:rsid w:val="63200C00"/>
    <w:rsid w:val="63365E8E"/>
    <w:rsid w:val="63394FD5"/>
    <w:rsid w:val="63531402"/>
    <w:rsid w:val="63CE45CF"/>
    <w:rsid w:val="63D91986"/>
    <w:rsid w:val="63F40F8B"/>
    <w:rsid w:val="64290161"/>
    <w:rsid w:val="648107EF"/>
    <w:rsid w:val="64A47AAA"/>
    <w:rsid w:val="64EA021F"/>
    <w:rsid w:val="64FB04B9"/>
    <w:rsid w:val="65090AD4"/>
    <w:rsid w:val="65156AE4"/>
    <w:rsid w:val="65164566"/>
    <w:rsid w:val="651954EB"/>
    <w:rsid w:val="652A1008"/>
    <w:rsid w:val="6538251C"/>
    <w:rsid w:val="654D4A40"/>
    <w:rsid w:val="654E07CD"/>
    <w:rsid w:val="65503446"/>
    <w:rsid w:val="655E6231"/>
    <w:rsid w:val="656E2178"/>
    <w:rsid w:val="6585041D"/>
    <w:rsid w:val="65A77450"/>
    <w:rsid w:val="65B337C6"/>
    <w:rsid w:val="65BFDBFA"/>
    <w:rsid w:val="65E43CBA"/>
    <w:rsid w:val="65F479E9"/>
    <w:rsid w:val="65FA5E5E"/>
    <w:rsid w:val="65FF07B9"/>
    <w:rsid w:val="66246472"/>
    <w:rsid w:val="663E5640"/>
    <w:rsid w:val="6645502F"/>
    <w:rsid w:val="66476DFB"/>
    <w:rsid w:val="665E1FA6"/>
    <w:rsid w:val="666C01DA"/>
    <w:rsid w:val="669924E4"/>
    <w:rsid w:val="66A178F0"/>
    <w:rsid w:val="66AD46B9"/>
    <w:rsid w:val="66C11F13"/>
    <w:rsid w:val="67026690"/>
    <w:rsid w:val="67041B93"/>
    <w:rsid w:val="670F7F24"/>
    <w:rsid w:val="673A2DBF"/>
    <w:rsid w:val="67693AB6"/>
    <w:rsid w:val="67E1247B"/>
    <w:rsid w:val="67F07212"/>
    <w:rsid w:val="6803126D"/>
    <w:rsid w:val="68045EB2"/>
    <w:rsid w:val="68223E28"/>
    <w:rsid w:val="682676EC"/>
    <w:rsid w:val="682E5386"/>
    <w:rsid w:val="68434A9E"/>
    <w:rsid w:val="685F2D49"/>
    <w:rsid w:val="6868145A"/>
    <w:rsid w:val="689841A8"/>
    <w:rsid w:val="68C078EA"/>
    <w:rsid w:val="68C22DEE"/>
    <w:rsid w:val="68DF32D2"/>
    <w:rsid w:val="68EE7135"/>
    <w:rsid w:val="69154DF6"/>
    <w:rsid w:val="69166546"/>
    <w:rsid w:val="69430DBD"/>
    <w:rsid w:val="695B3788"/>
    <w:rsid w:val="6973738E"/>
    <w:rsid w:val="69842EAC"/>
    <w:rsid w:val="6985048E"/>
    <w:rsid w:val="698D4023"/>
    <w:rsid w:val="699879CE"/>
    <w:rsid w:val="699E5C54"/>
    <w:rsid w:val="69C7112E"/>
    <w:rsid w:val="69D151A9"/>
    <w:rsid w:val="69DF44BF"/>
    <w:rsid w:val="69FA636D"/>
    <w:rsid w:val="6A075683"/>
    <w:rsid w:val="6A166B97"/>
    <w:rsid w:val="6A5F216E"/>
    <w:rsid w:val="6A67569D"/>
    <w:rsid w:val="6A82754B"/>
    <w:rsid w:val="6A87954B"/>
    <w:rsid w:val="6AB5321D"/>
    <w:rsid w:val="6AFA0A4B"/>
    <w:rsid w:val="6AFC4C97"/>
    <w:rsid w:val="6B0542A1"/>
    <w:rsid w:val="6B0A3FAC"/>
    <w:rsid w:val="6B1E73CA"/>
    <w:rsid w:val="6B3063EA"/>
    <w:rsid w:val="6B3C43FB"/>
    <w:rsid w:val="6B7DB4AD"/>
    <w:rsid w:val="6B903108"/>
    <w:rsid w:val="6B9419A4"/>
    <w:rsid w:val="6BB77FE6"/>
    <w:rsid w:val="6BBF2955"/>
    <w:rsid w:val="6BC35959"/>
    <w:rsid w:val="6BD98CDC"/>
    <w:rsid w:val="6BDC4305"/>
    <w:rsid w:val="6BED2021"/>
    <w:rsid w:val="6C1653E3"/>
    <w:rsid w:val="6C340216"/>
    <w:rsid w:val="6C3B2004"/>
    <w:rsid w:val="6C3C1DA0"/>
    <w:rsid w:val="6C4007A6"/>
    <w:rsid w:val="6C584ABB"/>
    <w:rsid w:val="6C67530A"/>
    <w:rsid w:val="6C75797B"/>
    <w:rsid w:val="6C757A27"/>
    <w:rsid w:val="6C7F4402"/>
    <w:rsid w:val="6C837F96"/>
    <w:rsid w:val="6CDC3602"/>
    <w:rsid w:val="6D0B1173"/>
    <w:rsid w:val="6D1014FE"/>
    <w:rsid w:val="6D1C5D24"/>
    <w:rsid w:val="6D232283"/>
    <w:rsid w:val="6D2A61A5"/>
    <w:rsid w:val="6D663E0B"/>
    <w:rsid w:val="6D7D01AD"/>
    <w:rsid w:val="6DA51372"/>
    <w:rsid w:val="6DDE1315"/>
    <w:rsid w:val="6DF9EB96"/>
    <w:rsid w:val="6E0F2F9F"/>
    <w:rsid w:val="6E2E3854"/>
    <w:rsid w:val="6E384B2F"/>
    <w:rsid w:val="6E3C4D68"/>
    <w:rsid w:val="6E4F0506"/>
    <w:rsid w:val="6E5B561D"/>
    <w:rsid w:val="6E882A4D"/>
    <w:rsid w:val="6EA9791B"/>
    <w:rsid w:val="6EB0311C"/>
    <w:rsid w:val="6EC95E08"/>
    <w:rsid w:val="6ED300B1"/>
    <w:rsid w:val="6EEA6186"/>
    <w:rsid w:val="6F287F6F"/>
    <w:rsid w:val="6F2B6BEF"/>
    <w:rsid w:val="6F45301C"/>
    <w:rsid w:val="6F5867BA"/>
    <w:rsid w:val="6F6C55A4"/>
    <w:rsid w:val="6F6E0186"/>
    <w:rsid w:val="6F926B42"/>
    <w:rsid w:val="6F952696"/>
    <w:rsid w:val="6F9540A0"/>
    <w:rsid w:val="6F9C3A2B"/>
    <w:rsid w:val="6FA77EA0"/>
    <w:rsid w:val="6FB2689C"/>
    <w:rsid w:val="6FB76906"/>
    <w:rsid w:val="6FBE4871"/>
    <w:rsid w:val="6FE791A0"/>
    <w:rsid w:val="6FFE6303"/>
    <w:rsid w:val="7056191E"/>
    <w:rsid w:val="70643377"/>
    <w:rsid w:val="707E076A"/>
    <w:rsid w:val="70B52AE8"/>
    <w:rsid w:val="70BC3E77"/>
    <w:rsid w:val="70C54792"/>
    <w:rsid w:val="70E84C6C"/>
    <w:rsid w:val="7104137A"/>
    <w:rsid w:val="712437CA"/>
    <w:rsid w:val="71285068"/>
    <w:rsid w:val="71396D2E"/>
    <w:rsid w:val="713C56D6"/>
    <w:rsid w:val="714275DF"/>
    <w:rsid w:val="7153807E"/>
    <w:rsid w:val="71614A1E"/>
    <w:rsid w:val="7165689A"/>
    <w:rsid w:val="71804EC5"/>
    <w:rsid w:val="718E1C5D"/>
    <w:rsid w:val="71AD1673"/>
    <w:rsid w:val="71C70D25"/>
    <w:rsid w:val="71DD525F"/>
    <w:rsid w:val="71E338E5"/>
    <w:rsid w:val="720D425E"/>
    <w:rsid w:val="721C21EB"/>
    <w:rsid w:val="72345C6E"/>
    <w:rsid w:val="723942F4"/>
    <w:rsid w:val="7258372B"/>
    <w:rsid w:val="72606A84"/>
    <w:rsid w:val="727069CC"/>
    <w:rsid w:val="72AB332E"/>
    <w:rsid w:val="72C46456"/>
    <w:rsid w:val="72CC754C"/>
    <w:rsid w:val="72D7B171"/>
    <w:rsid w:val="72FC8D21"/>
    <w:rsid w:val="732301DD"/>
    <w:rsid w:val="732E0930"/>
    <w:rsid w:val="733E61E4"/>
    <w:rsid w:val="73555D45"/>
    <w:rsid w:val="73A225C1"/>
    <w:rsid w:val="73A25E44"/>
    <w:rsid w:val="73C4767E"/>
    <w:rsid w:val="73C66DBA"/>
    <w:rsid w:val="73E70B37"/>
    <w:rsid w:val="73E848B0"/>
    <w:rsid w:val="740C7A72"/>
    <w:rsid w:val="743566B8"/>
    <w:rsid w:val="74640101"/>
    <w:rsid w:val="746E5488"/>
    <w:rsid w:val="74AD75FB"/>
    <w:rsid w:val="74B531D5"/>
    <w:rsid w:val="74B938A1"/>
    <w:rsid w:val="74C2049A"/>
    <w:rsid w:val="74CE7B30"/>
    <w:rsid w:val="74DC48C7"/>
    <w:rsid w:val="75155D26"/>
    <w:rsid w:val="75167F24"/>
    <w:rsid w:val="75375EDA"/>
    <w:rsid w:val="756418BE"/>
    <w:rsid w:val="758804BC"/>
    <w:rsid w:val="759D15A6"/>
    <w:rsid w:val="759E3B4B"/>
    <w:rsid w:val="75A924F0"/>
    <w:rsid w:val="75E066F3"/>
    <w:rsid w:val="75EC7F23"/>
    <w:rsid w:val="761C0F14"/>
    <w:rsid w:val="7647729E"/>
    <w:rsid w:val="7656207F"/>
    <w:rsid w:val="76943C19"/>
    <w:rsid w:val="76970420"/>
    <w:rsid w:val="76BA6056"/>
    <w:rsid w:val="76C05D62"/>
    <w:rsid w:val="76C21265"/>
    <w:rsid w:val="76D4359C"/>
    <w:rsid w:val="76FF3F1B"/>
    <w:rsid w:val="7706182A"/>
    <w:rsid w:val="771F15FE"/>
    <w:rsid w:val="773F767D"/>
    <w:rsid w:val="776B0749"/>
    <w:rsid w:val="77746B0A"/>
    <w:rsid w:val="7776420B"/>
    <w:rsid w:val="77854826"/>
    <w:rsid w:val="77935D3A"/>
    <w:rsid w:val="77D70DAD"/>
    <w:rsid w:val="77DE0738"/>
    <w:rsid w:val="77EE76FC"/>
    <w:rsid w:val="77EF18CC"/>
    <w:rsid w:val="77EF6B18"/>
    <w:rsid w:val="77EFDEFB"/>
    <w:rsid w:val="77FE0C6C"/>
    <w:rsid w:val="7809377A"/>
    <w:rsid w:val="780D320A"/>
    <w:rsid w:val="781A76D5"/>
    <w:rsid w:val="78240EAC"/>
    <w:rsid w:val="7842045C"/>
    <w:rsid w:val="78460E10"/>
    <w:rsid w:val="784A42DC"/>
    <w:rsid w:val="787E4A3E"/>
    <w:rsid w:val="788B1B55"/>
    <w:rsid w:val="78964663"/>
    <w:rsid w:val="789C249F"/>
    <w:rsid w:val="78A407A4"/>
    <w:rsid w:val="78A87E00"/>
    <w:rsid w:val="78AD7B0B"/>
    <w:rsid w:val="78E26CE0"/>
    <w:rsid w:val="78FA4387"/>
    <w:rsid w:val="78FE6611"/>
    <w:rsid w:val="79101DAE"/>
    <w:rsid w:val="791374B0"/>
    <w:rsid w:val="79232FCD"/>
    <w:rsid w:val="79537342"/>
    <w:rsid w:val="7954379C"/>
    <w:rsid w:val="79630533"/>
    <w:rsid w:val="797F45E0"/>
    <w:rsid w:val="798C38F6"/>
    <w:rsid w:val="799D7414"/>
    <w:rsid w:val="79A68201"/>
    <w:rsid w:val="79BB3CA3"/>
    <w:rsid w:val="79BF2E4B"/>
    <w:rsid w:val="79CD5F39"/>
    <w:rsid w:val="79D49B78"/>
    <w:rsid w:val="79ED0498"/>
    <w:rsid w:val="79F37E22"/>
    <w:rsid w:val="7A1F66E8"/>
    <w:rsid w:val="7A37631C"/>
    <w:rsid w:val="7A4B2A2F"/>
    <w:rsid w:val="7A625ED8"/>
    <w:rsid w:val="7A637111"/>
    <w:rsid w:val="7A7F5C03"/>
    <w:rsid w:val="7A8066F8"/>
    <w:rsid w:val="7A9E025B"/>
    <w:rsid w:val="7AA034B0"/>
    <w:rsid w:val="7AB001D5"/>
    <w:rsid w:val="7AC73B44"/>
    <w:rsid w:val="7ACC7B06"/>
    <w:rsid w:val="7AD1070A"/>
    <w:rsid w:val="7AE446F6"/>
    <w:rsid w:val="7AF34939"/>
    <w:rsid w:val="7AFEE60F"/>
    <w:rsid w:val="7B182183"/>
    <w:rsid w:val="7B3EEE32"/>
    <w:rsid w:val="7B40684C"/>
    <w:rsid w:val="7B617FF9"/>
    <w:rsid w:val="7B8D2142"/>
    <w:rsid w:val="7B8D68BF"/>
    <w:rsid w:val="7BBDED9C"/>
    <w:rsid w:val="7BD9724A"/>
    <w:rsid w:val="7BFDC1CB"/>
    <w:rsid w:val="7C14004B"/>
    <w:rsid w:val="7C2428D0"/>
    <w:rsid w:val="7C412EEA"/>
    <w:rsid w:val="7C7A50A1"/>
    <w:rsid w:val="7CB7663F"/>
    <w:rsid w:val="7CF40BD5"/>
    <w:rsid w:val="7CF76237"/>
    <w:rsid w:val="7CFB7322"/>
    <w:rsid w:val="7D025527"/>
    <w:rsid w:val="7D136216"/>
    <w:rsid w:val="7D38437C"/>
    <w:rsid w:val="7D5C6460"/>
    <w:rsid w:val="7D663F42"/>
    <w:rsid w:val="7D6C1353"/>
    <w:rsid w:val="7D921593"/>
    <w:rsid w:val="7D939E76"/>
    <w:rsid w:val="7DA83736"/>
    <w:rsid w:val="7DC27B63"/>
    <w:rsid w:val="7DCD2671"/>
    <w:rsid w:val="7E182EF8"/>
    <w:rsid w:val="7E6802F1"/>
    <w:rsid w:val="7E863124"/>
    <w:rsid w:val="7E8D605B"/>
    <w:rsid w:val="7E9633BF"/>
    <w:rsid w:val="7ED723D3"/>
    <w:rsid w:val="7F006218"/>
    <w:rsid w:val="7F182693"/>
    <w:rsid w:val="7F2E4837"/>
    <w:rsid w:val="7F7753DE"/>
    <w:rsid w:val="7F7B3E81"/>
    <w:rsid w:val="7F8F47D4"/>
    <w:rsid w:val="7F9554E0"/>
    <w:rsid w:val="7F995F81"/>
    <w:rsid w:val="7F9E9120"/>
    <w:rsid w:val="7FA6577A"/>
    <w:rsid w:val="7FAC9738"/>
    <w:rsid w:val="7FC86FB4"/>
    <w:rsid w:val="7FCE49D6"/>
    <w:rsid w:val="7FCEFA9B"/>
    <w:rsid w:val="7FD21AC2"/>
    <w:rsid w:val="7FD50AB1"/>
    <w:rsid w:val="7FD562CA"/>
    <w:rsid w:val="7FEFC01C"/>
    <w:rsid w:val="7FFFDFFF"/>
    <w:rsid w:val="8BFF3728"/>
    <w:rsid w:val="8FADF6EA"/>
    <w:rsid w:val="95EFA895"/>
    <w:rsid w:val="9EFD5F3B"/>
    <w:rsid w:val="B1EE2853"/>
    <w:rsid w:val="B1FF0E24"/>
    <w:rsid w:val="B6EF74AA"/>
    <w:rsid w:val="B7F91AAC"/>
    <w:rsid w:val="BAF74C8A"/>
    <w:rsid w:val="BB6E21DA"/>
    <w:rsid w:val="BBFD08C8"/>
    <w:rsid w:val="BC33E90A"/>
    <w:rsid w:val="BCE708A4"/>
    <w:rsid w:val="BDDD71F6"/>
    <w:rsid w:val="BDFEE681"/>
    <w:rsid w:val="BEF94C77"/>
    <w:rsid w:val="BF373043"/>
    <w:rsid w:val="BF528CDD"/>
    <w:rsid w:val="BF9A55A0"/>
    <w:rsid w:val="BFAF2508"/>
    <w:rsid w:val="BFEBC786"/>
    <w:rsid w:val="BFF72D1F"/>
    <w:rsid w:val="C56D0022"/>
    <w:rsid w:val="C9FBC495"/>
    <w:rsid w:val="CC6FFE68"/>
    <w:rsid w:val="CEBF83D5"/>
    <w:rsid w:val="CFBF24D0"/>
    <w:rsid w:val="CFC34D71"/>
    <w:rsid w:val="CFDE4613"/>
    <w:rsid w:val="D3FB37F6"/>
    <w:rsid w:val="D7DE1957"/>
    <w:rsid w:val="D7FF909B"/>
    <w:rsid w:val="DA5EAE63"/>
    <w:rsid w:val="DBFFE7BF"/>
    <w:rsid w:val="DCFDA881"/>
    <w:rsid w:val="DE776032"/>
    <w:rsid w:val="DEFB3100"/>
    <w:rsid w:val="DF0AEA3D"/>
    <w:rsid w:val="DF2F0E29"/>
    <w:rsid w:val="DF3FA003"/>
    <w:rsid w:val="DF4767D1"/>
    <w:rsid w:val="DFCBD686"/>
    <w:rsid w:val="DFEE77E1"/>
    <w:rsid w:val="E2BEA89C"/>
    <w:rsid w:val="E3BFCA0F"/>
    <w:rsid w:val="E4FE90B6"/>
    <w:rsid w:val="E75F3D05"/>
    <w:rsid w:val="E7FB9671"/>
    <w:rsid w:val="E7FE932F"/>
    <w:rsid w:val="EB1FA4EC"/>
    <w:rsid w:val="EF3D2553"/>
    <w:rsid w:val="EF9F14B7"/>
    <w:rsid w:val="EFEF631A"/>
    <w:rsid w:val="EFEFDC72"/>
    <w:rsid w:val="F0B1BC7F"/>
    <w:rsid w:val="F39A37F5"/>
    <w:rsid w:val="F5FFBA18"/>
    <w:rsid w:val="F65F80BA"/>
    <w:rsid w:val="F66F9873"/>
    <w:rsid w:val="F6FDEADF"/>
    <w:rsid w:val="F777BF45"/>
    <w:rsid w:val="F7BFC799"/>
    <w:rsid w:val="F7D77339"/>
    <w:rsid w:val="F7EBA263"/>
    <w:rsid w:val="F7FE6CAF"/>
    <w:rsid w:val="FADEA5F8"/>
    <w:rsid w:val="FBB0CF9F"/>
    <w:rsid w:val="FBF9E8D2"/>
    <w:rsid w:val="FCB55C8D"/>
    <w:rsid w:val="FD7DCE79"/>
    <w:rsid w:val="FD7E0441"/>
    <w:rsid w:val="FDB752EF"/>
    <w:rsid w:val="FDDF95F7"/>
    <w:rsid w:val="FDF70DB0"/>
    <w:rsid w:val="FDFF4671"/>
    <w:rsid w:val="FE6F9A36"/>
    <w:rsid w:val="FE9E21CF"/>
    <w:rsid w:val="FEFF7295"/>
    <w:rsid w:val="FF4F3ED0"/>
    <w:rsid w:val="FF5D7F71"/>
    <w:rsid w:val="FF7EE5E1"/>
    <w:rsid w:val="FF8F3C49"/>
    <w:rsid w:val="FF9E9CD5"/>
    <w:rsid w:val="FFB751A4"/>
    <w:rsid w:val="FFBE2041"/>
    <w:rsid w:val="FFF43126"/>
    <w:rsid w:val="FFF7E39B"/>
    <w:rsid w:val="FFF9C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28"/>
      <w:szCs w:val="22"/>
      <w:lang w:val="en-US" w:eastAsia="zh-CN" w:bidi="ar-SA"/>
    </w:rPr>
  </w:style>
  <w:style w:type="paragraph" w:styleId="4">
    <w:name w:val="heading 1"/>
    <w:basedOn w:val="1"/>
    <w:next w:val="1"/>
    <w:link w:val="34"/>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3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36"/>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37"/>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Cs w:val="28"/>
    </w:rPr>
  </w:style>
  <w:style w:type="paragraph" w:styleId="8">
    <w:name w:val="heading 5"/>
    <w:basedOn w:val="1"/>
    <w:next w:val="1"/>
    <w:link w:val="38"/>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9">
    <w:name w:val="heading 6"/>
    <w:basedOn w:val="1"/>
    <w:next w:val="1"/>
    <w:link w:val="39"/>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10">
    <w:name w:val="heading 7"/>
    <w:basedOn w:val="1"/>
    <w:next w:val="1"/>
    <w:link w:val="40"/>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41"/>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42"/>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next w:val="1"/>
    <w:qFormat/>
    <w:uiPriority w:val="0"/>
    <w:pPr>
      <w:spacing w:line="600" w:lineRule="exact"/>
      <w:ind w:firstLine="600"/>
    </w:pPr>
    <w:rPr>
      <w:rFonts w:ascii="仿宋_GB2312"/>
      <w:sz w:val="30"/>
    </w:rPr>
  </w:style>
  <w:style w:type="paragraph" w:styleId="13">
    <w:name w:val="Normal Indent"/>
    <w:basedOn w:val="1"/>
    <w:unhideWhenUsed/>
    <w:qFormat/>
    <w:uiPriority w:val="99"/>
    <w:pPr>
      <w:ind w:firstLine="420" w:firstLineChars="200"/>
    </w:pPr>
  </w:style>
  <w:style w:type="paragraph" w:styleId="14">
    <w:name w:val="annotation text"/>
    <w:basedOn w:val="1"/>
    <w:link w:val="54"/>
    <w:unhideWhenUsed/>
    <w:qFormat/>
    <w:uiPriority w:val="99"/>
    <w:pPr>
      <w:jc w:val="left"/>
    </w:pPr>
    <w:rPr>
      <w:rFonts w:eastAsia="宋体"/>
    </w:rPr>
  </w:style>
  <w:style w:type="paragraph" w:styleId="15">
    <w:name w:val="toc 3"/>
    <w:basedOn w:val="1"/>
    <w:next w:val="1"/>
    <w:unhideWhenUsed/>
    <w:qFormat/>
    <w:uiPriority w:val="39"/>
    <w:pPr>
      <w:ind w:left="840" w:leftChars="400"/>
    </w:pPr>
  </w:style>
  <w:style w:type="paragraph" w:styleId="16">
    <w:name w:val="Balloon Text"/>
    <w:basedOn w:val="1"/>
    <w:link w:val="60"/>
    <w:semiHidden/>
    <w:unhideWhenUsed/>
    <w:qFormat/>
    <w:uiPriority w:val="99"/>
    <w:rPr>
      <w:sz w:val="18"/>
      <w:szCs w:val="18"/>
    </w:rPr>
  </w:style>
  <w:style w:type="paragraph" w:styleId="17">
    <w:name w:val="footer"/>
    <w:basedOn w:val="1"/>
    <w:link w:val="53"/>
    <w:unhideWhenUsed/>
    <w:qFormat/>
    <w:uiPriority w:val="99"/>
    <w:pPr>
      <w:tabs>
        <w:tab w:val="center" w:pos="4153"/>
        <w:tab w:val="right" w:pos="8306"/>
      </w:tabs>
      <w:snapToGrid w:val="0"/>
      <w:jc w:val="left"/>
    </w:pPr>
    <w:rPr>
      <w:sz w:val="18"/>
      <w:szCs w:val="18"/>
    </w:rPr>
  </w:style>
  <w:style w:type="paragraph" w:styleId="18">
    <w:name w:val="header"/>
    <w:basedOn w:val="1"/>
    <w:link w:val="52"/>
    <w:unhideWhenUsed/>
    <w:qFormat/>
    <w:uiPriority w:val="99"/>
    <w:pP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Subtitle"/>
    <w:basedOn w:val="1"/>
    <w:next w:val="1"/>
    <w:link w:val="44"/>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1">
    <w:name w:val="footnote text"/>
    <w:basedOn w:val="1"/>
    <w:link w:val="57"/>
    <w:unhideWhenUsed/>
    <w:qFormat/>
    <w:uiPriority w:val="99"/>
    <w:pPr>
      <w:snapToGrid w:val="0"/>
      <w:jc w:val="left"/>
    </w:pPr>
    <w:rPr>
      <w:sz w:val="18"/>
      <w:szCs w:val="18"/>
    </w:rPr>
  </w:style>
  <w:style w:type="paragraph" w:styleId="22">
    <w:name w:val="toc 2"/>
    <w:basedOn w:val="1"/>
    <w:next w:val="1"/>
    <w:unhideWhenUsed/>
    <w:qFormat/>
    <w:uiPriority w:val="39"/>
    <w:pPr>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4">
    <w:name w:val="Title"/>
    <w:basedOn w:val="1"/>
    <w:next w:val="1"/>
    <w:link w:val="4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5">
    <w:name w:val="annotation subject"/>
    <w:basedOn w:val="14"/>
    <w:next w:val="14"/>
    <w:link w:val="55"/>
    <w:semiHidden/>
    <w:unhideWhenUsed/>
    <w:qFormat/>
    <w:uiPriority w:val="99"/>
    <w:rPr>
      <w:b/>
      <w:bCs/>
    </w:rPr>
  </w:style>
  <w:style w:type="table" w:styleId="27">
    <w:name w:val="Table Grid"/>
    <w:basedOn w:val="26"/>
    <w:qFormat/>
    <w:uiPriority w:val="39"/>
    <w:rPr>
      <w:rFonts w:asciiTheme="minorHAnsi" w:hAns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nhideWhenUsed/>
    <w:qFormat/>
    <w:uiPriority w:val="99"/>
    <w:rPr>
      <w:color w:val="0000FF"/>
      <w:u w:val="single"/>
    </w:rPr>
  </w:style>
  <w:style w:type="character" w:styleId="32">
    <w:name w:val="annotation reference"/>
    <w:basedOn w:val="28"/>
    <w:unhideWhenUsed/>
    <w:qFormat/>
    <w:uiPriority w:val="99"/>
    <w:rPr>
      <w:sz w:val="21"/>
      <w:szCs w:val="21"/>
    </w:rPr>
  </w:style>
  <w:style w:type="character" w:styleId="33">
    <w:name w:val="footnote reference"/>
    <w:basedOn w:val="28"/>
    <w:unhideWhenUsed/>
    <w:qFormat/>
    <w:uiPriority w:val="0"/>
    <w:rPr>
      <w:vertAlign w:val="superscript"/>
    </w:rPr>
  </w:style>
  <w:style w:type="character" w:customStyle="1" w:styleId="34">
    <w:name w:val="标题 1 字符"/>
    <w:basedOn w:val="28"/>
    <w:link w:val="4"/>
    <w:qFormat/>
    <w:uiPriority w:val="9"/>
    <w:rPr>
      <w:rFonts w:asciiTheme="majorHAnsi" w:hAnsiTheme="majorHAnsi" w:eastAsiaTheme="majorEastAsia" w:cstheme="majorBidi"/>
      <w:color w:val="104862" w:themeColor="accent1" w:themeShade="BF"/>
      <w:sz w:val="48"/>
      <w:szCs w:val="48"/>
    </w:rPr>
  </w:style>
  <w:style w:type="character" w:customStyle="1" w:styleId="35">
    <w:name w:val="标题 2 字符"/>
    <w:basedOn w:val="28"/>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36">
    <w:name w:val="标题 3 字符"/>
    <w:basedOn w:val="28"/>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37">
    <w:name w:val="标题 4 字符"/>
    <w:basedOn w:val="28"/>
    <w:link w:val="7"/>
    <w:semiHidden/>
    <w:qFormat/>
    <w:uiPriority w:val="9"/>
    <w:rPr>
      <w:rFonts w:asciiTheme="minorHAnsi" w:hAnsiTheme="minorHAnsi" w:eastAsiaTheme="minorEastAsia" w:cstheme="majorBidi"/>
      <w:color w:val="104862" w:themeColor="accent1" w:themeShade="BF"/>
      <w:szCs w:val="28"/>
    </w:rPr>
  </w:style>
  <w:style w:type="character" w:customStyle="1" w:styleId="38">
    <w:name w:val="标题 5 字符"/>
    <w:basedOn w:val="28"/>
    <w:link w:val="8"/>
    <w:semiHidden/>
    <w:qFormat/>
    <w:uiPriority w:val="9"/>
    <w:rPr>
      <w:rFonts w:asciiTheme="minorHAnsi" w:hAnsiTheme="minorHAnsi" w:eastAsiaTheme="minorEastAsia" w:cstheme="majorBidi"/>
      <w:color w:val="104862" w:themeColor="accent1" w:themeShade="BF"/>
      <w:sz w:val="24"/>
      <w:szCs w:val="24"/>
    </w:rPr>
  </w:style>
  <w:style w:type="character" w:customStyle="1" w:styleId="39">
    <w:name w:val="标题 6 字符"/>
    <w:basedOn w:val="28"/>
    <w:link w:val="9"/>
    <w:semiHidden/>
    <w:qFormat/>
    <w:uiPriority w:val="9"/>
    <w:rPr>
      <w:rFonts w:asciiTheme="minorHAnsi" w:hAnsiTheme="minorHAnsi" w:eastAsiaTheme="minorEastAsia" w:cstheme="majorBidi"/>
      <w:b/>
      <w:bCs/>
      <w:color w:val="104862" w:themeColor="accent1" w:themeShade="BF"/>
    </w:rPr>
  </w:style>
  <w:style w:type="character" w:customStyle="1" w:styleId="40">
    <w:name w:val="标题 7 字符"/>
    <w:basedOn w:val="28"/>
    <w:link w:val="10"/>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41">
    <w:name w:val="标题 8 字符"/>
    <w:basedOn w:val="28"/>
    <w:link w:val="11"/>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42">
    <w:name w:val="标题 9 字符"/>
    <w:basedOn w:val="28"/>
    <w:link w:val="12"/>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3">
    <w:name w:val="标题 字符"/>
    <w:basedOn w:val="28"/>
    <w:link w:val="24"/>
    <w:qFormat/>
    <w:uiPriority w:val="10"/>
    <w:rPr>
      <w:rFonts w:asciiTheme="majorHAnsi" w:hAnsiTheme="majorHAnsi" w:eastAsiaTheme="majorEastAsia" w:cstheme="majorBidi"/>
      <w:spacing w:val="-10"/>
      <w:kern w:val="28"/>
      <w:sz w:val="56"/>
      <w:szCs w:val="56"/>
    </w:rPr>
  </w:style>
  <w:style w:type="character" w:customStyle="1" w:styleId="44">
    <w:name w:val="副标题 字符"/>
    <w:basedOn w:val="28"/>
    <w:link w:val="20"/>
    <w:qFormat/>
    <w:uiPriority w:val="11"/>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45">
    <w:name w:val="Quote"/>
    <w:basedOn w:val="1"/>
    <w:next w:val="1"/>
    <w:link w:val="4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6">
    <w:name w:val="引用 字符"/>
    <w:basedOn w:val="28"/>
    <w:link w:val="45"/>
    <w:qFormat/>
    <w:uiPriority w:val="29"/>
    <w:rPr>
      <w:i/>
      <w:iCs/>
      <w:color w:val="404040" w:themeColor="text1" w:themeTint="BF"/>
      <w14:textFill>
        <w14:solidFill>
          <w14:schemeClr w14:val="tx1">
            <w14:lumMod w14:val="75000"/>
            <w14:lumOff w14:val="25000"/>
          </w14:schemeClr>
        </w14:solidFill>
      </w14:textFill>
    </w:rPr>
  </w:style>
  <w:style w:type="paragraph" w:styleId="47">
    <w:name w:val="List Paragraph"/>
    <w:basedOn w:val="1"/>
    <w:qFormat/>
    <w:uiPriority w:val="34"/>
    <w:pPr>
      <w:ind w:left="720"/>
      <w:contextualSpacing/>
    </w:pPr>
  </w:style>
  <w:style w:type="character" w:customStyle="1" w:styleId="48">
    <w:name w:val="明显强调1"/>
    <w:basedOn w:val="28"/>
    <w:qFormat/>
    <w:uiPriority w:val="21"/>
    <w:rPr>
      <w:i/>
      <w:iCs/>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0">
    <w:name w:val="明显引用 字符"/>
    <w:basedOn w:val="28"/>
    <w:link w:val="49"/>
    <w:qFormat/>
    <w:uiPriority w:val="30"/>
    <w:rPr>
      <w:i/>
      <w:iCs/>
      <w:color w:val="104862" w:themeColor="accent1" w:themeShade="BF"/>
    </w:rPr>
  </w:style>
  <w:style w:type="character" w:customStyle="1" w:styleId="51">
    <w:name w:val="明显参考1"/>
    <w:basedOn w:val="28"/>
    <w:qFormat/>
    <w:uiPriority w:val="32"/>
    <w:rPr>
      <w:b/>
      <w:bCs/>
      <w:smallCaps/>
      <w:color w:val="104862" w:themeColor="accent1" w:themeShade="BF"/>
      <w:spacing w:val="5"/>
    </w:rPr>
  </w:style>
  <w:style w:type="character" w:customStyle="1" w:styleId="52">
    <w:name w:val="页眉 字符"/>
    <w:basedOn w:val="28"/>
    <w:link w:val="18"/>
    <w:qFormat/>
    <w:uiPriority w:val="99"/>
    <w:rPr>
      <w:sz w:val="18"/>
      <w:szCs w:val="18"/>
    </w:rPr>
  </w:style>
  <w:style w:type="character" w:customStyle="1" w:styleId="53">
    <w:name w:val="页脚 字符"/>
    <w:basedOn w:val="28"/>
    <w:link w:val="17"/>
    <w:qFormat/>
    <w:uiPriority w:val="99"/>
    <w:rPr>
      <w:sz w:val="18"/>
      <w:szCs w:val="18"/>
    </w:rPr>
  </w:style>
  <w:style w:type="character" w:customStyle="1" w:styleId="54">
    <w:name w:val="批注文字 字符"/>
    <w:basedOn w:val="28"/>
    <w:link w:val="14"/>
    <w:qFormat/>
    <w:uiPriority w:val="99"/>
    <w:rPr>
      <w:rFonts w:eastAsia="宋体"/>
    </w:rPr>
  </w:style>
  <w:style w:type="character" w:customStyle="1" w:styleId="55">
    <w:name w:val="批注主题 字符"/>
    <w:basedOn w:val="54"/>
    <w:link w:val="25"/>
    <w:semiHidden/>
    <w:qFormat/>
    <w:uiPriority w:val="99"/>
    <w:rPr>
      <w:rFonts w:eastAsia="宋体"/>
      <w:b/>
      <w:bCs/>
    </w:rPr>
  </w:style>
  <w:style w:type="paragraph" w:customStyle="1" w:styleId="56">
    <w:name w:val="修订1"/>
    <w:hidden/>
    <w:semiHidden/>
    <w:qFormat/>
    <w:uiPriority w:val="99"/>
    <w:rPr>
      <w:rFonts w:ascii="Times New Roman" w:hAnsi="Times New Roman" w:eastAsia="仿宋_GB2312" w:cstheme="minorBidi"/>
      <w:kern w:val="2"/>
      <w:sz w:val="28"/>
      <w:szCs w:val="22"/>
      <w:lang w:val="en-US" w:eastAsia="zh-CN" w:bidi="ar-SA"/>
    </w:rPr>
  </w:style>
  <w:style w:type="character" w:customStyle="1" w:styleId="57">
    <w:name w:val="脚注文本 字符"/>
    <w:basedOn w:val="28"/>
    <w:link w:val="21"/>
    <w:qFormat/>
    <w:uiPriority w:val="99"/>
    <w:rPr>
      <w:sz w:val="18"/>
      <w:szCs w:val="18"/>
    </w:rPr>
  </w:style>
  <w:style w:type="character" w:customStyle="1" w:styleId="58">
    <w:name w:val="refindex___in7zn"/>
    <w:basedOn w:val="28"/>
    <w:qFormat/>
    <w:uiPriority w:val="0"/>
  </w:style>
  <w:style w:type="character" w:customStyle="1" w:styleId="59">
    <w:name w:val="未处理的提及1"/>
    <w:basedOn w:val="28"/>
    <w:semiHidden/>
    <w:unhideWhenUsed/>
    <w:qFormat/>
    <w:uiPriority w:val="99"/>
    <w:rPr>
      <w:color w:val="605E5C"/>
      <w:shd w:val="clear" w:color="auto" w:fill="E1DFDD"/>
    </w:rPr>
  </w:style>
  <w:style w:type="character" w:customStyle="1" w:styleId="60">
    <w:name w:val="批注框文本 字符"/>
    <w:basedOn w:val="28"/>
    <w:link w:val="16"/>
    <w:semiHidden/>
    <w:qFormat/>
    <w:uiPriority w:val="99"/>
    <w:rPr>
      <w:sz w:val="18"/>
      <w:szCs w:val="18"/>
    </w:rPr>
  </w:style>
  <w:style w:type="paragraph" w:customStyle="1" w:styleId="61">
    <w:name w:val="修订2"/>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62">
    <w:name w:val="修订3"/>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63">
    <w:name w:val="修订4"/>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64">
    <w:name w:val="_Style 3"/>
    <w:basedOn w:val="1"/>
    <w:qFormat/>
    <w:uiPriority w:val="0"/>
    <w:pPr>
      <w:ind w:firstLine="420" w:firstLineChars="200"/>
    </w:pPr>
    <w:rPr>
      <w:kern w:val="0"/>
      <w:sz w:val="20"/>
    </w:rPr>
  </w:style>
  <w:style w:type="character" w:customStyle="1" w:styleId="65">
    <w:name w:val="fontstyle01"/>
    <w:basedOn w:val="28"/>
    <w:qFormat/>
    <w:uiPriority w:val="0"/>
    <w:rPr>
      <w:rFonts w:ascii="FZFSJW--GB1-0" w:hAnsi="FZFSJW--GB1-0" w:eastAsia="FZFSJW--GB1-0" w:cs="FZFSJW--GB1-0"/>
      <w:color w:val="000000"/>
      <w:sz w:val="30"/>
      <w:szCs w:val="30"/>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9">
    <w:name w:val="修订5"/>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70">
    <w:name w:val="修订6"/>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71">
    <w:name w:val="修订7"/>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72">
    <w:name w:val="p"/>
    <w:basedOn w:val="1"/>
    <w:qFormat/>
    <w:uiPriority w:val="0"/>
    <w:pPr>
      <w:widowControl/>
      <w:jc w:val="left"/>
      <w:textAlignment w:val="baseline"/>
    </w:pPr>
    <w:rPr>
      <w:rFonts w:cs="Times New Roman" w:eastAsiaTheme="minorEastAsia"/>
      <w:kern w:val="0"/>
      <w:sz w:val="24"/>
      <w:szCs w:val="24"/>
    </w:rPr>
  </w:style>
  <w:style w:type="character" w:customStyle="1" w:styleId="73">
    <w:name w:val="fulltext-wrap_navtiao"/>
    <w:basedOn w:val="28"/>
    <w:qFormat/>
    <w:uiPriority w:val="0"/>
    <w:rPr>
      <w:b/>
      <w:bCs/>
    </w:rPr>
  </w:style>
  <w:style w:type="paragraph" w:customStyle="1" w:styleId="74">
    <w:name w:val="修订8"/>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75">
    <w:name w:val="修订9"/>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76">
    <w:name w:val="修订10"/>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77">
    <w:name w:val="修订11"/>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78">
    <w:name w:val="修订12"/>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79">
    <w:name w:val="修订13"/>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80">
    <w:name w:val="修订14"/>
    <w:hidden/>
    <w:unhideWhenUsed/>
    <w:qFormat/>
    <w:uiPriority w:val="99"/>
    <w:rPr>
      <w:rFonts w:ascii="Times New Roman" w:hAnsi="Times New Roman" w:eastAsia="仿宋_GB2312" w:cstheme="minorBidi"/>
      <w:kern w:val="2"/>
      <w:sz w:val="28"/>
      <w:szCs w:val="22"/>
      <w:lang w:val="en-US" w:eastAsia="zh-CN" w:bidi="ar-SA"/>
    </w:rPr>
  </w:style>
  <w:style w:type="character" w:customStyle="1" w:styleId="81">
    <w:name w:val="批注文字 字符1"/>
    <w:qFormat/>
    <w:uiPriority w:val="99"/>
    <w:rPr>
      <w:rFonts w:ascii="Times New Roman" w:hAnsi="Times New Roman"/>
      <w:kern w:val="2"/>
      <w:sz w:val="21"/>
      <w:szCs w:val="24"/>
    </w:rPr>
  </w:style>
  <w:style w:type="paragraph" w:customStyle="1" w:styleId="82">
    <w:name w:val="修订15"/>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83">
    <w:name w:val="Revision"/>
    <w:hidden/>
    <w:unhideWhenUsed/>
    <w:qFormat/>
    <w:uiPriority w:val="99"/>
    <w:rPr>
      <w:rFonts w:ascii="Times New Roman" w:hAnsi="Times New Roman" w:eastAsia="仿宋_GB2312"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2842</Words>
  <Characters>16202</Characters>
  <Lines>135</Lines>
  <Paragraphs>38</Paragraphs>
  <TotalTime>22</TotalTime>
  <ScaleCrop>false</ScaleCrop>
  <LinksUpToDate>false</LinksUpToDate>
  <CharactersWithSpaces>19006</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2025-12-24T02:13:00Z</dcterms:created>
  <dc:creator>ss</dc:creator>
  <cp:lastModifiedBy>李凯旋</cp:lastModifiedBy>
  <dcterms:modified xsi:type="dcterms:W3CDTF">2025-12-31T08:26:03Z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eyJoZGlkIjoiODc5ODBhYTQxYTMxOGM2YWEwN2NiNmQzNTRjMzMyNGQiLCJ1c2VySWQiOiIxMjQ3MzIyOTMzIn0=</vt:lpwstr>
  </property>
  <property fmtid="{D5CDD505-2E9C-101B-9397-08002B2CF9AE}" pid="3" name="KSOProductBuildVer">
    <vt:lpwstr>2052-11.8.2.11734</vt:lpwstr>
  </property>
  <property fmtid="{D5CDD505-2E9C-101B-9397-08002B2CF9AE}" pid="4" name="ICV">
    <vt:lpwstr>66A9F3FB2F6D4CC8AA07324E03BECB2E</vt:lpwstr>
  </property>
</Properties>
</file>