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00" w:lineRule="atLeast"/>
        <w:jc w:val="left"/>
        <w:rPr>
          <w:rFonts w:ascii="仿宋_GB2312" w:hAnsi="仿宋_GB2312" w:eastAsia="仿宋_GB2312" w:cs="仿宋_GB2312"/>
          <w:sz w:val="36"/>
          <w:szCs w:val="36"/>
          <w:lang w:val="en"/>
        </w:rPr>
      </w:pPr>
      <w:r>
        <w:rPr>
          <w:rFonts w:hint="eastAsia" w:ascii="黑体" w:hAnsi="黑体" w:eastAsia="黑体" w:cs="黑体"/>
          <w:sz w:val="32"/>
          <w:szCs w:val="32"/>
          <w:lang w:val="en"/>
        </w:rPr>
        <w:t>附件</w:t>
      </w:r>
      <w:r>
        <w:rPr>
          <w:rFonts w:hint="eastAsia" w:ascii="黑体" w:hAnsi="黑体" w:eastAsia="黑体" w:cs="黑体"/>
          <w:sz w:val="32"/>
          <w:szCs w:val="32"/>
        </w:rPr>
        <w:t>4</w:t>
      </w:r>
      <w:bookmarkStart w:id="0" w:name="_GoBack"/>
      <w:bookmarkEnd w:id="0"/>
    </w:p>
    <w:p>
      <w:pPr>
        <w:spacing w:line="360" w:lineRule="auto"/>
        <w:ind w:firstLine="480" w:firstLineChars="200"/>
        <w:rPr>
          <w:rFonts w:ascii="宋体" w:hAnsi="宋体"/>
          <w:color w:val="000000" w:themeColor="text1"/>
          <w:sz w:val="24"/>
          <w14:textFill>
            <w14:solidFill>
              <w14:schemeClr w14:val="tx1"/>
            </w14:solidFill>
          </w14:textFill>
        </w:rPr>
      </w:pPr>
    </w:p>
    <w:p>
      <w:pPr>
        <w:spacing w:line="360" w:lineRule="auto"/>
        <w:jc w:val="center"/>
        <w:rPr>
          <w:rFonts w:ascii="方正小标宋简体" w:hAnsi="方正小标宋简体" w:eastAsia="方正小标宋简体" w:cs="方正小标宋简体"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  <w:t>202</w:t>
      </w:r>
      <w:r>
        <w:rPr>
          <w:rFonts w:ascii="方正小标宋简体" w:hAnsi="方正小标宋简体" w:eastAsia="方正小标宋简体" w:cs="方正小标宋简体"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  <w:t>5</w:t>
      </w:r>
      <w:r>
        <w:rPr>
          <w:rFonts w:hint="eastAsia" w:ascii="方正小标宋简体" w:hAnsi="方正小标宋简体" w:eastAsia="方正小标宋简体" w:cs="方正小标宋简体"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  <w:t>年度行政事业单位国有资产盘活情况报告提纲</w:t>
      </w:r>
    </w:p>
    <w:p>
      <w:pPr>
        <w:spacing w:line="360" w:lineRule="auto"/>
        <w:jc w:val="center"/>
        <w:rPr>
          <w:rFonts w:ascii="方正小标宋简体" w:hAnsi="方正小标宋简体" w:eastAsia="方正小标宋简体" w:cs="方正小标宋简体"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</w:pPr>
    </w:p>
    <w:p>
      <w:pPr>
        <w:pStyle w:val="4"/>
        <w:numPr>
          <w:ilvl w:val="0"/>
          <w:numId w:val="1"/>
        </w:numPr>
        <w:spacing w:line="360" w:lineRule="auto"/>
        <w:ind w:firstLineChars="0"/>
        <w:outlineLvl w:val="0"/>
        <w:rPr>
          <w:rFonts w:ascii="黑体" w:hAnsi="仿宋" w:eastAsia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仿宋" w:eastAsia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工作进展情况</w:t>
      </w:r>
    </w:p>
    <w:p>
      <w:pPr>
        <w:widowControl/>
        <w:ind w:firstLine="640" w:firstLineChars="200"/>
        <w:rPr>
          <w:rFonts w:ascii="黑体" w:hAnsi="仿宋" w:eastAsia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Times New Roman" w:eastAsia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结合《财政部关于盘活行政事业单位国有资产的指导意见》（财资〔2022〕124号），全面总结</w:t>
      </w:r>
      <w:r>
        <w:rPr>
          <w:rFonts w:hint="eastAsia"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本地区、本部门行政事业单位国有资产盘活工作进展情况，包括工作举措、经验做法和取得成效等。</w:t>
      </w:r>
    </w:p>
    <w:p>
      <w:pPr>
        <w:pStyle w:val="4"/>
        <w:numPr>
          <w:ilvl w:val="0"/>
          <w:numId w:val="1"/>
        </w:numPr>
        <w:spacing w:line="360" w:lineRule="auto"/>
        <w:ind w:firstLineChars="0"/>
        <w:outlineLvl w:val="0"/>
        <w:rPr>
          <w:rFonts w:ascii="黑体" w:hAnsi="仿宋" w:eastAsia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仿宋" w:eastAsia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存在的主要问题</w:t>
      </w:r>
    </w:p>
    <w:p>
      <w:pPr>
        <w:widowControl/>
        <w:ind w:firstLine="640" w:firstLineChars="200"/>
        <w:rPr>
          <w:rFonts w:ascii="仿宋_GB2312" w:hAnsi="Times New Roman" w:eastAsia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认真梳理本地区、本部门</w:t>
      </w:r>
      <w:r>
        <w:rPr>
          <w:rFonts w:hint="eastAsia" w:ascii="仿宋_GB2312" w:hAnsi="华文仿宋" w:eastAsia="仿宋_GB2312" w:cs="华文仿宋"/>
          <w:bCs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行政事业单位国有</w:t>
      </w:r>
      <w:r>
        <w:rPr>
          <w:rFonts w:hint="eastAsia"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资产盘活过程中存在的主要问题，深入分析问题产生的原因，已采取或拟采取的主要措施。</w:t>
      </w:r>
    </w:p>
    <w:p>
      <w:pPr>
        <w:pStyle w:val="4"/>
        <w:numPr>
          <w:ilvl w:val="0"/>
          <w:numId w:val="1"/>
        </w:numPr>
        <w:spacing w:line="360" w:lineRule="auto"/>
        <w:ind w:firstLineChars="0"/>
        <w:outlineLvl w:val="0"/>
        <w:rPr>
          <w:rFonts w:ascii="黑体" w:hAnsi="仿宋" w:eastAsia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仿宋" w:eastAsia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工作思路和意见建议</w:t>
      </w:r>
    </w:p>
    <w:p>
      <w:pPr>
        <w:widowControl/>
        <w:ind w:firstLine="640" w:firstLineChars="200"/>
        <w:rPr>
          <w:rFonts w:ascii="仿宋_GB2312" w:hAnsi="Times New Roman" w:eastAsia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Times New Roman" w:eastAsia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结合贯彻党的二十大和二十届</w:t>
      </w:r>
      <w:r>
        <w:rPr>
          <w:rFonts w:hint="eastAsia" w:ascii="仿宋_GB2312" w:hAnsi="Times New Roman" w:eastAsia="仿宋_GB2312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历次</w:t>
      </w:r>
      <w:r>
        <w:rPr>
          <w:rFonts w:hint="eastAsia" w:ascii="仿宋_GB2312" w:hAnsi="Times New Roman" w:eastAsia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全会精神，认真谋划</w:t>
      </w:r>
      <w:r>
        <w:rPr>
          <w:rFonts w:hint="eastAsia"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进一步做好本地区、本部门行政事业单位国有资产盘活工作的思路，以及相关</w:t>
      </w:r>
      <w:r>
        <w:rPr>
          <w:rFonts w:hint="eastAsia" w:ascii="仿宋_GB2312" w:hAnsi="Times New Roman" w:eastAsia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意见建议。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8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方正宋体S-超大字符集(SIP)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仿宋">
    <w:altName w:val="汉仪仿宋简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宋体S-超大字符集(SIP)">
    <w:panose1 w:val="03000509000000000000"/>
    <w:charset w:val="86"/>
    <w:family w:val="auto"/>
    <w:pitch w:val="default"/>
    <w:sig w:usb0="00000003" w:usb1="0A0E0800" w:usb2="00000006" w:usb3="00000000" w:csb0="00040001" w:csb1="00000000"/>
  </w:font>
  <w:font w:name="汉仪仿宋简">
    <w:panose1 w:val="02010600000101010101"/>
    <w:charset w:val="86"/>
    <w:family w:val="auto"/>
    <w:pitch w:val="default"/>
    <w:sig w:usb0="00000001" w:usb1="080E0800" w:usb2="00000002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0E91A7C"/>
    <w:multiLevelType w:val="multilevel"/>
    <w:tmpl w:val="30E91A7C"/>
    <w:lvl w:ilvl="0" w:tentative="0">
      <w:start w:val="1"/>
      <w:numFmt w:val="japaneseCounting"/>
      <w:lvlText w:val="%1、"/>
      <w:lvlJc w:val="left"/>
      <w:pPr>
        <w:ind w:left="1288" w:hanging="720"/>
      </w:pPr>
      <w:rPr>
        <w:rFonts w:hint="eastAsia" w:ascii="黑体" w:hAnsi="Calibri" w:eastAsia="黑体"/>
        <w:color w:val="auto"/>
        <w:sz w:val="32"/>
      </w:rPr>
    </w:lvl>
    <w:lvl w:ilvl="1" w:tentative="0">
      <w:start w:val="1"/>
      <w:numFmt w:val="lowerLetter"/>
      <w:lvlText w:val="%2)"/>
      <w:lvlJc w:val="left"/>
      <w:pPr>
        <w:ind w:left="1480" w:hanging="420"/>
      </w:pPr>
    </w:lvl>
    <w:lvl w:ilvl="2" w:tentative="0">
      <w:start w:val="1"/>
      <w:numFmt w:val="lowerRoman"/>
      <w:lvlText w:val="%3."/>
      <w:lvlJc w:val="right"/>
      <w:pPr>
        <w:ind w:left="1900" w:hanging="420"/>
      </w:pPr>
    </w:lvl>
    <w:lvl w:ilvl="3" w:tentative="0">
      <w:start w:val="1"/>
      <w:numFmt w:val="decimal"/>
      <w:lvlText w:val="%4."/>
      <w:lvlJc w:val="left"/>
      <w:pPr>
        <w:ind w:left="2320" w:hanging="420"/>
      </w:pPr>
    </w:lvl>
    <w:lvl w:ilvl="4" w:tentative="0">
      <w:start w:val="1"/>
      <w:numFmt w:val="lowerLetter"/>
      <w:lvlText w:val="%5)"/>
      <w:lvlJc w:val="left"/>
      <w:pPr>
        <w:ind w:left="2740" w:hanging="420"/>
      </w:pPr>
    </w:lvl>
    <w:lvl w:ilvl="5" w:tentative="0">
      <w:start w:val="1"/>
      <w:numFmt w:val="lowerRoman"/>
      <w:lvlText w:val="%6."/>
      <w:lvlJc w:val="right"/>
      <w:pPr>
        <w:ind w:left="3160" w:hanging="420"/>
      </w:pPr>
    </w:lvl>
    <w:lvl w:ilvl="6" w:tentative="0">
      <w:start w:val="1"/>
      <w:numFmt w:val="decimal"/>
      <w:lvlText w:val="%7."/>
      <w:lvlJc w:val="left"/>
      <w:pPr>
        <w:ind w:left="3580" w:hanging="420"/>
      </w:pPr>
    </w:lvl>
    <w:lvl w:ilvl="7" w:tentative="0">
      <w:start w:val="1"/>
      <w:numFmt w:val="lowerLetter"/>
      <w:lvlText w:val="%8)"/>
      <w:lvlJc w:val="left"/>
      <w:pPr>
        <w:ind w:left="4000" w:hanging="420"/>
      </w:pPr>
    </w:lvl>
    <w:lvl w:ilvl="8" w:tentative="0">
      <w:start w:val="1"/>
      <w:numFmt w:val="lowerRoman"/>
      <w:lvlText w:val="%9."/>
      <w:lvlJc w:val="right"/>
      <w:pPr>
        <w:ind w:left="442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2E07"/>
    <w:rsid w:val="00072E07"/>
    <w:rsid w:val="000B210D"/>
    <w:rsid w:val="02A958FD"/>
    <w:rsid w:val="02C1356F"/>
    <w:rsid w:val="03E272F9"/>
    <w:rsid w:val="06231E4A"/>
    <w:rsid w:val="0FD22917"/>
    <w:rsid w:val="15897F1C"/>
    <w:rsid w:val="160C7787"/>
    <w:rsid w:val="1A521EA3"/>
    <w:rsid w:val="1BFD0D1C"/>
    <w:rsid w:val="1D6E79F7"/>
    <w:rsid w:val="1E164317"/>
    <w:rsid w:val="1E676683"/>
    <w:rsid w:val="2110329F"/>
    <w:rsid w:val="225B49EE"/>
    <w:rsid w:val="237B69CA"/>
    <w:rsid w:val="263F63D5"/>
    <w:rsid w:val="2A930A9D"/>
    <w:rsid w:val="2B146082"/>
    <w:rsid w:val="2BB46F1D"/>
    <w:rsid w:val="2E2C36E3"/>
    <w:rsid w:val="2E5AA7D5"/>
    <w:rsid w:val="2EC8616E"/>
    <w:rsid w:val="305807BF"/>
    <w:rsid w:val="32935ADE"/>
    <w:rsid w:val="337E22EA"/>
    <w:rsid w:val="357E601E"/>
    <w:rsid w:val="358045F7"/>
    <w:rsid w:val="35A85D44"/>
    <w:rsid w:val="35E623C9"/>
    <w:rsid w:val="3662683A"/>
    <w:rsid w:val="382D0783"/>
    <w:rsid w:val="39FF36BC"/>
    <w:rsid w:val="3A575643"/>
    <w:rsid w:val="3C830972"/>
    <w:rsid w:val="3D136199"/>
    <w:rsid w:val="3F7ECE52"/>
    <w:rsid w:val="41913B31"/>
    <w:rsid w:val="438B0F8E"/>
    <w:rsid w:val="447D039C"/>
    <w:rsid w:val="448E4958"/>
    <w:rsid w:val="4616324E"/>
    <w:rsid w:val="48DA400F"/>
    <w:rsid w:val="4A56413E"/>
    <w:rsid w:val="4D3F2693"/>
    <w:rsid w:val="512D6CA6"/>
    <w:rsid w:val="51703763"/>
    <w:rsid w:val="52A91F34"/>
    <w:rsid w:val="53095C1D"/>
    <w:rsid w:val="55124B31"/>
    <w:rsid w:val="55256612"/>
    <w:rsid w:val="55796932"/>
    <w:rsid w:val="575D6537"/>
    <w:rsid w:val="57BD0D84"/>
    <w:rsid w:val="596671F9"/>
    <w:rsid w:val="5B975D90"/>
    <w:rsid w:val="5C3E620B"/>
    <w:rsid w:val="5DA30A1C"/>
    <w:rsid w:val="5F103E8F"/>
    <w:rsid w:val="5FA15FFE"/>
    <w:rsid w:val="5FDA76D1"/>
    <w:rsid w:val="613025C6"/>
    <w:rsid w:val="61AE5BE1"/>
    <w:rsid w:val="63DD19E6"/>
    <w:rsid w:val="6B76151E"/>
    <w:rsid w:val="6B8F438D"/>
    <w:rsid w:val="6C866672"/>
    <w:rsid w:val="6E7EE1AE"/>
    <w:rsid w:val="6F5D7847"/>
    <w:rsid w:val="719C2C19"/>
    <w:rsid w:val="723839D1"/>
    <w:rsid w:val="766C1E9B"/>
    <w:rsid w:val="767AD737"/>
    <w:rsid w:val="77529A81"/>
    <w:rsid w:val="791674AC"/>
    <w:rsid w:val="7B0518C3"/>
    <w:rsid w:val="7B37A32F"/>
    <w:rsid w:val="7C9D20EC"/>
    <w:rsid w:val="7D7BAF9E"/>
    <w:rsid w:val="7D7BFE3E"/>
    <w:rsid w:val="7DD733FD"/>
    <w:rsid w:val="7DDFF074"/>
    <w:rsid w:val="7F9B06F3"/>
    <w:rsid w:val="B74EC710"/>
    <w:rsid w:val="B9F7B6C7"/>
    <w:rsid w:val="BBFD14AF"/>
    <w:rsid w:val="BF553C3E"/>
    <w:rsid w:val="BFEFD069"/>
    <w:rsid w:val="EAFFB55E"/>
    <w:rsid w:val="EFEFAE3F"/>
    <w:rsid w:val="F7C51A74"/>
    <w:rsid w:val="FCF54B4D"/>
    <w:rsid w:val="FF771DD6"/>
    <w:rsid w:val="FF7FD4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列出段落1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false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false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true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神州网信技术有限公司</Company>
  <Pages>1</Pages>
  <Words>260</Words>
  <Characters>268</Characters>
  <Lines>1</Lines>
  <Paragraphs>1</Paragraphs>
  <TotalTime>5</TotalTime>
  <ScaleCrop>false</ScaleCrop>
  <LinksUpToDate>false</LinksUpToDate>
  <CharactersWithSpaces>268</CharactersWithSpaces>
  <Application>WPS Office_11.8.2.9695_F1E327BC-269C-435d-A152-05C5408002CA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2024-11-28T02:12:00Z</dcterms:created>
  <dc:creator>93052</dc:creator>
  <cp:lastModifiedBy>xuhao</cp:lastModifiedBy>
  <cp:lastPrinted>2025-12-12T14:37:43Z</cp:lastPrinted>
  <dcterms:modified xsi:type="dcterms:W3CDTF">2025-12-12T14:38:33Z</dcterms:modified>
  <dc:title>附件4：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2052-11.8.2.9695</vt:lpwstr>
  </property>
  <property fmtid="{D5CDD505-2E9C-101B-9397-08002B2CF9AE}" pid="3" name="ICV">
    <vt:lpwstr>17133AA7BA754051A5D25D173B1B1469_12</vt:lpwstr>
  </property>
  <property fmtid="{D5CDD505-2E9C-101B-9397-08002B2CF9AE}" pid="4" name="KSOTemplateDocerSaveRecord">
    <vt:lpwstr>eyJoZGlkIjoiODBhNjYwZmFmZTEzMzg4ZDU3OTU4Y2JlMWFiNmM2NTYiLCJ1c2VySWQiOiIyMzU3NjUwNjcifQ==</vt:lpwstr>
  </property>
</Properties>
</file>