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jc w:val="left"/>
        <w:rPr>
          <w:rFonts w:ascii="仿宋_GB2312" w:hAnsi="仿宋_GB2312" w:eastAsia="仿宋_GB2312" w:cs="仿宋_GB2312"/>
          <w:sz w:val="36"/>
          <w:szCs w:val="36"/>
          <w:lang w:val="en"/>
        </w:rPr>
      </w:pPr>
      <w:r>
        <w:rPr>
          <w:rFonts w:hint="eastAsia" w:ascii="黑体" w:hAnsi="黑体" w:eastAsia="黑体" w:cs="黑体"/>
          <w:sz w:val="32"/>
          <w:szCs w:val="32"/>
          <w:lang w:val="en"/>
        </w:rPr>
        <w:t>附件</w:t>
      </w:r>
      <w:r>
        <w:rPr>
          <w:rFonts w:hint="eastAsia" w:ascii="黑体" w:hAnsi="黑体" w:eastAsia="黑体" w:cs="黑体"/>
          <w:sz w:val="32"/>
          <w:szCs w:val="32"/>
        </w:rPr>
        <w:t>3</w:t>
      </w:r>
      <w:bookmarkStart w:id="0" w:name="_GoBack"/>
      <w:bookmarkEnd w:id="0"/>
    </w:p>
    <w:p>
      <w:pPr>
        <w:spacing w:line="360" w:lineRule="auto"/>
        <w:ind w:firstLine="480" w:firstLineChars="200"/>
        <w:rPr>
          <w:rFonts w:ascii="宋体" w:hAnsi="宋体"/>
          <w:color w:val="000000" w:themeColor="text1"/>
          <w:sz w:val="24"/>
        </w:rPr>
      </w:pPr>
    </w:p>
    <w:p>
      <w:pPr>
        <w:spacing w:line="360" w:lineRule="auto"/>
        <w:jc w:val="center"/>
        <w:rPr>
          <w:rFonts w:ascii="方正小标宋简体" w:hAnsi="方正小标宋简体" w:eastAsia="方正小标宋简体" w:cs="方正小标宋简体"/>
          <w:color w:val="000000" w:themeColor="text1"/>
          <w:sz w:val="24"/>
        </w:rPr>
      </w:pPr>
      <w:r>
        <w:rPr>
          <w:rFonts w:hint="eastAsia" w:ascii="方正小标宋简体" w:hAnsi="方正小标宋简体" w:eastAsia="方正小标宋简体" w:cs="方正小标宋简体"/>
          <w:color w:val="000000" w:themeColor="text1"/>
          <w:sz w:val="36"/>
          <w:szCs w:val="36"/>
        </w:rPr>
        <w:t>202</w:t>
      </w:r>
      <w:r>
        <w:rPr>
          <w:rFonts w:ascii="方正小标宋简体" w:hAnsi="方正小标宋简体" w:eastAsia="方正小标宋简体" w:cs="方正小标宋简体"/>
          <w:color w:val="000000" w:themeColor="text1"/>
          <w:sz w:val="36"/>
          <w:szCs w:val="36"/>
        </w:rPr>
        <w:t>5</w:t>
      </w:r>
      <w:r>
        <w:rPr>
          <w:rFonts w:hint="eastAsia" w:ascii="方正小标宋简体" w:hAnsi="方正小标宋简体" w:eastAsia="方正小标宋简体" w:cs="方正小标宋简体"/>
          <w:color w:val="000000" w:themeColor="text1"/>
          <w:sz w:val="36"/>
          <w:szCs w:val="36"/>
        </w:rPr>
        <w:t>年度行政事业性国有资产报告分析报告提纲</w:t>
      </w:r>
    </w:p>
    <w:p>
      <w:pPr>
        <w:spacing w:line="360" w:lineRule="auto"/>
        <w:rPr>
          <w:rFonts w:ascii="仿宋_GB2312" w:eastAsia="仿宋_GB2312"/>
          <w:color w:val="000000" w:themeColor="text1"/>
          <w:sz w:val="32"/>
          <w:szCs w:val="32"/>
        </w:rPr>
      </w:pPr>
    </w:p>
    <w:p>
      <w:pPr>
        <w:pStyle w:val="12"/>
        <w:numPr>
          <w:ilvl w:val="0"/>
          <w:numId w:val="1"/>
        </w:numPr>
        <w:spacing w:line="360" w:lineRule="auto"/>
        <w:ind w:firstLineChars="0"/>
        <w:outlineLvl w:val="0"/>
        <w:rPr>
          <w:rFonts w:ascii="黑体" w:hAnsi="仿宋" w:eastAsia="黑体"/>
          <w:color w:val="000000" w:themeColor="text1"/>
          <w:sz w:val="32"/>
          <w:szCs w:val="32"/>
        </w:rPr>
      </w:pPr>
      <w:r>
        <w:rPr>
          <w:rFonts w:hint="eastAsia" w:ascii="黑体" w:hAnsi="仿宋" w:eastAsia="黑体"/>
          <w:color w:val="000000" w:themeColor="text1"/>
          <w:sz w:val="32"/>
          <w:szCs w:val="32"/>
        </w:rPr>
        <w:t>地区/部门的基本情况</w:t>
      </w:r>
    </w:p>
    <w:p>
      <w:pPr>
        <w:widowControl/>
        <w:ind w:firstLine="640" w:firstLineChars="200"/>
        <w:rPr>
          <w:rFonts w:ascii="仿宋_GB2312" w:hAnsi="Times New Roman" w:eastAsia="仿宋_GB2312"/>
          <w:color w:val="000000" w:themeColor="text1"/>
          <w:kern w:val="0"/>
          <w:sz w:val="32"/>
          <w:szCs w:val="32"/>
        </w:rPr>
      </w:pPr>
      <w:r>
        <w:rPr>
          <w:rFonts w:hint="eastAsia" w:ascii="仿宋_GB2312" w:hAnsi="Times New Roman" w:eastAsia="仿宋_GB2312"/>
          <w:color w:val="000000" w:themeColor="text1"/>
          <w:kern w:val="0"/>
          <w:sz w:val="32"/>
          <w:szCs w:val="32"/>
        </w:rPr>
        <w:t>分析</w:t>
      </w:r>
      <w:r>
        <w:rPr>
          <w:rFonts w:hint="eastAsia" w:ascii="仿宋_GB2312" w:eastAsia="仿宋_GB2312"/>
          <w:color w:val="000000" w:themeColor="text1"/>
          <w:sz w:val="32"/>
          <w:szCs w:val="32"/>
        </w:rPr>
        <w:t>本地区、本部门</w:t>
      </w:r>
      <w:r>
        <w:rPr>
          <w:rFonts w:hint="eastAsia" w:ascii="仿宋_GB2312" w:hAnsi="Times New Roman" w:eastAsia="仿宋_GB2312"/>
          <w:color w:val="000000" w:themeColor="text1"/>
          <w:kern w:val="0"/>
          <w:sz w:val="32"/>
          <w:szCs w:val="32"/>
        </w:rPr>
        <w:t>所属行政事业单位机构数、编制人数、实有人数等。中央部门还应写明部门主要职责。</w:t>
      </w:r>
    </w:p>
    <w:p>
      <w:pPr>
        <w:pStyle w:val="12"/>
        <w:numPr>
          <w:ilvl w:val="0"/>
          <w:numId w:val="1"/>
        </w:numPr>
        <w:spacing w:line="360" w:lineRule="auto"/>
        <w:ind w:firstLineChars="0"/>
        <w:outlineLvl w:val="0"/>
        <w:rPr>
          <w:rFonts w:ascii="黑体" w:eastAsia="黑体"/>
          <w:color w:val="000000" w:themeColor="text1"/>
          <w:sz w:val="32"/>
          <w:szCs w:val="32"/>
        </w:rPr>
      </w:pPr>
      <w:r>
        <w:rPr>
          <w:rFonts w:hint="eastAsia" w:ascii="黑体" w:hAnsi="仿宋" w:eastAsia="黑体"/>
          <w:color w:val="000000" w:themeColor="text1"/>
          <w:sz w:val="32"/>
          <w:szCs w:val="32"/>
        </w:rPr>
        <w:t>资产总量情况</w:t>
      </w:r>
    </w:p>
    <w:p>
      <w:pPr>
        <w:numPr>
          <w:ilvl w:val="0"/>
          <w:numId w:val="2"/>
        </w:numPr>
        <w:spacing w:line="360" w:lineRule="auto"/>
        <w:ind w:firstLine="633" w:firstLineChars="198"/>
        <w:rPr>
          <w:rFonts w:ascii="仿宋_GB2312" w:eastAsia="仿宋_GB2312"/>
          <w:color w:val="000000" w:themeColor="text1"/>
          <w:sz w:val="32"/>
          <w:szCs w:val="32"/>
        </w:rPr>
      </w:pPr>
      <w:r>
        <w:rPr>
          <w:rFonts w:hint="eastAsia" w:ascii="仿宋_GB2312" w:eastAsia="仿宋_GB2312"/>
          <w:color w:val="000000" w:themeColor="text1"/>
          <w:sz w:val="32"/>
          <w:szCs w:val="32"/>
        </w:rPr>
        <w:t>资产的总体情况分析。主要包括本地区、本部门资产总量、分布、构成、变动等情况，同时可结合预算收支、债务、历年情况等对资产分布、构成、变动的原因作出分析。其中</w:t>
      </w:r>
      <w:r>
        <w:rPr>
          <w:rFonts w:ascii="仿宋_GB2312" w:eastAsia="仿宋_GB2312"/>
          <w:color w:val="000000" w:themeColor="text1"/>
          <w:sz w:val="32"/>
          <w:szCs w:val="32"/>
        </w:rPr>
        <w:t>，构成情况包含流动资产、</w:t>
      </w:r>
      <w:r>
        <w:rPr>
          <w:rFonts w:hint="eastAsia" w:ascii="仿宋_GB2312" w:eastAsia="仿宋_GB2312"/>
          <w:color w:val="000000" w:themeColor="text1"/>
          <w:sz w:val="32"/>
          <w:szCs w:val="32"/>
        </w:rPr>
        <w:t>无形资产</w:t>
      </w:r>
      <w:r>
        <w:rPr>
          <w:rFonts w:ascii="仿宋_GB2312" w:eastAsia="仿宋_GB2312"/>
          <w:color w:val="000000" w:themeColor="text1"/>
          <w:sz w:val="32"/>
          <w:szCs w:val="32"/>
        </w:rPr>
        <w:t>、固定资产</w:t>
      </w:r>
      <w:r>
        <w:rPr>
          <w:rFonts w:hint="eastAsia" w:ascii="仿宋_GB2312" w:eastAsia="仿宋_GB2312"/>
          <w:color w:val="000000" w:themeColor="text1"/>
          <w:sz w:val="32"/>
          <w:szCs w:val="32"/>
        </w:rPr>
        <w:t>、在建工程、长期投资、公共基础设施、政府储备物资、文物资源、保障性住房等</w:t>
      </w:r>
      <w:r>
        <w:rPr>
          <w:rFonts w:ascii="仿宋_GB2312" w:eastAsia="仿宋_GB2312"/>
          <w:color w:val="000000" w:themeColor="text1"/>
          <w:sz w:val="32"/>
          <w:szCs w:val="32"/>
        </w:rPr>
        <w:t>占</w:t>
      </w:r>
      <w:r>
        <w:rPr>
          <w:rFonts w:hint="eastAsia" w:ascii="仿宋_GB2312" w:eastAsia="仿宋_GB2312"/>
          <w:color w:val="000000" w:themeColor="text1"/>
          <w:sz w:val="32"/>
          <w:szCs w:val="32"/>
        </w:rPr>
        <w:t>资产总额比例</w:t>
      </w:r>
      <w:r>
        <w:rPr>
          <w:rFonts w:ascii="仿宋_GB2312" w:eastAsia="仿宋_GB2312"/>
          <w:color w:val="000000" w:themeColor="text1"/>
          <w:sz w:val="32"/>
          <w:szCs w:val="32"/>
        </w:rPr>
        <w:t>情况</w:t>
      </w:r>
      <w:r>
        <w:rPr>
          <w:rFonts w:hint="eastAsia" w:ascii="仿宋_GB2312" w:eastAsia="仿宋_GB2312"/>
          <w:color w:val="000000" w:themeColor="text1"/>
          <w:sz w:val="32"/>
          <w:szCs w:val="32"/>
        </w:rPr>
        <w:t>。地方财政部门应对本地区</w:t>
      </w:r>
      <w:r>
        <w:rPr>
          <w:rFonts w:hint="eastAsia" w:ascii="仿宋_GB2312" w:hAnsi="楷体" w:eastAsia="仿宋_GB2312"/>
          <w:color w:val="000000" w:themeColor="text1"/>
          <w:kern w:val="0"/>
          <w:sz w:val="32"/>
          <w:szCs w:val="32"/>
        </w:rPr>
        <w:t>教育、科技、卫生、文化、交通等</w:t>
      </w:r>
      <w:r>
        <w:rPr>
          <w:rFonts w:hint="eastAsia" w:ascii="仿宋_GB2312" w:eastAsia="仿宋_GB2312"/>
          <w:color w:val="000000" w:themeColor="text1"/>
          <w:sz w:val="32"/>
          <w:szCs w:val="32"/>
        </w:rPr>
        <w:t>重点行业进行分析。</w:t>
      </w:r>
    </w:p>
    <w:p>
      <w:pPr>
        <w:spacing w:line="360" w:lineRule="auto"/>
        <w:ind w:firstLine="633" w:firstLineChars="198"/>
        <w:rPr>
          <w:rFonts w:ascii="仿宋_GB2312" w:eastAsia="仿宋_GB2312"/>
          <w:color w:val="000000" w:themeColor="text1"/>
          <w:sz w:val="32"/>
          <w:szCs w:val="32"/>
        </w:rPr>
      </w:pPr>
      <w:r>
        <w:rPr>
          <w:rFonts w:hint="eastAsia" w:ascii="仿宋_GB2312" w:eastAsia="仿宋_GB2312"/>
          <w:color w:val="000000" w:themeColor="text1"/>
          <w:sz w:val="32"/>
          <w:szCs w:val="32"/>
        </w:rPr>
        <w:t>（二）资产配置、使用、处置、收益情况分析。分析本地区、本部门资产整体配置、使用、处置、收益情况，特别是与部门、单位履行职能和促进事业发展相关的重点资产的配置、使用、处置、收益等情况。</w:t>
      </w:r>
    </w:p>
    <w:p>
      <w:pPr>
        <w:tabs>
          <w:tab w:val="left" w:pos="8595"/>
        </w:tabs>
        <w:ind w:firstLine="640" w:firstLineChars="200"/>
        <w:rPr>
          <w:rFonts w:ascii="楷体_GB2312" w:hAnsi="楷体" w:eastAsia="仿宋_GB2312"/>
          <w:b/>
          <w:color w:val="000000" w:themeColor="text1"/>
          <w:kern w:val="0"/>
          <w:sz w:val="32"/>
          <w:szCs w:val="32"/>
        </w:rPr>
      </w:pPr>
      <w:r>
        <w:rPr>
          <w:rFonts w:hint="eastAsia" w:ascii="仿宋_GB2312" w:eastAsia="仿宋_GB2312"/>
          <w:color w:val="000000" w:themeColor="text1"/>
          <w:sz w:val="32"/>
          <w:szCs w:val="32"/>
        </w:rPr>
        <w:t>（三）资产总体绩效情况。分析本地区、本部门新增资产配置预算执行情况、资产使用效益和大型科研仪器设备共享情况等。同时可利用资产在用、对外投资、出租出借占比情况，</w:t>
      </w:r>
      <w:r>
        <w:rPr>
          <w:rFonts w:hint="eastAsia" w:ascii="仿宋_GB2312" w:eastAsia="仿宋_GB2312"/>
          <w:sz w:val="32"/>
          <w:szCs w:val="32"/>
        </w:rPr>
        <w:t>房屋资产闲置率</w:t>
      </w:r>
      <w:r>
        <w:rPr>
          <w:rFonts w:hint="eastAsia" w:ascii="仿宋_GB2312" w:eastAsia="仿宋_GB2312"/>
          <w:color w:val="000000" w:themeColor="text1"/>
          <w:sz w:val="32"/>
          <w:szCs w:val="32"/>
        </w:rPr>
        <w:t>等数据指标，直观反映资产的绩效情况。</w:t>
      </w:r>
    </w:p>
    <w:p>
      <w:pPr>
        <w:ind w:firstLine="640" w:firstLineChars="20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三、资产管理工作情况</w:t>
      </w:r>
    </w:p>
    <w:p>
      <w:pPr>
        <w:ind w:firstLine="640" w:firstLineChars="200"/>
        <w:rPr>
          <w:rFonts w:ascii="仿宋_GB2312" w:hAnsi="楷体" w:eastAsia="仿宋_GB2312"/>
          <w:color w:val="000000" w:themeColor="text1"/>
          <w:kern w:val="0"/>
          <w:sz w:val="32"/>
          <w:szCs w:val="32"/>
        </w:rPr>
      </w:pPr>
      <w:r>
        <w:rPr>
          <w:rFonts w:hint="eastAsia" w:ascii="仿宋_GB2312" w:hAnsi="楷体" w:eastAsia="仿宋_GB2312"/>
          <w:color w:val="000000" w:themeColor="text1"/>
          <w:kern w:val="0"/>
          <w:sz w:val="32"/>
          <w:szCs w:val="32"/>
        </w:rPr>
        <w:t>结合贯彻落实</w:t>
      </w:r>
      <w:r>
        <w:rPr>
          <w:rFonts w:hint="eastAsia" w:ascii="仿宋_GB2312" w:hAnsi="仿宋_GB2312" w:eastAsia="仿宋_GB2312" w:cs="仿宋_GB2312"/>
          <w:sz w:val="32"/>
          <w:szCs w:val="32"/>
          <w:lang w:eastAsia="zh"/>
        </w:rPr>
        <w:t>《行政事业性国有资产管理条例》</w:t>
      </w:r>
      <w:r>
        <w:rPr>
          <w:rFonts w:hint="eastAsia" w:ascii="仿宋_GB2312" w:hAnsi="仿宋_GB2312" w:eastAsia="仿宋_GB2312" w:cs="仿宋_GB2312"/>
          <w:sz w:val="32"/>
          <w:szCs w:val="32"/>
        </w:rPr>
        <w:t>（国务院令第738号），全面、系统、深入总结202</w:t>
      </w:r>
      <w:r>
        <w:rPr>
          <w:rFonts w:ascii="仿宋_GB2312" w:hAnsi="仿宋_GB2312" w:eastAsia="仿宋_GB2312" w:cs="仿宋_GB2312"/>
          <w:sz w:val="32"/>
          <w:szCs w:val="32"/>
        </w:rPr>
        <w:t>5</w:t>
      </w:r>
      <w:r>
        <w:rPr>
          <w:rFonts w:hint="eastAsia" w:ascii="仿宋_GB2312" w:hAnsi="楷体" w:eastAsia="仿宋_GB2312"/>
          <w:color w:val="000000" w:themeColor="text1"/>
          <w:kern w:val="0"/>
          <w:sz w:val="32"/>
          <w:szCs w:val="32"/>
        </w:rPr>
        <w:t>年</w:t>
      </w:r>
      <w:r>
        <w:rPr>
          <w:rFonts w:hint="eastAsia" w:ascii="仿宋_GB2312" w:eastAsia="仿宋_GB2312"/>
          <w:color w:val="000000" w:themeColor="text1"/>
          <w:sz w:val="32"/>
          <w:szCs w:val="32"/>
        </w:rPr>
        <w:t>本地区、本部门</w:t>
      </w:r>
      <w:r>
        <w:rPr>
          <w:rFonts w:hint="eastAsia" w:ascii="仿宋_GB2312" w:hAnsi="楷体" w:eastAsia="仿宋_GB2312"/>
          <w:color w:val="000000" w:themeColor="text1"/>
          <w:kern w:val="0"/>
          <w:sz w:val="32"/>
          <w:szCs w:val="32"/>
        </w:rPr>
        <w:t>行政事业性国有资产管理工作情况。</w:t>
      </w:r>
    </w:p>
    <w:p>
      <w:pPr>
        <w:ind w:firstLine="640" w:firstLineChars="200"/>
        <w:rPr>
          <w:rFonts w:ascii="仿宋_GB2312" w:hAnsi="楷体" w:eastAsia="仿宋_GB2312"/>
          <w:color w:val="000000" w:themeColor="text1"/>
          <w:kern w:val="0"/>
          <w:sz w:val="32"/>
          <w:szCs w:val="32"/>
        </w:rPr>
      </w:pPr>
      <w:r>
        <w:rPr>
          <w:rFonts w:hint="eastAsia" w:ascii="仿宋_GB2312" w:hAnsi="楷体" w:eastAsia="仿宋_GB2312"/>
          <w:color w:val="000000" w:themeColor="text1"/>
          <w:kern w:val="0"/>
          <w:sz w:val="32"/>
          <w:szCs w:val="32"/>
        </w:rPr>
        <w:t>重点围绕制度建设、基础管理、全生命周期管理、信息化建设、资产盘活、财会监督、绩效评价、年报编报、科技成果转化、数据资产管理、专项改革、指导监督相关部门履职等方面，总结行政事业</w:t>
      </w:r>
      <w:r>
        <w:rPr>
          <w:rFonts w:hint="eastAsia" w:ascii="仿宋_GB2312" w:hAnsi="楷体" w:eastAsia="仿宋_GB2312"/>
          <w:color w:val="000000" w:themeColor="text1"/>
          <w:kern w:val="0"/>
          <w:sz w:val="32"/>
          <w:szCs w:val="32"/>
          <w:lang w:eastAsia="zh-CN"/>
        </w:rPr>
        <w:t>性</w:t>
      </w:r>
      <w:r>
        <w:rPr>
          <w:rFonts w:hint="eastAsia" w:ascii="仿宋_GB2312" w:hAnsi="楷体" w:eastAsia="仿宋_GB2312"/>
          <w:color w:val="000000" w:themeColor="text1"/>
          <w:kern w:val="0"/>
          <w:sz w:val="32"/>
          <w:szCs w:val="32"/>
        </w:rPr>
        <w:t>国有资产管理工作</w:t>
      </w:r>
      <w:r>
        <w:rPr>
          <w:rFonts w:hint="eastAsia" w:ascii="仿宋_GB2312" w:hAnsi="楷体" w:eastAsia="仿宋_GB2312"/>
          <w:color w:val="000000" w:themeColor="text1"/>
          <w:kern w:val="0"/>
          <w:sz w:val="32"/>
          <w:szCs w:val="32"/>
          <w:lang w:eastAsia="zh-CN"/>
        </w:rPr>
        <w:t>开</w:t>
      </w:r>
      <w:r>
        <w:rPr>
          <w:rFonts w:hint="eastAsia" w:ascii="仿宋_GB2312" w:hAnsi="楷体" w:eastAsia="仿宋_GB2312"/>
          <w:color w:val="000000" w:themeColor="text1"/>
          <w:kern w:val="0"/>
          <w:sz w:val="32"/>
          <w:szCs w:val="32"/>
        </w:rPr>
        <w:t>展情况，采取的主要举措、工作亮点和取得成效。</w:t>
      </w:r>
    </w:p>
    <w:p>
      <w:pPr>
        <w:numPr>
          <w:ilvl w:val="255"/>
          <w:numId w:val="0"/>
        </w:numPr>
        <w:ind w:firstLine="640" w:firstLineChars="200"/>
        <w:rPr>
          <w:rFonts w:ascii="仿宋_GB2312" w:hAnsi="楷体" w:eastAsia="仿宋_GB2312"/>
          <w:color w:val="000000" w:themeColor="text1"/>
          <w:kern w:val="0"/>
          <w:sz w:val="32"/>
          <w:szCs w:val="32"/>
        </w:rPr>
      </w:pPr>
      <w:r>
        <w:rPr>
          <w:rFonts w:hint="eastAsia" w:ascii="仿宋_GB2312" w:hAnsi="楷体" w:eastAsia="仿宋_GB2312"/>
          <w:color w:val="000000" w:themeColor="text1"/>
          <w:kern w:val="0"/>
          <w:sz w:val="32"/>
          <w:szCs w:val="32"/>
        </w:rPr>
        <w:t>重点围绕加强公共基础设施和政府储备物资、保障性住房资产入账核算等方面，总结本地区、本部门公共基础设施等行政事业性国有资产管理</w:t>
      </w:r>
      <w:r>
        <w:rPr>
          <w:rFonts w:hint="eastAsia" w:ascii="仿宋_GB2312" w:hAnsi="楷体" w:eastAsia="仿宋_GB2312"/>
          <w:color w:val="000000" w:themeColor="text1"/>
          <w:kern w:val="0"/>
          <w:sz w:val="32"/>
          <w:szCs w:val="32"/>
          <w:lang w:eastAsia="zh-CN"/>
        </w:rPr>
        <w:t>开</w:t>
      </w:r>
      <w:r>
        <w:rPr>
          <w:rFonts w:hint="eastAsia" w:ascii="仿宋_GB2312" w:hAnsi="楷体" w:eastAsia="仿宋_GB2312"/>
          <w:color w:val="000000" w:themeColor="text1"/>
          <w:kern w:val="0"/>
          <w:sz w:val="32"/>
          <w:szCs w:val="32"/>
        </w:rPr>
        <w:t>展情况，采取的主要举措、工作亮点和取得成效。</w:t>
      </w:r>
    </w:p>
    <w:p>
      <w:pPr>
        <w:numPr>
          <w:ilvl w:val="255"/>
          <w:numId w:val="0"/>
        </w:numPr>
        <w:ind w:firstLine="640" w:firstLineChars="20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四、保障单位履职和促进事业发展情况</w:t>
      </w:r>
    </w:p>
    <w:p>
      <w:pPr>
        <w:pStyle w:val="17"/>
        <w:numPr>
          <w:ilvl w:val="255"/>
          <w:numId w:val="0"/>
        </w:numPr>
        <w:ind w:firstLine="640"/>
        <w:rPr>
          <w:rFonts w:ascii="仿宋_GB2312" w:hAnsi="华文仿宋" w:eastAsia="仿宋_GB2312" w:cs="华文仿宋"/>
          <w:color w:val="000000" w:themeColor="text1"/>
          <w:kern w:val="0"/>
          <w:sz w:val="32"/>
          <w:szCs w:val="32"/>
        </w:rPr>
      </w:pPr>
      <w:r>
        <w:rPr>
          <w:rFonts w:hint="eastAsia" w:ascii="仿宋_GB2312" w:hAnsi="楷体" w:eastAsia="仿宋_GB2312"/>
          <w:color w:val="000000" w:themeColor="text1"/>
          <w:kern w:val="0"/>
          <w:sz w:val="32"/>
          <w:szCs w:val="32"/>
        </w:rPr>
        <w:t>全面反映行政事业性国有资产管理在贯彻落实党中央、国务院决策部署，保障单位履职和事业发展、提供公共服务，</w:t>
      </w:r>
      <w:r>
        <w:rPr>
          <w:rFonts w:hint="eastAsia" w:ascii="仿宋_GB2312" w:hAnsi="华文仿宋" w:eastAsia="仿宋_GB2312" w:cs="华文仿宋"/>
          <w:color w:val="000000" w:themeColor="text1"/>
          <w:kern w:val="0"/>
          <w:sz w:val="32"/>
          <w:szCs w:val="32"/>
        </w:rPr>
        <w:t>以及</w:t>
      </w:r>
      <w:r>
        <w:rPr>
          <w:rFonts w:hint="eastAsia" w:ascii="仿宋_GB2312" w:hAnsi="楷体" w:eastAsia="仿宋_GB2312"/>
          <w:color w:val="000000" w:themeColor="text1"/>
          <w:kern w:val="0"/>
          <w:sz w:val="32"/>
          <w:szCs w:val="32"/>
        </w:rPr>
        <w:t>推进各项改革</w:t>
      </w:r>
      <w:r>
        <w:rPr>
          <w:rFonts w:hint="eastAsia" w:ascii="仿宋_GB2312" w:hAnsi="华文仿宋" w:eastAsia="仿宋_GB2312" w:cs="华文仿宋"/>
          <w:color w:val="000000" w:themeColor="text1"/>
          <w:kern w:val="0"/>
          <w:sz w:val="32"/>
          <w:szCs w:val="32"/>
        </w:rPr>
        <w:t>等方面所发挥的</w:t>
      </w:r>
      <w:r>
        <w:rPr>
          <w:rFonts w:hint="eastAsia" w:ascii="仿宋_GB2312" w:hAnsi="楷体" w:eastAsia="仿宋_GB2312"/>
          <w:color w:val="000000" w:themeColor="text1"/>
          <w:kern w:val="0"/>
          <w:sz w:val="32"/>
          <w:szCs w:val="32"/>
        </w:rPr>
        <w:t>积极</w:t>
      </w:r>
      <w:r>
        <w:rPr>
          <w:rFonts w:hint="eastAsia" w:ascii="仿宋_GB2312" w:hAnsi="华文仿宋" w:eastAsia="仿宋_GB2312" w:cs="华文仿宋"/>
          <w:color w:val="000000" w:themeColor="text1"/>
          <w:kern w:val="0"/>
          <w:sz w:val="32"/>
          <w:szCs w:val="32"/>
        </w:rPr>
        <w:t>作用。</w:t>
      </w:r>
      <w:r>
        <w:rPr>
          <w:rFonts w:hint="eastAsia" w:ascii="仿宋_GB2312" w:hAnsi="楷体" w:eastAsia="仿宋_GB2312"/>
          <w:color w:val="000000" w:themeColor="text1"/>
          <w:kern w:val="0"/>
          <w:sz w:val="32"/>
          <w:szCs w:val="32"/>
        </w:rPr>
        <w:t>其中，教育、科技、卫生、文化等行业，</w:t>
      </w:r>
      <w:r>
        <w:rPr>
          <w:rFonts w:hint="eastAsia" w:ascii="仿宋_GB2312" w:hAnsi="华文仿宋" w:eastAsia="仿宋_GB2312" w:cs="华文仿宋"/>
          <w:color w:val="000000" w:themeColor="text1"/>
          <w:kern w:val="0"/>
          <w:sz w:val="32"/>
          <w:szCs w:val="32"/>
        </w:rPr>
        <w:t>重点反映在落实科教兴国战略、实现科技自立自强、支持基本公共服务均等化、推进文化自信自强等方面发挥的重要作用；市政基础设施、交通基础设施、水利基础设施、保障性住房、政府储备物资、文物资源等资产，重点反映在发挥公共服务功能，促进城市可持续发展，</w:t>
      </w:r>
      <w:r>
        <w:rPr>
          <w:rFonts w:hint="eastAsia" w:ascii="仿宋_GB2312" w:hAnsi="华文仿宋" w:eastAsia="仿宋_GB2312" w:cs="华文仿宋"/>
          <w:color w:val="000000" w:themeColor="text1"/>
          <w:kern w:val="0"/>
          <w:sz w:val="32"/>
          <w:szCs w:val="32"/>
          <w:lang w:val="zh-CN"/>
        </w:rPr>
        <w:t>服务加快建设交通强国，推动新阶段水利高质量发展，</w:t>
      </w:r>
      <w:r>
        <w:rPr>
          <w:rFonts w:hint="eastAsia" w:ascii="仿宋_GB2312" w:hAnsi="华文仿宋" w:eastAsia="仿宋_GB2312" w:cs="华文仿宋"/>
          <w:color w:val="000000" w:themeColor="text1"/>
          <w:kern w:val="0"/>
          <w:sz w:val="32"/>
          <w:szCs w:val="32"/>
        </w:rPr>
        <w:t>“让全体人民住有所居”，战略保障、宏观调控、应对急需等方面，以及加强文物保护利用等方面发挥的基础性支撑作用。</w:t>
      </w:r>
    </w:p>
    <w:p>
      <w:pPr>
        <w:spacing w:line="360" w:lineRule="auto"/>
        <w:ind w:firstLine="640" w:firstLineChars="20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五、资产管理工作存在的问题及整改情况</w:t>
      </w:r>
    </w:p>
    <w:p>
      <w:pPr>
        <w:ind w:firstLine="640" w:firstLineChars="200"/>
        <w:rPr>
          <w:rFonts w:ascii="黑体" w:hAnsi="黑体" w:eastAsia="黑体"/>
          <w:color w:val="000000" w:themeColor="text1"/>
          <w:sz w:val="32"/>
          <w:szCs w:val="32"/>
        </w:rPr>
      </w:pPr>
      <w:r>
        <w:rPr>
          <w:rFonts w:hint="eastAsia" w:ascii="仿宋_GB2312" w:eastAsia="仿宋_GB2312"/>
          <w:color w:val="000000" w:themeColor="text1"/>
          <w:sz w:val="32"/>
          <w:szCs w:val="32"/>
        </w:rPr>
        <w:t>（一）系统梳理本地区、本部门</w:t>
      </w:r>
      <w:r>
        <w:rPr>
          <w:rFonts w:hint="eastAsia" w:ascii="仿宋_GB2312" w:hAnsi="华文仿宋" w:eastAsia="仿宋_GB2312" w:cs="华文仿宋"/>
          <w:bCs/>
          <w:color w:val="000000" w:themeColor="text1"/>
          <w:kern w:val="0"/>
          <w:sz w:val="32"/>
          <w:szCs w:val="32"/>
        </w:rPr>
        <w:t>行政事业性国有</w:t>
      </w:r>
      <w:r>
        <w:rPr>
          <w:rFonts w:hint="eastAsia" w:ascii="仿宋_GB2312" w:eastAsia="仿宋_GB2312"/>
          <w:color w:val="000000" w:themeColor="text1"/>
          <w:sz w:val="32"/>
          <w:szCs w:val="32"/>
        </w:rPr>
        <w:t>资产管理存在的主要问题，并深入分析产生的原因。</w:t>
      </w:r>
    </w:p>
    <w:p>
      <w:pPr>
        <w:pStyle w:val="17"/>
        <w:ind w:firstLine="640"/>
        <w:rPr>
          <w:rFonts w:ascii="仿宋_GB2312" w:hAnsi="华文仿宋" w:eastAsia="仿宋_GB2312" w:cs="华文仿宋"/>
          <w:color w:val="000000" w:themeColor="text1"/>
          <w:kern w:val="0"/>
          <w:sz w:val="32"/>
          <w:szCs w:val="32"/>
        </w:rPr>
      </w:pPr>
      <w:r>
        <w:rPr>
          <w:rFonts w:hint="eastAsia" w:ascii="仿宋_GB2312" w:eastAsia="仿宋_GB2312"/>
          <w:color w:val="000000" w:themeColor="text1"/>
          <w:sz w:val="32"/>
          <w:szCs w:val="32"/>
        </w:rPr>
        <w:t>（二）</w:t>
      </w:r>
      <w:r>
        <w:rPr>
          <w:rFonts w:hint="eastAsia" w:ascii="仿宋_GB2312" w:hAnsi="华文仿宋" w:eastAsia="仿宋_GB2312" w:cs="华文仿宋"/>
          <w:bCs/>
          <w:color w:val="000000" w:themeColor="text1"/>
          <w:kern w:val="0"/>
          <w:sz w:val="32"/>
          <w:szCs w:val="32"/>
        </w:rPr>
        <w:t>人大、审计、巡视等提出的行政事业性国有资产管理问题的整改落实情况。</w:t>
      </w:r>
    </w:p>
    <w:p>
      <w:pPr>
        <w:ind w:firstLine="640" w:firstLineChars="200"/>
        <w:outlineLvl w:val="0"/>
        <w:rPr>
          <w:rFonts w:ascii="黑体" w:hAnsi="仿宋" w:eastAsia="黑体"/>
          <w:color w:val="000000" w:themeColor="text1"/>
          <w:sz w:val="32"/>
          <w:szCs w:val="32"/>
        </w:rPr>
      </w:pPr>
      <w:r>
        <w:rPr>
          <w:rFonts w:hint="eastAsia" w:ascii="黑体" w:hAnsi="仿宋" w:eastAsia="黑体"/>
          <w:color w:val="000000" w:themeColor="text1"/>
          <w:sz w:val="32"/>
          <w:szCs w:val="32"/>
        </w:rPr>
        <w:t>六、下一步工作思路</w:t>
      </w:r>
    </w:p>
    <w:p>
      <w:pPr>
        <w:ind w:firstLine="640" w:firstLineChars="200"/>
        <w:rPr>
          <w:rFonts w:ascii="黑体" w:hAnsi="黑体" w:eastAsia="黑体"/>
          <w:color w:val="000000" w:themeColor="text1"/>
          <w:sz w:val="32"/>
          <w:szCs w:val="32"/>
        </w:rPr>
      </w:pPr>
      <w:r>
        <w:rPr>
          <w:rFonts w:hint="eastAsia" w:ascii="仿宋_GB2312" w:eastAsia="仿宋_GB2312"/>
          <w:color w:val="000000" w:themeColor="text1"/>
          <w:sz w:val="32"/>
          <w:szCs w:val="32"/>
        </w:rPr>
        <w:t>结合贯彻党的二十大和二十届</w:t>
      </w:r>
      <w:r>
        <w:rPr>
          <w:rFonts w:hint="eastAsia" w:ascii="仿宋_GB2312" w:eastAsia="仿宋_GB2312"/>
          <w:color w:val="000000" w:themeColor="text1"/>
          <w:sz w:val="32"/>
          <w:szCs w:val="32"/>
          <w:lang w:eastAsia="zh-CN"/>
        </w:rPr>
        <w:t>历次</w:t>
      </w:r>
      <w:r>
        <w:rPr>
          <w:rFonts w:hint="eastAsia" w:ascii="仿宋_GB2312" w:eastAsia="仿宋_GB2312"/>
          <w:color w:val="000000" w:themeColor="text1"/>
          <w:sz w:val="32"/>
          <w:szCs w:val="32"/>
        </w:rPr>
        <w:t>全会精神，落实党中央、国务院决策部署，立足新发展阶段，着眼于构建新发展格局、推动高质量发展，坚持问题导向和目标导向，认真研究提出务实管用的措施和推动资产管理高质量发展的工作思路。</w:t>
      </w:r>
    </w:p>
    <w:p>
      <w:pPr>
        <w:ind w:firstLine="640" w:firstLineChars="200"/>
        <w:rPr>
          <w:rFonts w:ascii="仿宋_GB2312" w:eastAsia="仿宋_GB2312"/>
          <w:color w:val="000000" w:themeColor="text1"/>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EF81"/>
    <w:multiLevelType w:val="singleLevel"/>
    <w:tmpl w:val="BFE4EF81"/>
    <w:lvl w:ilvl="0" w:tentative="0">
      <w:start w:val="1"/>
      <w:numFmt w:val="chineseCounting"/>
      <w:suff w:val="nothing"/>
      <w:lvlText w:val="（%1）"/>
      <w:lvlJc w:val="left"/>
      <w:rPr>
        <w:rFonts w:hint="eastAsia"/>
      </w:rPr>
    </w:lvl>
  </w:abstractNum>
  <w:abstractNum w:abstractNumId="1">
    <w:nsid w:val="30E91A7C"/>
    <w:multiLevelType w:val="multilevel"/>
    <w:tmpl w:val="30E91A7C"/>
    <w:lvl w:ilvl="0" w:tentative="0">
      <w:start w:val="1"/>
      <w:numFmt w:val="japaneseCounting"/>
      <w:lvlText w:val="%1、"/>
      <w:lvlJc w:val="left"/>
      <w:pPr>
        <w:ind w:left="1288" w:hanging="720"/>
      </w:pPr>
      <w:rPr>
        <w:rFonts w:hint="eastAsia" w:ascii="黑体" w:hAnsi="Calibri" w:eastAsia="黑体"/>
        <w:color w:val="auto"/>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BhNjYwZmFmZTEzMzg4ZDU3OTU4Y2JlMWFiNmM2NTYifQ=="/>
  </w:docVars>
  <w:rsids>
    <w:rsidRoot w:val="00FE599C"/>
    <w:rsid w:val="00002F5F"/>
    <w:rsid w:val="00010CC2"/>
    <w:rsid w:val="000133B5"/>
    <w:rsid w:val="0001452F"/>
    <w:rsid w:val="00020726"/>
    <w:rsid w:val="000263E6"/>
    <w:rsid w:val="000315FA"/>
    <w:rsid w:val="000475E3"/>
    <w:rsid w:val="00071ECA"/>
    <w:rsid w:val="00081B26"/>
    <w:rsid w:val="00096F37"/>
    <w:rsid w:val="000A2A43"/>
    <w:rsid w:val="000C3825"/>
    <w:rsid w:val="000C7B67"/>
    <w:rsid w:val="000F294E"/>
    <w:rsid w:val="001116ED"/>
    <w:rsid w:val="00112F28"/>
    <w:rsid w:val="00130E81"/>
    <w:rsid w:val="00134B3E"/>
    <w:rsid w:val="0014437D"/>
    <w:rsid w:val="00144439"/>
    <w:rsid w:val="00144A45"/>
    <w:rsid w:val="00170F85"/>
    <w:rsid w:val="00185DBB"/>
    <w:rsid w:val="001B0B4B"/>
    <w:rsid w:val="001B1313"/>
    <w:rsid w:val="001B7D17"/>
    <w:rsid w:val="001C2856"/>
    <w:rsid w:val="001C5EFB"/>
    <w:rsid w:val="001E00AB"/>
    <w:rsid w:val="001E1624"/>
    <w:rsid w:val="001F54A3"/>
    <w:rsid w:val="001F7B3B"/>
    <w:rsid w:val="00200E75"/>
    <w:rsid w:val="00201435"/>
    <w:rsid w:val="00201F8E"/>
    <w:rsid w:val="00222F75"/>
    <w:rsid w:val="00244F92"/>
    <w:rsid w:val="002620BC"/>
    <w:rsid w:val="00263509"/>
    <w:rsid w:val="002735C8"/>
    <w:rsid w:val="0027640E"/>
    <w:rsid w:val="00281DD6"/>
    <w:rsid w:val="00294D3A"/>
    <w:rsid w:val="002963AD"/>
    <w:rsid w:val="002A206B"/>
    <w:rsid w:val="002A3AC2"/>
    <w:rsid w:val="002B0DCB"/>
    <w:rsid w:val="002C188F"/>
    <w:rsid w:val="002D2F57"/>
    <w:rsid w:val="002E292B"/>
    <w:rsid w:val="002F06BB"/>
    <w:rsid w:val="0030044B"/>
    <w:rsid w:val="003004DC"/>
    <w:rsid w:val="00301967"/>
    <w:rsid w:val="0034210A"/>
    <w:rsid w:val="00364686"/>
    <w:rsid w:val="00377900"/>
    <w:rsid w:val="003857A9"/>
    <w:rsid w:val="00385AFF"/>
    <w:rsid w:val="00386292"/>
    <w:rsid w:val="003A01AE"/>
    <w:rsid w:val="003D677C"/>
    <w:rsid w:val="003F4032"/>
    <w:rsid w:val="003F569D"/>
    <w:rsid w:val="00410584"/>
    <w:rsid w:val="004359F4"/>
    <w:rsid w:val="00460D4E"/>
    <w:rsid w:val="00465733"/>
    <w:rsid w:val="0047294E"/>
    <w:rsid w:val="004751F5"/>
    <w:rsid w:val="0048463A"/>
    <w:rsid w:val="00487FB2"/>
    <w:rsid w:val="004937DF"/>
    <w:rsid w:val="004A094D"/>
    <w:rsid w:val="004A24AC"/>
    <w:rsid w:val="004B1C4B"/>
    <w:rsid w:val="004B3B35"/>
    <w:rsid w:val="004B4197"/>
    <w:rsid w:val="004B6BE1"/>
    <w:rsid w:val="004B7347"/>
    <w:rsid w:val="004C0C9C"/>
    <w:rsid w:val="004C529C"/>
    <w:rsid w:val="004C55CA"/>
    <w:rsid w:val="004C672F"/>
    <w:rsid w:val="004D47C6"/>
    <w:rsid w:val="004D6137"/>
    <w:rsid w:val="004D6FD1"/>
    <w:rsid w:val="004D76DC"/>
    <w:rsid w:val="004E0B94"/>
    <w:rsid w:val="004F5D6C"/>
    <w:rsid w:val="00500031"/>
    <w:rsid w:val="00500443"/>
    <w:rsid w:val="00500BDA"/>
    <w:rsid w:val="00502C20"/>
    <w:rsid w:val="00512DD9"/>
    <w:rsid w:val="00513DC4"/>
    <w:rsid w:val="0052477F"/>
    <w:rsid w:val="00542E86"/>
    <w:rsid w:val="00550488"/>
    <w:rsid w:val="00573CD4"/>
    <w:rsid w:val="00583436"/>
    <w:rsid w:val="005900D2"/>
    <w:rsid w:val="00590D26"/>
    <w:rsid w:val="005A2678"/>
    <w:rsid w:val="005B459B"/>
    <w:rsid w:val="005C0646"/>
    <w:rsid w:val="005D1BCA"/>
    <w:rsid w:val="005D4893"/>
    <w:rsid w:val="005D4BA3"/>
    <w:rsid w:val="005F31CB"/>
    <w:rsid w:val="005F757E"/>
    <w:rsid w:val="005F79EE"/>
    <w:rsid w:val="006131AB"/>
    <w:rsid w:val="0061516F"/>
    <w:rsid w:val="006168C2"/>
    <w:rsid w:val="00622F50"/>
    <w:rsid w:val="006232AC"/>
    <w:rsid w:val="00632B94"/>
    <w:rsid w:val="00635A94"/>
    <w:rsid w:val="00635CD2"/>
    <w:rsid w:val="00636F94"/>
    <w:rsid w:val="006506DD"/>
    <w:rsid w:val="006572AC"/>
    <w:rsid w:val="00673993"/>
    <w:rsid w:val="00675ACA"/>
    <w:rsid w:val="00683829"/>
    <w:rsid w:val="00691261"/>
    <w:rsid w:val="006942CD"/>
    <w:rsid w:val="00696948"/>
    <w:rsid w:val="006A6FBC"/>
    <w:rsid w:val="006A79E2"/>
    <w:rsid w:val="006B134B"/>
    <w:rsid w:val="006B1FA0"/>
    <w:rsid w:val="006B214A"/>
    <w:rsid w:val="006B56D3"/>
    <w:rsid w:val="006B77D1"/>
    <w:rsid w:val="006C02D2"/>
    <w:rsid w:val="006C05DE"/>
    <w:rsid w:val="006E3DC9"/>
    <w:rsid w:val="006F4F95"/>
    <w:rsid w:val="00700518"/>
    <w:rsid w:val="00705E76"/>
    <w:rsid w:val="007067D5"/>
    <w:rsid w:val="00745F35"/>
    <w:rsid w:val="00746E5A"/>
    <w:rsid w:val="00756AE5"/>
    <w:rsid w:val="00760827"/>
    <w:rsid w:val="00773668"/>
    <w:rsid w:val="007856E6"/>
    <w:rsid w:val="007A2646"/>
    <w:rsid w:val="007F0ACA"/>
    <w:rsid w:val="00803104"/>
    <w:rsid w:val="0081099D"/>
    <w:rsid w:val="00810AE1"/>
    <w:rsid w:val="00823341"/>
    <w:rsid w:val="00827AF1"/>
    <w:rsid w:val="0084298B"/>
    <w:rsid w:val="00847EB0"/>
    <w:rsid w:val="00852036"/>
    <w:rsid w:val="008546AC"/>
    <w:rsid w:val="00861429"/>
    <w:rsid w:val="00870619"/>
    <w:rsid w:val="00877543"/>
    <w:rsid w:val="0088119B"/>
    <w:rsid w:val="00884236"/>
    <w:rsid w:val="00890275"/>
    <w:rsid w:val="008A1787"/>
    <w:rsid w:val="008A68BA"/>
    <w:rsid w:val="008B0F73"/>
    <w:rsid w:val="008B4F1B"/>
    <w:rsid w:val="008C3BDB"/>
    <w:rsid w:val="008D129A"/>
    <w:rsid w:val="008E0165"/>
    <w:rsid w:val="008E2117"/>
    <w:rsid w:val="008F111A"/>
    <w:rsid w:val="00907EBC"/>
    <w:rsid w:val="009170BE"/>
    <w:rsid w:val="00925324"/>
    <w:rsid w:val="009352B5"/>
    <w:rsid w:val="00936A46"/>
    <w:rsid w:val="00941CCA"/>
    <w:rsid w:val="00942D12"/>
    <w:rsid w:val="009625C7"/>
    <w:rsid w:val="009859EC"/>
    <w:rsid w:val="009912EB"/>
    <w:rsid w:val="009917C2"/>
    <w:rsid w:val="009A1249"/>
    <w:rsid w:val="009C3901"/>
    <w:rsid w:val="009C63E2"/>
    <w:rsid w:val="009D404A"/>
    <w:rsid w:val="009D5FC2"/>
    <w:rsid w:val="009D7888"/>
    <w:rsid w:val="009E659B"/>
    <w:rsid w:val="00A06D92"/>
    <w:rsid w:val="00A15CFF"/>
    <w:rsid w:val="00A169E7"/>
    <w:rsid w:val="00A16A3C"/>
    <w:rsid w:val="00A33549"/>
    <w:rsid w:val="00A52FDF"/>
    <w:rsid w:val="00A644D9"/>
    <w:rsid w:val="00A70CC9"/>
    <w:rsid w:val="00A7588B"/>
    <w:rsid w:val="00A80804"/>
    <w:rsid w:val="00A8440F"/>
    <w:rsid w:val="00A921F6"/>
    <w:rsid w:val="00AA188C"/>
    <w:rsid w:val="00AB3508"/>
    <w:rsid w:val="00AC153A"/>
    <w:rsid w:val="00AC4566"/>
    <w:rsid w:val="00AC4B40"/>
    <w:rsid w:val="00AE6AB5"/>
    <w:rsid w:val="00AF7E6B"/>
    <w:rsid w:val="00B2583B"/>
    <w:rsid w:val="00B53EB4"/>
    <w:rsid w:val="00B679B2"/>
    <w:rsid w:val="00B71F9F"/>
    <w:rsid w:val="00BA240A"/>
    <w:rsid w:val="00BA48D8"/>
    <w:rsid w:val="00BB3452"/>
    <w:rsid w:val="00BB5C28"/>
    <w:rsid w:val="00BB7EA2"/>
    <w:rsid w:val="00BE7F14"/>
    <w:rsid w:val="00C040F1"/>
    <w:rsid w:val="00C26CDD"/>
    <w:rsid w:val="00C3107B"/>
    <w:rsid w:val="00C45D26"/>
    <w:rsid w:val="00C5171E"/>
    <w:rsid w:val="00C619E7"/>
    <w:rsid w:val="00C66229"/>
    <w:rsid w:val="00CA0BDF"/>
    <w:rsid w:val="00CA160A"/>
    <w:rsid w:val="00CC03BE"/>
    <w:rsid w:val="00CC56FD"/>
    <w:rsid w:val="00CE4C1C"/>
    <w:rsid w:val="00D04363"/>
    <w:rsid w:val="00D055FC"/>
    <w:rsid w:val="00D05EF1"/>
    <w:rsid w:val="00D10985"/>
    <w:rsid w:val="00D15F77"/>
    <w:rsid w:val="00D16A9A"/>
    <w:rsid w:val="00D32D47"/>
    <w:rsid w:val="00D34FC8"/>
    <w:rsid w:val="00D41DD5"/>
    <w:rsid w:val="00D53C06"/>
    <w:rsid w:val="00D655B5"/>
    <w:rsid w:val="00D7675F"/>
    <w:rsid w:val="00D8066F"/>
    <w:rsid w:val="00D806B5"/>
    <w:rsid w:val="00D82A96"/>
    <w:rsid w:val="00D85530"/>
    <w:rsid w:val="00D85CED"/>
    <w:rsid w:val="00D953B9"/>
    <w:rsid w:val="00DA663B"/>
    <w:rsid w:val="00DB2768"/>
    <w:rsid w:val="00DC0832"/>
    <w:rsid w:val="00DC440B"/>
    <w:rsid w:val="00DC7DDA"/>
    <w:rsid w:val="00DD3A4D"/>
    <w:rsid w:val="00DE5EC9"/>
    <w:rsid w:val="00DF4953"/>
    <w:rsid w:val="00E434F0"/>
    <w:rsid w:val="00E47166"/>
    <w:rsid w:val="00E53B13"/>
    <w:rsid w:val="00E73CE2"/>
    <w:rsid w:val="00E90F26"/>
    <w:rsid w:val="00EA058C"/>
    <w:rsid w:val="00EA294F"/>
    <w:rsid w:val="00EA7EAC"/>
    <w:rsid w:val="00EB1170"/>
    <w:rsid w:val="00EB7AEC"/>
    <w:rsid w:val="00EC06EF"/>
    <w:rsid w:val="00EE06FD"/>
    <w:rsid w:val="00EE461F"/>
    <w:rsid w:val="00EF05AA"/>
    <w:rsid w:val="00EF6879"/>
    <w:rsid w:val="00F00089"/>
    <w:rsid w:val="00F0109E"/>
    <w:rsid w:val="00F03D46"/>
    <w:rsid w:val="00F06EBD"/>
    <w:rsid w:val="00F22FBE"/>
    <w:rsid w:val="00F27E14"/>
    <w:rsid w:val="00F34E0F"/>
    <w:rsid w:val="00F420D9"/>
    <w:rsid w:val="00F47837"/>
    <w:rsid w:val="00F65FC3"/>
    <w:rsid w:val="00F67AD4"/>
    <w:rsid w:val="00F7087F"/>
    <w:rsid w:val="00F867DD"/>
    <w:rsid w:val="00F91AC1"/>
    <w:rsid w:val="00F94162"/>
    <w:rsid w:val="00FD57A1"/>
    <w:rsid w:val="00FE599C"/>
    <w:rsid w:val="00FF093F"/>
    <w:rsid w:val="00FF41E1"/>
    <w:rsid w:val="01166843"/>
    <w:rsid w:val="02156F68"/>
    <w:rsid w:val="026172AC"/>
    <w:rsid w:val="02D3237A"/>
    <w:rsid w:val="02F809E2"/>
    <w:rsid w:val="03247659"/>
    <w:rsid w:val="037B597B"/>
    <w:rsid w:val="038A7E04"/>
    <w:rsid w:val="03CA0F19"/>
    <w:rsid w:val="03DD1CE2"/>
    <w:rsid w:val="04414801"/>
    <w:rsid w:val="04523525"/>
    <w:rsid w:val="05522836"/>
    <w:rsid w:val="06072128"/>
    <w:rsid w:val="073065CD"/>
    <w:rsid w:val="07611D55"/>
    <w:rsid w:val="07675800"/>
    <w:rsid w:val="07773ED3"/>
    <w:rsid w:val="077F84F6"/>
    <w:rsid w:val="07950205"/>
    <w:rsid w:val="07E35189"/>
    <w:rsid w:val="09FD0375"/>
    <w:rsid w:val="0ADA18C7"/>
    <w:rsid w:val="0B2E72C7"/>
    <w:rsid w:val="0B6017F9"/>
    <w:rsid w:val="0B64113E"/>
    <w:rsid w:val="0C7F5CD8"/>
    <w:rsid w:val="0D2E476E"/>
    <w:rsid w:val="0DE6125F"/>
    <w:rsid w:val="0DF32A69"/>
    <w:rsid w:val="0E3323B2"/>
    <w:rsid w:val="0E663F55"/>
    <w:rsid w:val="0EEB22FD"/>
    <w:rsid w:val="0EF5A5EB"/>
    <w:rsid w:val="0EFBAA48"/>
    <w:rsid w:val="0F1015F2"/>
    <w:rsid w:val="0F1DC201"/>
    <w:rsid w:val="0FAF0291"/>
    <w:rsid w:val="101A4DDE"/>
    <w:rsid w:val="111D6DC2"/>
    <w:rsid w:val="116454B7"/>
    <w:rsid w:val="11CD3961"/>
    <w:rsid w:val="11F92A66"/>
    <w:rsid w:val="128D6BB4"/>
    <w:rsid w:val="12F11306"/>
    <w:rsid w:val="13540978"/>
    <w:rsid w:val="136CF53A"/>
    <w:rsid w:val="1375087B"/>
    <w:rsid w:val="13A814F8"/>
    <w:rsid w:val="13DBF088"/>
    <w:rsid w:val="141D437D"/>
    <w:rsid w:val="142A39AA"/>
    <w:rsid w:val="14EF7718"/>
    <w:rsid w:val="15581B10"/>
    <w:rsid w:val="16121FC8"/>
    <w:rsid w:val="167D2E02"/>
    <w:rsid w:val="169E17A5"/>
    <w:rsid w:val="16B351AB"/>
    <w:rsid w:val="16C94348"/>
    <w:rsid w:val="17A821AF"/>
    <w:rsid w:val="17CE59D9"/>
    <w:rsid w:val="17E00C27"/>
    <w:rsid w:val="17E1563E"/>
    <w:rsid w:val="18D21BDA"/>
    <w:rsid w:val="18F462C3"/>
    <w:rsid w:val="193261D5"/>
    <w:rsid w:val="19FD6E62"/>
    <w:rsid w:val="1A3C22BC"/>
    <w:rsid w:val="1B5B6257"/>
    <w:rsid w:val="1B8F790E"/>
    <w:rsid w:val="1BD73063"/>
    <w:rsid w:val="1C53586C"/>
    <w:rsid w:val="1CA93CD8"/>
    <w:rsid w:val="1D21151E"/>
    <w:rsid w:val="1DCBC8FC"/>
    <w:rsid w:val="1DF5CC0D"/>
    <w:rsid w:val="1DF683A0"/>
    <w:rsid w:val="1DFC6D7A"/>
    <w:rsid w:val="1E1C617D"/>
    <w:rsid w:val="1E3F1AF0"/>
    <w:rsid w:val="1E6F1EE9"/>
    <w:rsid w:val="1EA42793"/>
    <w:rsid w:val="1EC21DA9"/>
    <w:rsid w:val="1F751BD5"/>
    <w:rsid w:val="1FA85442"/>
    <w:rsid w:val="1FD21068"/>
    <w:rsid w:val="202E39B4"/>
    <w:rsid w:val="20DA5ACF"/>
    <w:rsid w:val="212432DF"/>
    <w:rsid w:val="21833BFB"/>
    <w:rsid w:val="221C015A"/>
    <w:rsid w:val="22E561CA"/>
    <w:rsid w:val="23326A25"/>
    <w:rsid w:val="23FF7587"/>
    <w:rsid w:val="24B67988"/>
    <w:rsid w:val="24C25488"/>
    <w:rsid w:val="250817C9"/>
    <w:rsid w:val="254FB274"/>
    <w:rsid w:val="270F7B55"/>
    <w:rsid w:val="2737D6A6"/>
    <w:rsid w:val="273A4F88"/>
    <w:rsid w:val="277DF779"/>
    <w:rsid w:val="27933A2F"/>
    <w:rsid w:val="287F0D3E"/>
    <w:rsid w:val="28927C94"/>
    <w:rsid w:val="28AD067D"/>
    <w:rsid w:val="29126FE4"/>
    <w:rsid w:val="2939585B"/>
    <w:rsid w:val="29451F54"/>
    <w:rsid w:val="29A547A1"/>
    <w:rsid w:val="2A636B36"/>
    <w:rsid w:val="2B288D7E"/>
    <w:rsid w:val="2BE02FAC"/>
    <w:rsid w:val="2BEA21C4"/>
    <w:rsid w:val="2C0A2C4B"/>
    <w:rsid w:val="2CB47743"/>
    <w:rsid w:val="2DB30221"/>
    <w:rsid w:val="2E0859A8"/>
    <w:rsid w:val="2E6DA8D7"/>
    <w:rsid w:val="2F3B2D5A"/>
    <w:rsid w:val="2F3E30EF"/>
    <w:rsid w:val="2FAD3080"/>
    <w:rsid w:val="2FB65BE3"/>
    <w:rsid w:val="2FEC1466"/>
    <w:rsid w:val="3014442E"/>
    <w:rsid w:val="309853B2"/>
    <w:rsid w:val="318E3E5D"/>
    <w:rsid w:val="31902152"/>
    <w:rsid w:val="3197422B"/>
    <w:rsid w:val="31FE3C6C"/>
    <w:rsid w:val="322E5C7B"/>
    <w:rsid w:val="32DF9261"/>
    <w:rsid w:val="33EF7017"/>
    <w:rsid w:val="33F11027"/>
    <w:rsid w:val="345D2848"/>
    <w:rsid w:val="35240049"/>
    <w:rsid w:val="35AA5BF4"/>
    <w:rsid w:val="35B93C5D"/>
    <w:rsid w:val="36FF4797"/>
    <w:rsid w:val="3757083F"/>
    <w:rsid w:val="375C44EF"/>
    <w:rsid w:val="376F7781"/>
    <w:rsid w:val="37995A57"/>
    <w:rsid w:val="37FA010D"/>
    <w:rsid w:val="37FF1669"/>
    <w:rsid w:val="38726196"/>
    <w:rsid w:val="389968CD"/>
    <w:rsid w:val="38E5D1DE"/>
    <w:rsid w:val="39196A2A"/>
    <w:rsid w:val="39AC1B82"/>
    <w:rsid w:val="39FC0ADA"/>
    <w:rsid w:val="3A775CE5"/>
    <w:rsid w:val="3A9941DB"/>
    <w:rsid w:val="3AD60C5E"/>
    <w:rsid w:val="3B164554"/>
    <w:rsid w:val="3B2D7415"/>
    <w:rsid w:val="3B3FC535"/>
    <w:rsid w:val="3B5F9274"/>
    <w:rsid w:val="3B774148"/>
    <w:rsid w:val="3BA2254D"/>
    <w:rsid w:val="3BA4C181"/>
    <w:rsid w:val="3BAFF5B1"/>
    <w:rsid w:val="3BF4E0AC"/>
    <w:rsid w:val="3BFA5ECB"/>
    <w:rsid w:val="3CF6D69B"/>
    <w:rsid w:val="3CFFF10B"/>
    <w:rsid w:val="3D0F3244"/>
    <w:rsid w:val="3D771506"/>
    <w:rsid w:val="3D7D3ACB"/>
    <w:rsid w:val="3DAFB2F1"/>
    <w:rsid w:val="3DFFA301"/>
    <w:rsid w:val="3E301E24"/>
    <w:rsid w:val="3E503F19"/>
    <w:rsid w:val="3E7A0BD6"/>
    <w:rsid w:val="3E8A7D75"/>
    <w:rsid w:val="3EB66429"/>
    <w:rsid w:val="3EBD3D37"/>
    <w:rsid w:val="3ED0249C"/>
    <w:rsid w:val="3EDC88D4"/>
    <w:rsid w:val="3EED47C8"/>
    <w:rsid w:val="3EF142B8"/>
    <w:rsid w:val="3FBD7618"/>
    <w:rsid w:val="3FDAE8C6"/>
    <w:rsid w:val="3FDB5FFA"/>
    <w:rsid w:val="3FDF4418"/>
    <w:rsid w:val="3FF1D76D"/>
    <w:rsid w:val="3FFA3AA7"/>
    <w:rsid w:val="3FFAF63C"/>
    <w:rsid w:val="3FFB08D6"/>
    <w:rsid w:val="3FFC1C86"/>
    <w:rsid w:val="402B654B"/>
    <w:rsid w:val="40E66DE2"/>
    <w:rsid w:val="40FA29D2"/>
    <w:rsid w:val="41BD4926"/>
    <w:rsid w:val="41E9571B"/>
    <w:rsid w:val="4253012A"/>
    <w:rsid w:val="43797382"/>
    <w:rsid w:val="43931DE2"/>
    <w:rsid w:val="439532B5"/>
    <w:rsid w:val="43D5363B"/>
    <w:rsid w:val="43FB34E3"/>
    <w:rsid w:val="445B21D4"/>
    <w:rsid w:val="44EF4922"/>
    <w:rsid w:val="453870F5"/>
    <w:rsid w:val="45AF4CC3"/>
    <w:rsid w:val="45EC3A2B"/>
    <w:rsid w:val="45FE6F89"/>
    <w:rsid w:val="463439C7"/>
    <w:rsid w:val="46476EB4"/>
    <w:rsid w:val="46EA6AB4"/>
    <w:rsid w:val="48320D64"/>
    <w:rsid w:val="49816239"/>
    <w:rsid w:val="4ADF0518"/>
    <w:rsid w:val="4B7D023E"/>
    <w:rsid w:val="4BB96C16"/>
    <w:rsid w:val="4C410F93"/>
    <w:rsid w:val="4C6F6416"/>
    <w:rsid w:val="4CD77C0E"/>
    <w:rsid w:val="4D2C130A"/>
    <w:rsid w:val="4D3D1799"/>
    <w:rsid w:val="4D5212ED"/>
    <w:rsid w:val="4D57EB9D"/>
    <w:rsid w:val="4DAA3A47"/>
    <w:rsid w:val="4DCA9917"/>
    <w:rsid w:val="4DF43C52"/>
    <w:rsid w:val="4DF7F3AA"/>
    <w:rsid w:val="4E2F6F8F"/>
    <w:rsid w:val="4EA16C5D"/>
    <w:rsid w:val="4EDD5757"/>
    <w:rsid w:val="4F5A754C"/>
    <w:rsid w:val="4F7759AE"/>
    <w:rsid w:val="4F9F58CF"/>
    <w:rsid w:val="4FAEBB79"/>
    <w:rsid w:val="4FC10999"/>
    <w:rsid w:val="4FD71515"/>
    <w:rsid w:val="4FFB01D2"/>
    <w:rsid w:val="4FFC1835"/>
    <w:rsid w:val="51564251"/>
    <w:rsid w:val="51E22B95"/>
    <w:rsid w:val="5275550B"/>
    <w:rsid w:val="52C11D9C"/>
    <w:rsid w:val="52CD7DA1"/>
    <w:rsid w:val="52F2517C"/>
    <w:rsid w:val="5374454A"/>
    <w:rsid w:val="53CE651E"/>
    <w:rsid w:val="53EEABBE"/>
    <w:rsid w:val="5429409D"/>
    <w:rsid w:val="544B4C92"/>
    <w:rsid w:val="544D04F0"/>
    <w:rsid w:val="547D42C3"/>
    <w:rsid w:val="54FFACDC"/>
    <w:rsid w:val="55FA1630"/>
    <w:rsid w:val="55FE99E8"/>
    <w:rsid w:val="56093C42"/>
    <w:rsid w:val="56431446"/>
    <w:rsid w:val="56F3289F"/>
    <w:rsid w:val="57171112"/>
    <w:rsid w:val="57390153"/>
    <w:rsid w:val="577675F9"/>
    <w:rsid w:val="57BF32D2"/>
    <w:rsid w:val="57C40364"/>
    <w:rsid w:val="57DF649B"/>
    <w:rsid w:val="57EE044E"/>
    <w:rsid w:val="57F70DFF"/>
    <w:rsid w:val="58042AEB"/>
    <w:rsid w:val="583F3E8F"/>
    <w:rsid w:val="586B4198"/>
    <w:rsid w:val="586FB097"/>
    <w:rsid w:val="588D5F4E"/>
    <w:rsid w:val="58CA7BFC"/>
    <w:rsid w:val="59044790"/>
    <w:rsid w:val="591A7469"/>
    <w:rsid w:val="5988716F"/>
    <w:rsid w:val="59BF11E5"/>
    <w:rsid w:val="59EE51F2"/>
    <w:rsid w:val="5A4E660B"/>
    <w:rsid w:val="5A76B6F3"/>
    <w:rsid w:val="5A9A53AC"/>
    <w:rsid w:val="5AADA604"/>
    <w:rsid w:val="5AED4C40"/>
    <w:rsid w:val="5AFC5121"/>
    <w:rsid w:val="5B2610D7"/>
    <w:rsid w:val="5B8378E5"/>
    <w:rsid w:val="5BA607B1"/>
    <w:rsid w:val="5BEFE583"/>
    <w:rsid w:val="5BF77775"/>
    <w:rsid w:val="5BFDB31C"/>
    <w:rsid w:val="5C7B225B"/>
    <w:rsid w:val="5CCE5AD7"/>
    <w:rsid w:val="5CDF3AB9"/>
    <w:rsid w:val="5D0C4185"/>
    <w:rsid w:val="5D1F0AEC"/>
    <w:rsid w:val="5D331AE8"/>
    <w:rsid w:val="5D767C24"/>
    <w:rsid w:val="5DDE28EF"/>
    <w:rsid w:val="5DE66629"/>
    <w:rsid w:val="5DEDD33A"/>
    <w:rsid w:val="5DF341D1"/>
    <w:rsid w:val="5DF97182"/>
    <w:rsid w:val="5DFD741B"/>
    <w:rsid w:val="5E224037"/>
    <w:rsid w:val="5E500FAC"/>
    <w:rsid w:val="5EC607F8"/>
    <w:rsid w:val="5EC7698C"/>
    <w:rsid w:val="5EEF94C0"/>
    <w:rsid w:val="5F0A365F"/>
    <w:rsid w:val="5F0A3A93"/>
    <w:rsid w:val="5F3D776C"/>
    <w:rsid w:val="5F6C335A"/>
    <w:rsid w:val="5F7F5DA1"/>
    <w:rsid w:val="5FB703D9"/>
    <w:rsid w:val="5FBF7947"/>
    <w:rsid w:val="5FD9FB3F"/>
    <w:rsid w:val="5FDF3A72"/>
    <w:rsid w:val="5FDFA075"/>
    <w:rsid w:val="5FFB4874"/>
    <w:rsid w:val="5FFEE52B"/>
    <w:rsid w:val="6063191E"/>
    <w:rsid w:val="60D251B5"/>
    <w:rsid w:val="60DF1858"/>
    <w:rsid w:val="617918C3"/>
    <w:rsid w:val="62771729"/>
    <w:rsid w:val="63DE1145"/>
    <w:rsid w:val="63FBBB7F"/>
    <w:rsid w:val="64432DE3"/>
    <w:rsid w:val="644D6C71"/>
    <w:rsid w:val="649410BE"/>
    <w:rsid w:val="64F14763"/>
    <w:rsid w:val="650B7A25"/>
    <w:rsid w:val="65936BD2"/>
    <w:rsid w:val="663FB738"/>
    <w:rsid w:val="66434B4A"/>
    <w:rsid w:val="667051EB"/>
    <w:rsid w:val="66FA1BD9"/>
    <w:rsid w:val="66FD320B"/>
    <w:rsid w:val="671F53A3"/>
    <w:rsid w:val="67747DA3"/>
    <w:rsid w:val="67AE693B"/>
    <w:rsid w:val="67B6DB97"/>
    <w:rsid w:val="67BBABA7"/>
    <w:rsid w:val="688A2F04"/>
    <w:rsid w:val="68F4037D"/>
    <w:rsid w:val="69167732"/>
    <w:rsid w:val="69AE66DB"/>
    <w:rsid w:val="69AF15D5"/>
    <w:rsid w:val="69D16911"/>
    <w:rsid w:val="69DEE7D4"/>
    <w:rsid w:val="6AC20EA1"/>
    <w:rsid w:val="6ADC37BF"/>
    <w:rsid w:val="6AE55576"/>
    <w:rsid w:val="6AF93C1B"/>
    <w:rsid w:val="6B5914BF"/>
    <w:rsid w:val="6B93037E"/>
    <w:rsid w:val="6BDAF706"/>
    <w:rsid w:val="6BDF965B"/>
    <w:rsid w:val="6BFA3845"/>
    <w:rsid w:val="6D2509E0"/>
    <w:rsid w:val="6D6E521C"/>
    <w:rsid w:val="6D786448"/>
    <w:rsid w:val="6D910EAD"/>
    <w:rsid w:val="6DBFACD0"/>
    <w:rsid w:val="6DCD9B9A"/>
    <w:rsid w:val="6DF73061"/>
    <w:rsid w:val="6E965F42"/>
    <w:rsid w:val="6E96FFD4"/>
    <w:rsid w:val="6ECE3892"/>
    <w:rsid w:val="6ED706DA"/>
    <w:rsid w:val="6F7E9FAB"/>
    <w:rsid w:val="6F9AB425"/>
    <w:rsid w:val="6FB79FE8"/>
    <w:rsid w:val="6FBEEF9E"/>
    <w:rsid w:val="6FDCC859"/>
    <w:rsid w:val="6FEDF160"/>
    <w:rsid w:val="6FEDF4EE"/>
    <w:rsid w:val="6FF594AB"/>
    <w:rsid w:val="6FFFC7E5"/>
    <w:rsid w:val="70335C2F"/>
    <w:rsid w:val="70A712A8"/>
    <w:rsid w:val="71347FD6"/>
    <w:rsid w:val="7136612B"/>
    <w:rsid w:val="713C0EE7"/>
    <w:rsid w:val="715244BB"/>
    <w:rsid w:val="715A6F09"/>
    <w:rsid w:val="72874BAE"/>
    <w:rsid w:val="728E37A9"/>
    <w:rsid w:val="72AECE78"/>
    <w:rsid w:val="73915D84"/>
    <w:rsid w:val="73DBBC30"/>
    <w:rsid w:val="73FE015D"/>
    <w:rsid w:val="74EB7180"/>
    <w:rsid w:val="75042B3B"/>
    <w:rsid w:val="751C3AEB"/>
    <w:rsid w:val="753FB66C"/>
    <w:rsid w:val="75622B13"/>
    <w:rsid w:val="760F4E8F"/>
    <w:rsid w:val="765EF699"/>
    <w:rsid w:val="766A00BF"/>
    <w:rsid w:val="767DFA9A"/>
    <w:rsid w:val="76E175D0"/>
    <w:rsid w:val="76E682B7"/>
    <w:rsid w:val="76F508A3"/>
    <w:rsid w:val="76FB4D2C"/>
    <w:rsid w:val="76FBAB5A"/>
    <w:rsid w:val="76FFC104"/>
    <w:rsid w:val="770025E3"/>
    <w:rsid w:val="77774F2E"/>
    <w:rsid w:val="777F44AD"/>
    <w:rsid w:val="7789082B"/>
    <w:rsid w:val="77AD5470"/>
    <w:rsid w:val="77EE0AD0"/>
    <w:rsid w:val="77EFC68B"/>
    <w:rsid w:val="77F60857"/>
    <w:rsid w:val="77F6D50D"/>
    <w:rsid w:val="77FF9D9A"/>
    <w:rsid w:val="786711A4"/>
    <w:rsid w:val="78841308"/>
    <w:rsid w:val="78F9826A"/>
    <w:rsid w:val="794BBFA1"/>
    <w:rsid w:val="796E3CBF"/>
    <w:rsid w:val="797F8F9C"/>
    <w:rsid w:val="79BBD1F0"/>
    <w:rsid w:val="79BC2B12"/>
    <w:rsid w:val="79D9479E"/>
    <w:rsid w:val="79DB0520"/>
    <w:rsid w:val="79DB2AF2"/>
    <w:rsid w:val="79DEB2DD"/>
    <w:rsid w:val="79F4675F"/>
    <w:rsid w:val="79F92439"/>
    <w:rsid w:val="7A3D52B1"/>
    <w:rsid w:val="7A71DC81"/>
    <w:rsid w:val="7AFD1EC5"/>
    <w:rsid w:val="7B1E0F18"/>
    <w:rsid w:val="7B3B5936"/>
    <w:rsid w:val="7B424492"/>
    <w:rsid w:val="7B7FF4E8"/>
    <w:rsid w:val="7B9F4EC5"/>
    <w:rsid w:val="7BB340C8"/>
    <w:rsid w:val="7BBB14DC"/>
    <w:rsid w:val="7BFF33C9"/>
    <w:rsid w:val="7C5028C4"/>
    <w:rsid w:val="7C5DE3D4"/>
    <w:rsid w:val="7C9A74B8"/>
    <w:rsid w:val="7CBD1CF1"/>
    <w:rsid w:val="7D6414C3"/>
    <w:rsid w:val="7DA490B8"/>
    <w:rsid w:val="7DB60229"/>
    <w:rsid w:val="7DCF6361"/>
    <w:rsid w:val="7DE7A37B"/>
    <w:rsid w:val="7DEFFD2D"/>
    <w:rsid w:val="7DF439BB"/>
    <w:rsid w:val="7DF706BB"/>
    <w:rsid w:val="7DF8774C"/>
    <w:rsid w:val="7DFB6BEF"/>
    <w:rsid w:val="7DFD6F4B"/>
    <w:rsid w:val="7DFE7BA9"/>
    <w:rsid w:val="7DFF9E53"/>
    <w:rsid w:val="7DFFE5AD"/>
    <w:rsid w:val="7E3A7302"/>
    <w:rsid w:val="7E5C9D7F"/>
    <w:rsid w:val="7E6B0C8A"/>
    <w:rsid w:val="7E769A20"/>
    <w:rsid w:val="7E7E5F95"/>
    <w:rsid w:val="7E7F861A"/>
    <w:rsid w:val="7EBF4BAA"/>
    <w:rsid w:val="7EBFBB38"/>
    <w:rsid w:val="7EC951E2"/>
    <w:rsid w:val="7EDA60A6"/>
    <w:rsid w:val="7EDECD26"/>
    <w:rsid w:val="7EDF0672"/>
    <w:rsid w:val="7EE9CEE1"/>
    <w:rsid w:val="7EEC683E"/>
    <w:rsid w:val="7EEEAC3A"/>
    <w:rsid w:val="7EFD35A1"/>
    <w:rsid w:val="7EFE1EF3"/>
    <w:rsid w:val="7EFF175F"/>
    <w:rsid w:val="7EFF858C"/>
    <w:rsid w:val="7F07228E"/>
    <w:rsid w:val="7F127358"/>
    <w:rsid w:val="7F3F431A"/>
    <w:rsid w:val="7F4AA272"/>
    <w:rsid w:val="7F57E8BF"/>
    <w:rsid w:val="7F5F4F22"/>
    <w:rsid w:val="7F6C6A68"/>
    <w:rsid w:val="7F6DF648"/>
    <w:rsid w:val="7F6E21DF"/>
    <w:rsid w:val="7F6FCF83"/>
    <w:rsid w:val="7F773DB5"/>
    <w:rsid w:val="7F7C906E"/>
    <w:rsid w:val="7F7E08BB"/>
    <w:rsid w:val="7F7E8EF9"/>
    <w:rsid w:val="7F7FF0CF"/>
    <w:rsid w:val="7FAF8010"/>
    <w:rsid w:val="7FAFE727"/>
    <w:rsid w:val="7FB4644B"/>
    <w:rsid w:val="7FBB77B3"/>
    <w:rsid w:val="7FBDA345"/>
    <w:rsid w:val="7FDAE570"/>
    <w:rsid w:val="7FDB4BDA"/>
    <w:rsid w:val="7FDDD7DD"/>
    <w:rsid w:val="7FDEE9C9"/>
    <w:rsid w:val="7FDFCE05"/>
    <w:rsid w:val="7FF57BA6"/>
    <w:rsid w:val="7FFB0630"/>
    <w:rsid w:val="7FFB4A08"/>
    <w:rsid w:val="7FFB63A0"/>
    <w:rsid w:val="7FFCB753"/>
    <w:rsid w:val="7FFD44C5"/>
    <w:rsid w:val="7FFDA58A"/>
    <w:rsid w:val="7FFF1639"/>
    <w:rsid w:val="7FFF23F3"/>
    <w:rsid w:val="7FFF27AA"/>
    <w:rsid w:val="7FFF49C3"/>
    <w:rsid w:val="7FFF7FEB"/>
    <w:rsid w:val="7FFFCB80"/>
    <w:rsid w:val="7FFFF3F6"/>
    <w:rsid w:val="86DE9588"/>
    <w:rsid w:val="8A77A974"/>
    <w:rsid w:val="8F3F8950"/>
    <w:rsid w:val="93FF000C"/>
    <w:rsid w:val="975372EB"/>
    <w:rsid w:val="97FF5ED9"/>
    <w:rsid w:val="99A74EDD"/>
    <w:rsid w:val="99BF42D9"/>
    <w:rsid w:val="9B576D33"/>
    <w:rsid w:val="9BEFBA07"/>
    <w:rsid w:val="9BF2A6BE"/>
    <w:rsid w:val="9D7D839E"/>
    <w:rsid w:val="9EDB40DF"/>
    <w:rsid w:val="A3723DD3"/>
    <w:rsid w:val="A3AFF205"/>
    <w:rsid w:val="A3F727AC"/>
    <w:rsid w:val="A7C763C1"/>
    <w:rsid w:val="A8F7B3B5"/>
    <w:rsid w:val="A9AF75B3"/>
    <w:rsid w:val="AA7DB6C1"/>
    <w:rsid w:val="AAA7E16E"/>
    <w:rsid w:val="AB7F1888"/>
    <w:rsid w:val="AD7A127F"/>
    <w:rsid w:val="AE7DE71E"/>
    <w:rsid w:val="AEBF2ADB"/>
    <w:rsid w:val="AF1F3E27"/>
    <w:rsid w:val="AF4FF015"/>
    <w:rsid w:val="AF971F83"/>
    <w:rsid w:val="AFF7144D"/>
    <w:rsid w:val="AFFA3790"/>
    <w:rsid w:val="AFFE365D"/>
    <w:rsid w:val="B4DD45ED"/>
    <w:rsid w:val="B4F23FB7"/>
    <w:rsid w:val="B56F9643"/>
    <w:rsid w:val="B5F89774"/>
    <w:rsid w:val="B6FDD8E8"/>
    <w:rsid w:val="B6FF6EDF"/>
    <w:rsid w:val="B6FFA6E3"/>
    <w:rsid w:val="B75F1DB4"/>
    <w:rsid w:val="B7DA58EC"/>
    <w:rsid w:val="B7DBF240"/>
    <w:rsid w:val="B82F5A55"/>
    <w:rsid w:val="B9EEBFB2"/>
    <w:rsid w:val="BB7BA97E"/>
    <w:rsid w:val="BBB703BF"/>
    <w:rsid w:val="BBED7A0B"/>
    <w:rsid w:val="BBFDF054"/>
    <w:rsid w:val="BBFEAC22"/>
    <w:rsid w:val="BC3FA6A6"/>
    <w:rsid w:val="BD6338DF"/>
    <w:rsid w:val="BD7F2331"/>
    <w:rsid w:val="BDB6A3C8"/>
    <w:rsid w:val="BDF7142C"/>
    <w:rsid w:val="BE6FF692"/>
    <w:rsid w:val="BE8C5D0E"/>
    <w:rsid w:val="BEDA533E"/>
    <w:rsid w:val="BEDE7AA4"/>
    <w:rsid w:val="BF1E8404"/>
    <w:rsid w:val="BF5FD4B6"/>
    <w:rsid w:val="BF7BB8C6"/>
    <w:rsid w:val="BFDDD5DD"/>
    <w:rsid w:val="BFDF86F4"/>
    <w:rsid w:val="BFE74F44"/>
    <w:rsid w:val="BFF7F90F"/>
    <w:rsid w:val="BFFD327A"/>
    <w:rsid w:val="BFFE5773"/>
    <w:rsid w:val="BFFFFFA5"/>
    <w:rsid w:val="C39F21C6"/>
    <w:rsid w:val="C4D76DF9"/>
    <w:rsid w:val="C7FD4E7F"/>
    <w:rsid w:val="CBBDFA3D"/>
    <w:rsid w:val="CDAB80CF"/>
    <w:rsid w:val="CDDFBBCB"/>
    <w:rsid w:val="CF6F89F1"/>
    <w:rsid w:val="CF7F111C"/>
    <w:rsid w:val="CFEE2C12"/>
    <w:rsid w:val="CFFFC98C"/>
    <w:rsid w:val="D09763CB"/>
    <w:rsid w:val="D33E288A"/>
    <w:rsid w:val="D5DFC42D"/>
    <w:rsid w:val="D6659BA6"/>
    <w:rsid w:val="D6F1AF08"/>
    <w:rsid w:val="D7DFE3BF"/>
    <w:rsid w:val="D7EEC402"/>
    <w:rsid w:val="D7F72E15"/>
    <w:rsid w:val="D7FF9AE7"/>
    <w:rsid w:val="D9A3A56F"/>
    <w:rsid w:val="D9FFACFB"/>
    <w:rsid w:val="DAE720DB"/>
    <w:rsid w:val="DBAB9F6E"/>
    <w:rsid w:val="DBBB208B"/>
    <w:rsid w:val="DBE7CAEB"/>
    <w:rsid w:val="DBF2BEED"/>
    <w:rsid w:val="DBFF0CDE"/>
    <w:rsid w:val="DD3EAAD9"/>
    <w:rsid w:val="DD7F3FC3"/>
    <w:rsid w:val="DDB77F52"/>
    <w:rsid w:val="DDFBA007"/>
    <w:rsid w:val="DE96664F"/>
    <w:rsid w:val="DEBE0C46"/>
    <w:rsid w:val="DEDF7EA0"/>
    <w:rsid w:val="DEEF3458"/>
    <w:rsid w:val="DF193387"/>
    <w:rsid w:val="DF2FB1F5"/>
    <w:rsid w:val="DF737D6C"/>
    <w:rsid w:val="DFCD4E85"/>
    <w:rsid w:val="DFE0BD69"/>
    <w:rsid w:val="DFE5112A"/>
    <w:rsid w:val="DFEDFF48"/>
    <w:rsid w:val="DFEF7F0A"/>
    <w:rsid w:val="E3E0284F"/>
    <w:rsid w:val="E3E171FA"/>
    <w:rsid w:val="E579F504"/>
    <w:rsid w:val="E5DFC0D7"/>
    <w:rsid w:val="E6DBBED8"/>
    <w:rsid w:val="E6F0915C"/>
    <w:rsid w:val="E773D1EB"/>
    <w:rsid w:val="E7ED2771"/>
    <w:rsid w:val="E9DFA59C"/>
    <w:rsid w:val="EA6ED3C3"/>
    <w:rsid w:val="EBB9E9D9"/>
    <w:rsid w:val="EBDF2FBD"/>
    <w:rsid w:val="EBFD2DE4"/>
    <w:rsid w:val="ED67671D"/>
    <w:rsid w:val="ED7742A5"/>
    <w:rsid w:val="ED7EF59C"/>
    <w:rsid w:val="EDF6C3D3"/>
    <w:rsid w:val="EDF7A6BC"/>
    <w:rsid w:val="EDFE3C16"/>
    <w:rsid w:val="EE4735A2"/>
    <w:rsid w:val="EEAA31DE"/>
    <w:rsid w:val="EED5BC52"/>
    <w:rsid w:val="EEDF2F94"/>
    <w:rsid w:val="EEE6E47F"/>
    <w:rsid w:val="EEEF0176"/>
    <w:rsid w:val="EEFB45E7"/>
    <w:rsid w:val="EF77CF9D"/>
    <w:rsid w:val="EFBA34AC"/>
    <w:rsid w:val="EFC701FB"/>
    <w:rsid w:val="EFEFF7DE"/>
    <w:rsid w:val="EFF93833"/>
    <w:rsid w:val="EFFBA8BE"/>
    <w:rsid w:val="EFFF16B0"/>
    <w:rsid w:val="F17620BA"/>
    <w:rsid w:val="F1FBF72D"/>
    <w:rsid w:val="F1FF2A5E"/>
    <w:rsid w:val="F2FF13F3"/>
    <w:rsid w:val="F37C2D2C"/>
    <w:rsid w:val="F3BFF631"/>
    <w:rsid w:val="F3FFCC84"/>
    <w:rsid w:val="F40FDC45"/>
    <w:rsid w:val="F56BB6FE"/>
    <w:rsid w:val="F57FC47B"/>
    <w:rsid w:val="F5DFAB15"/>
    <w:rsid w:val="F5EF7151"/>
    <w:rsid w:val="F6377C98"/>
    <w:rsid w:val="F69B8D8E"/>
    <w:rsid w:val="F6B30A8C"/>
    <w:rsid w:val="F6D6E449"/>
    <w:rsid w:val="F6DB2906"/>
    <w:rsid w:val="F6DDE3A1"/>
    <w:rsid w:val="F6DF90AA"/>
    <w:rsid w:val="F77F4C77"/>
    <w:rsid w:val="F78FA812"/>
    <w:rsid w:val="F7A7676C"/>
    <w:rsid w:val="F7AD6E21"/>
    <w:rsid w:val="F7BAB7F4"/>
    <w:rsid w:val="F7BD4DB3"/>
    <w:rsid w:val="F7BE49E3"/>
    <w:rsid w:val="F7D741AB"/>
    <w:rsid w:val="F7DA2821"/>
    <w:rsid w:val="F7DF9E61"/>
    <w:rsid w:val="F7F67493"/>
    <w:rsid w:val="F7F7CC90"/>
    <w:rsid w:val="F7FF1FAF"/>
    <w:rsid w:val="F7FFF892"/>
    <w:rsid w:val="F83ED1B4"/>
    <w:rsid w:val="F8DD17F3"/>
    <w:rsid w:val="F8EFD75C"/>
    <w:rsid w:val="F8F3BA2A"/>
    <w:rsid w:val="F9DDE2FF"/>
    <w:rsid w:val="F9FFB4D5"/>
    <w:rsid w:val="F9FFF202"/>
    <w:rsid w:val="FAB746F9"/>
    <w:rsid w:val="FADD35A6"/>
    <w:rsid w:val="FAF4666E"/>
    <w:rsid w:val="FAFF50AA"/>
    <w:rsid w:val="FB1D9850"/>
    <w:rsid w:val="FB46F55A"/>
    <w:rsid w:val="FB57EB24"/>
    <w:rsid w:val="FB5F1DC7"/>
    <w:rsid w:val="FB7A29EA"/>
    <w:rsid w:val="FB977B84"/>
    <w:rsid w:val="FBB71535"/>
    <w:rsid w:val="FBBF6F5D"/>
    <w:rsid w:val="FBBF858E"/>
    <w:rsid w:val="FBFA2950"/>
    <w:rsid w:val="FBFE5ABC"/>
    <w:rsid w:val="FBFE6E81"/>
    <w:rsid w:val="FBFFAED6"/>
    <w:rsid w:val="FC5C2C07"/>
    <w:rsid w:val="FCB7CECA"/>
    <w:rsid w:val="FCDF35F7"/>
    <w:rsid w:val="FCEB88DC"/>
    <w:rsid w:val="FCEC44CD"/>
    <w:rsid w:val="FCEDFD62"/>
    <w:rsid w:val="FCEF2BAB"/>
    <w:rsid w:val="FCFE1617"/>
    <w:rsid w:val="FD1D2A5B"/>
    <w:rsid w:val="FD3DB51C"/>
    <w:rsid w:val="FD4F66B2"/>
    <w:rsid w:val="FD7A8113"/>
    <w:rsid w:val="FD7D49EC"/>
    <w:rsid w:val="FDBB7708"/>
    <w:rsid w:val="FDD37EE0"/>
    <w:rsid w:val="FDD98366"/>
    <w:rsid w:val="FDDFECC6"/>
    <w:rsid w:val="FDF338BE"/>
    <w:rsid w:val="FDF72BFB"/>
    <w:rsid w:val="FDFF9D69"/>
    <w:rsid w:val="FDFFA324"/>
    <w:rsid w:val="FDFFE621"/>
    <w:rsid w:val="FE67854D"/>
    <w:rsid w:val="FE9753D0"/>
    <w:rsid w:val="FE990150"/>
    <w:rsid w:val="FEB17E0B"/>
    <w:rsid w:val="FEBDFAF8"/>
    <w:rsid w:val="FED376FE"/>
    <w:rsid w:val="FEDEE4BE"/>
    <w:rsid w:val="FEEE1189"/>
    <w:rsid w:val="FEEF7A81"/>
    <w:rsid w:val="FEF50BAD"/>
    <w:rsid w:val="FEF50D02"/>
    <w:rsid w:val="FEFB3495"/>
    <w:rsid w:val="FEFF9747"/>
    <w:rsid w:val="FF3EC0AE"/>
    <w:rsid w:val="FF4E8CF8"/>
    <w:rsid w:val="FF5BFD7F"/>
    <w:rsid w:val="FF7B4888"/>
    <w:rsid w:val="FF7BCEE2"/>
    <w:rsid w:val="FF7DF845"/>
    <w:rsid w:val="FF7F6906"/>
    <w:rsid w:val="FF7FED66"/>
    <w:rsid w:val="FFAFFEDF"/>
    <w:rsid w:val="FFBA46D8"/>
    <w:rsid w:val="FFBB81EE"/>
    <w:rsid w:val="FFBBC994"/>
    <w:rsid w:val="FFBD3DD5"/>
    <w:rsid w:val="FFBD80F1"/>
    <w:rsid w:val="FFD7507F"/>
    <w:rsid w:val="FFDFC2AD"/>
    <w:rsid w:val="FFE1D187"/>
    <w:rsid w:val="FFE715AC"/>
    <w:rsid w:val="FFEF402C"/>
    <w:rsid w:val="FFEFD32B"/>
    <w:rsid w:val="FFF5309B"/>
    <w:rsid w:val="FFF66A31"/>
    <w:rsid w:val="FFF71920"/>
    <w:rsid w:val="FFF778DB"/>
    <w:rsid w:val="FFFD0293"/>
    <w:rsid w:val="FFFD6D9D"/>
    <w:rsid w:val="FFFDED06"/>
    <w:rsid w:val="FFFE472D"/>
    <w:rsid w:val="FFFE4C63"/>
    <w:rsid w:val="FFFF0082"/>
    <w:rsid w:val="FFFF63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link w:val="10"/>
    <w:qFormat/>
    <w:uiPriority w:val="0"/>
    <w:pPr>
      <w:widowControl/>
      <w:adjustRightInd w:val="0"/>
      <w:snapToGrid w:val="0"/>
      <w:spacing w:line="360" w:lineRule="auto"/>
    </w:pPr>
    <w:rPr>
      <w:rFonts w:ascii="仿宋_GB2312" w:hAnsi="宋体" w:eastAsia="仿宋_GB2312"/>
      <w:kern w:val="0"/>
      <w:sz w:val="28"/>
      <w:szCs w:val="24"/>
    </w:rPr>
  </w:style>
  <w:style w:type="paragraph" w:styleId="4">
    <w:name w:val="Balloon Text"/>
    <w:basedOn w:val="1"/>
    <w:link w:val="14"/>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rFonts w:ascii="Times New Roman" w:hAnsi="Times New Roman"/>
      <w:sz w:val="18"/>
      <w:szCs w:val="20"/>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正文文本 字符"/>
    <w:link w:val="3"/>
    <w:qFormat/>
    <w:uiPriority w:val="0"/>
    <w:rPr>
      <w:rFonts w:ascii="仿宋_GB2312" w:hAnsi="宋体" w:eastAsia="仿宋_GB2312" w:cs="Times New Roman"/>
      <w:kern w:val="0"/>
      <w:sz w:val="28"/>
      <w:szCs w:val="24"/>
    </w:rPr>
  </w:style>
  <w:style w:type="character" w:customStyle="1" w:styleId="11">
    <w:name w:val="页脚 字符"/>
    <w:link w:val="5"/>
    <w:qFormat/>
    <w:uiPriority w:val="0"/>
    <w:rPr>
      <w:rFonts w:ascii="Times New Roman" w:hAnsi="Times New Roman" w:eastAsia="宋体" w:cs="Times New Roman"/>
      <w:sz w:val="18"/>
      <w:szCs w:val="20"/>
    </w:rPr>
  </w:style>
  <w:style w:type="paragraph" w:customStyle="1" w:styleId="12">
    <w:name w:val="列出段落1"/>
    <w:basedOn w:val="1"/>
    <w:qFormat/>
    <w:uiPriority w:val="34"/>
    <w:pPr>
      <w:ind w:firstLine="420" w:firstLineChars="200"/>
    </w:pPr>
  </w:style>
  <w:style w:type="character" w:customStyle="1" w:styleId="13">
    <w:name w:val="页眉 字符"/>
    <w:link w:val="6"/>
    <w:qFormat/>
    <w:uiPriority w:val="99"/>
    <w:rPr>
      <w:sz w:val="18"/>
      <w:szCs w:val="18"/>
    </w:rPr>
  </w:style>
  <w:style w:type="character" w:customStyle="1" w:styleId="14">
    <w:name w:val="批注框文本 字符"/>
    <w:link w:val="4"/>
    <w:semiHidden/>
    <w:qFormat/>
    <w:uiPriority w:val="99"/>
    <w:rPr>
      <w:sz w:val="18"/>
      <w:szCs w:val="18"/>
    </w:rPr>
  </w:style>
  <w:style w:type="character" w:customStyle="1" w:styleId="15">
    <w:name w:val="批注文字 字符"/>
    <w:basedOn w:val="8"/>
    <w:link w:val="2"/>
    <w:qFormat/>
    <w:uiPriority w:val="99"/>
  </w:style>
  <w:style w:type="paragraph" w:customStyle="1" w:styleId="16">
    <w:name w:val="列出段落11"/>
    <w:basedOn w:val="1"/>
    <w:qFormat/>
    <w:uiPriority w:val="34"/>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1271</Words>
  <Characters>1282</Characters>
  <Lines>9</Lines>
  <Paragraphs>2</Paragraphs>
  <TotalTime>50</TotalTime>
  <ScaleCrop>false</ScaleCrop>
  <LinksUpToDate>false</LinksUpToDate>
  <CharactersWithSpaces>1282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2020-10-08T10:12:00Z</dcterms:created>
  <dc:creator>lenovo</dc:creator>
  <cp:lastModifiedBy>xuhao</cp:lastModifiedBy>
  <cp:lastPrinted>2025-12-12T14:37:25Z</cp:lastPrinted>
  <dcterms:modified xsi:type="dcterms:W3CDTF">2025-12-12T14:38:41Z</dcterms:modified>
  <dc:title>附件3：</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32CCAB4DF7AB4F9CB9CECF24A67036C0</vt:lpwstr>
  </property>
  <property fmtid="{D5CDD505-2E9C-101B-9397-08002B2CF9AE}" pid="4" name="KSOTemplateDocerSaveRecord">
    <vt:lpwstr>eyJoZGlkIjoiODBhNjYwZmFmZTEzMzg4ZDU3OTU4Y2JlMWFiNmM2NTYiLCJ1c2VySWQiOiIyMzU3NjUwNjcifQ==</vt:lpwstr>
  </property>
</Properties>
</file>